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A2744"/>
          <w:sz w:val="72"/>
          <w:szCs w:val="72"/>
        </w:rPr>
        <w:t xml:space="preserve">Four-Way Regulatory Comparison</w:t>
      </w:r>
    </w:p>
    <w:p>
      <w:pPr>
        <w:spacing w:before="200"/>
        <w:jc w:val="center"/>
      </w:pPr>
      <w:r>
        <w:rPr>
          <w:rFonts w:ascii="Calibri" w:cs="Calibri" w:eastAsia="Calibri" w:hAnsi="Calibri"/>
          <w:b/>
          <w:bCs/>
          <w:color w:val="C2A677"/>
          <w:sz w:val="44"/>
          <w:szCs w:val="44"/>
        </w:rPr>
        <w:t xml:space="preserve">US Fed vs BCBS vs UK PRA vs EU EBA</w:t>
      </w:r>
    </w:p>
    <w:p>
      <w:pPr>
        <w:spacing w:before="400"/>
        <w:jc w:val="center"/>
      </w:pPr>
      <w:r>
        <w:rPr>
          <w:color w:val="1A2744"/>
          <w:sz w:val="28"/>
          <w:szCs w:val="28"/>
        </w:rPr>
        <w:t xml:space="preserve">Basel III Endgame — Cross-Jurisdictional Analysis</w:t>
      </w:r>
    </w:p>
    <w:p>
      <w:pPr>
        <w:spacing w:before="1500"/>
      </w:pPr>
    </w:p>
    <w:p>
      <w:pPr>
        <w:jc w:val="center"/>
      </w:pPr>
      <w:r>
        <w:rPr>
          <w:color w:val="C2A677"/>
          <w:sz w:val="20"/>
          <w:szCs w:val="20"/>
        </w:rPr>
        <w:t xml:space="preserve">________________________________________________________________________________</w:t>
      </w:r>
    </w:p>
    <w:p>
      <w:pPr>
        <w:spacing w:before="200"/>
        <w:jc w:val="center"/>
      </w:pPr>
      <w:r>
        <w:rPr>
          <w:sz w:val="20"/>
          <w:szCs w:val="20"/>
        </w:rPr>
        <w:t xml:space="preserve">FNBC-BIII-2026-001  |  CONFIDENTIAL  |  2026-04-10</w:t>
      </w:r>
    </w:p>
    <w:p>
      <w:pPr>
        <w:pageBreakBefore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1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Implementation Timeline &amp; Phase-In Schedule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Effective Dates &amp; Phase-In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Effective Dates &amp; Phase-In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Effective Dates &amp; Phase-In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Effective Dates &amp; Phase-In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Effective Dates &amp; Phase-In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Effective date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Jul 1, 2028 [Re-Proposal P.4]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Jan 1, 2023 (orig); Jan 1, 2028 (rec) [d424 P.1]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Jul 1, 2025 [PS1/26 S1.1]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Jan 1, 2025 [CRR3 Art 461]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BCBS original target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Jan 1, 2022 (delayed COVID)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Output floor (IRB)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(no IRB) [Re-Proposal P.95]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starting 2023 [d424 P.4]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starting Jul 2025 [PS1/26 S3.1]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starting Jan 2025 [CRR3 Art 465]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Floor 2025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[CRR3 Art 465(3)]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Floor 2026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55%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55% [CRR3 Art 465(3)]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Floor 2027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60% [CRR3 Art 465(3)]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Floor 2028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65%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65% [CRR3 Art 465(3)]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Floor 2029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 [CRR3 Art 465(3)]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Floor 2030+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72.5% [d424 P.4]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72.5%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72.5% [CRR3 Art 465(3)]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FRTB SA go-live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Jul 2028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Jan 2023 (rec) [d457]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Jul 2025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Jan 2025 [CRR3 Art 325a]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FRTB IMA go-live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Jul 2028 (with approval)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Jan 2023 [d457]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Jul 2025 (with approval)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Jan 2026 [CRR3 Art 325az]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OpRisk SMA go-live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Jul 2028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Jan 2023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Jul 2025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Jan 2025 [CRR3 Art 312]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Pillar 3 Phase 1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Jul 2028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Jan 2023 [d455]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Jul 2025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Jun 2025 (first disclosure) [CRR3 Art 433]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CRD6 transposition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(UK not EU)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Feb 2026 deadline [CRD6 Art 2]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2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Capital Framework: Ratios, Buffers &amp; Deductions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Minimum Capital Ratios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Minimum Capital Ratios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Minimum Capital Ratios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Minimum Capital Ratios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Minimum Capital Ratios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CET1 minimum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4.5% [12 CFR 217.10]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4.5% [d424 P.49]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4.5% [PS1/26 S2.1]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4.5% [CRR3 Art 92(1)(a)]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Tier 1 minimum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6.0% [12 CFR 217.10]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6.0% [d424 P.49]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6.0% [PS1/26 S2.1]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6.0% [CRR3 Art 92(1)(b)]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Total capital minimum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8.0% [12 CFR 217.10]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8.0% [d424 P.49]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8.0% [PS1/26 S2.1]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8.0% [CRR3 Art 92(1)(c)]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Capital Buffers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Capital Buffers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Capital Buffers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Capital Buffers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Capital Buffers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CCB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2.5% CET1 [12 CFR 217.11]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2.5% [d424 P.50]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2.5% [PS1/26 S2.3]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2.5% [CRD6 Art 129]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G-SIB surcharge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20bp bands/0.1% inc [Re-Proposal P.44]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100bp bands/0.5% inc [d424 P.51]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Per BCBS [PS1/26 S2.5]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Per BCBS [CRD6 Art 131]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SCB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&gt;=2.5% (replaces CCB) [12 CFR 217.11]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in framework [N/A]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adopted (use P2G)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adopted (use P2G) [CRD6]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CCyB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0-2.5% [12 CFR 217.11(b)]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0-2.5% [d424 P.50]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0-2.5% (2% standard) [PRA]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0-2.5% [CRD6 Art 130]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Leverage Ratio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Leverage Ratio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Leverage Ratio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Leverage Ratio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Leverage Ratio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Minimum leverage ratio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3% (SLR) [12 CFR 217.10(a)(5)]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3% [d424 P.53]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3.25% (UK-specific) [PS1/26 S2.7]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3% [CRR3 Art 92(1)(d)]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Enhanced leverage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5% eSLR for Cat I G-SIBs [12 CFR 217.11(d)]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in BCBS [N/A]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adopted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G-SII leverage buffer [CRR3 Art 92a]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CET1 Deductions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CET1 Deductions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CET1 Deductions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CET1 Deductions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CET1 Deductions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Goodwill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Full deduction [12 CFR 217.22]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Full deduction [d424 P.52]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Full deduction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Full deduction [CRR3 Art 36(1)(b)]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DTA (timing)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10%/15% threshold [12 CFR 217.22(d)]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10%/15% threshold [d424 P.52]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10%/15% threshold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10%/15% threshold [CRR3 Art 48]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MSA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250% RW (NOT deducted) [Re-Proposal P.78]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Deduction [d424 P.52]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Deduction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Deduction [CRR3 Art 36]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Significant investments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10%/15% threshold [12 CFR 217.22(d)]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[CRR3 Art 48]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Software DTA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carve-out [12 CFR 217.22]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carve-out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carve-out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EU CARVE-OUT: not deducted [CRR3 Art 36(1)(b)]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AOCI recognition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Full recognition [12 CFR 217.22]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Full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Full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Filter option REMOVED under CRR3 [CRR3 Art 35]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AT1 trigger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(no CoCo market) [US practice]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5.125% CET1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7% CET1 [PRA rules]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National discretion (mostly 5.125%) [CRR3 Art 54]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3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Credit Risk SA: Full Risk Weight Comparison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Sovereign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Sovereign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Sovereign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Sovereign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Sovereign Risk Weights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Sov CRC/CQS 0-1 / AAA-AA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0% [Re-Proposal P.102]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0% [d424 CRE20.7]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0% [PS1/26 S4.1]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0% [CRR3 Art 114]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Sov CRC 2 / 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[Re-Proposal P.102]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[d424 CRE20.7]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[CRR3 Art 114]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Sov CRC 3 / BBB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[Re-Proposal P.102]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[CRR3 Art 114]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Sov CRC 4-5 / BB-B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[Re-Proposal P.102]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[CRR3 Art 114]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Sov CRC 6-7 / CCC or below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[Re-Proposal P.102]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[CRR3 Art 114]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Rating basis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CRC (OECD, no ext ratings) [Dodd-Frank 939A]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ECAI ratings [d424 CRE20.7]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ECAI ratings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ECAI ratings [CRR3 Art 114]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Bank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Bank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Bank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Bank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Bank Risk Weights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Bank approach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Self-assessment Grade A/B/C [Re-Proposal P.124]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ECAI or SCRA [d424 CRE20.16]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ECAI (aligned BCBS) [PS1/26 S4.3]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ECAI CQS-based [CRR3 Art 120]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Bank Grade A / CQS 1-2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30-40% [Re-Proposal P.124]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20-30% ECAI; 30-40% SCRA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20-30%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20-30% [CRR3 Art 120]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Bank Grade B / CQS 3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75% [Re-Proposal P.126]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50-75%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[CRR3 Art 120]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Bank Grade C / CQS 4-6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[Re-Proposal P.126]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100-150%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100-150%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100-150% [CRR3 Art 120]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Corporate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Corporate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Corporate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Corporate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Corporate Risk Weights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Corp standard (unrated)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[Re-Proposal P.130]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[d424 CRE20.25]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[CRR3 Art 122]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Corp IG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65% (self-assessed) [Re-Proposal P.130]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65% (PD&lt;=0.5% transitional)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65% (PD&lt;=0.5%)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65% (CRR3 Art 122a transitional) [CRR3]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Corp rated AAA-AA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(Dodd-Frank) [939A]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[d424 CRE20.25]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[CRR3 Art 122]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Corp rated 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[939A]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[CRR3 Art 122]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Corp rated BBB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[939A]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75%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75% [CRR3 Art 122]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Corp rated BB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[939A]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[CRR3 Art 122]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Corp rated &lt;BB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[939A]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[CRR3 Art 122]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SME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SME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SME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SME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SME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SME RW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85% [Re-Proposal P.132]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85% [d424 CRE20.28]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85% [CRR3 Art 122(2)]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SME threshold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USD 75M revenue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EUR 50M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GBP 44M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EUR 50M [CRR3 Art 122(2)]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SME supporting factor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None [N/A]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None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None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0.7619x RETAINED [CRR3 Art 501]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Specialised Lending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Specialised Lending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Specialised Lending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Specialised Lending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Specialised Lending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Project finance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(no PF RW)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130%/100%/80% high-quality [d424 CRE20.32]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130%/100%/80%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130%/100%/80% [CRR3 Art 122a(3)]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Object finance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100%/80%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100%/80%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100%/80% [CRR3]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Retail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Retail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Retail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Retail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Retail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Regulatory retail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75% [Re-Proposal P.138]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75% [d424 CRE20.37]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75%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75% [CRR3 Art 123]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Transactor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45% [Re-Proposal P.156]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45% [d424 CRE20.38]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45% [CRR3 Art 123(1a)]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Retail threshold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USD 1M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EUR 1M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GBP 1M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EUR 1M [CRR3 Art 123]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Residential Real Estate (Non-CF Dependent)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Residential Real Estate (Non-CF Dependent)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Residential Real Estate (Non-CF Dependent)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Residential Real Estate (Non-CF Dependent)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Residential Real Estate (Non-CF Dependent)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Resi LTV 0-50%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[Re-Proposal P.142]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[d424 CRE20.43]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[CRR3 Art 125]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Resi LTV 50-60%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45%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[CRR3 Art 125]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Resi LTV 60-70%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30% [CRR3 Art 125]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Resi LTV 70-80%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60%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30% [CRR3 Art 125]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Resi LTV 80-90%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[CRR3 Art 125]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Resi LTV 90-100%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80%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[CRR3 Art 125]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Resi LTV &gt;100%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90%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 [CRR3 Art 125]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ADC/HVCRE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100/150% (HVCRE split) [Re-Proposal P.150]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flat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flat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flat [CRR3 Art 126a]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Other Exposures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Other Exposures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Other Exposures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Other Exposures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Other Exposures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Equity public traded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250% [Re-Proposal P.160]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250% [d424 CRE20.55]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250% (phased Art 495a) [CRR3]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Equity speculative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400% (phased) [CRR3]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Equity EU phase-in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Immediate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Immediate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Immediate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2025-2030 phase-in [CRR3 Art 495a]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Past due &gt;90 days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flat [Re-Proposal P.155]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(100% if prov&gt;=20%) [d424 CRE20.51]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Per BCBS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if provisions&gt;=20% [CRR3 Art 127]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Defaulted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 [Re-Proposal P.155]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150%/100%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Per BCBS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Per BCBS [CRR3 Art 127]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Covered bonds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CQS-based 10-100%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CQS-based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CQS-based [CRR3 Art 129]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4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Off-Balance Sheet Credit Conversion Factors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OBS CCF Comparison — KEY US-BCBS DIVERGENCE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OBS CCF Comparison — KEY US-BCBS DIVERGENCE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OBS CCF Comparison — KEY US-BCBS DIVERGENCE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OBS CCF Comparison — KEY US-BCBS DIVERGENCE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OBS CCF Comparison — KEY US-BCBS DIVERGENCE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Commitments &gt;1Y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[Re-Proposal P.170]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[d424 CRE20.69]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[CRR3 Art 111]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Commitments &lt;=1Y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UNIFORM [Re-Proposal P.170]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[d424 CRE20.69]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[CRR3 Art 111]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UCC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 [Re-Proposal P.172]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 [d424 CRE20.70]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 [CRR3 Art 111]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Direct credit substitutes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[CRR3 Art 111]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Trade-related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[CRR3 Art 111]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NIF/RUF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[CRR3 Art 111]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Performance guarantees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50% [CRR3 Art 111]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Repo-style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100% [CRR3 Art 111]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Impact: $500B ST commit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+$100B RWA vs BCBS/UK/EU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as BCBS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as BCBS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5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Credit Risk Mitigation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CRM Mechanics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CRM Mechanics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CRM Mechanics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CRM Mechanics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CRM Mechanics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E* formula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max(0,E*(1+He)-C*(1-Hc-Hfx)) [Re-Proposal P.200]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[d424 CRE22.51]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[CRR3 Art 223]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Currency mismatch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8% add-on [Re-Proposal P.210]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8% [d424 CRE22.60]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8% [CRR3 Art 224]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Maturity mismatch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(t-0.25)/(T-0.25) [Re-Proposal P.212]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[d424 CRE22.65]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[CRR3 Art 237]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Credit deriv restructuring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adjustment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[CRR3 Art 233]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Simple approach floor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[d424 CRE22.72]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[CRR3 Art 222(5)]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Haircuts: Cash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0% [CRR3 Art 224]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Haircuts: Sov &lt;=1Y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[CRR3 Art 224]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Haircuts: Sov 1-5Y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2% [CRR3 Art 224]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Haircuts: Sov &gt;5Y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4% [CRR3 Art 224]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Haircuts: Corp IG &lt;=1Y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1% [CRR3 Art 224]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Haircuts: Corp IG 1-5Y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4% [CRR3 Art 224]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Haircuts: Corp IG &gt;5Y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6% [CRR3 Art 224]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Haircuts: Equity main idx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[CRR3 Art 224]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Haircuts: Equity other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[CRR3 Art 224]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Haircuts: Gold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[CRR3 Art 224]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6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SA-CCR: Counterparty Credit Risk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SA-CCR Parameters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SA-CCR Parameters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SA-CCR Parameters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SA-CCR Parameters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SA-CCR Parameters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Alpha (financial)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1.4 [Re-Proposal P.220]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1.4 [d424 CRE52.30]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1.4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1.4 [CRR3 Art 274]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Alpha (non-financial)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 (end-user) [Re-Proposal P.220]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1.4 (nat disc for 1.0)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 (pensions+NFC)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 (pensions+NFC&lt;thresh) [CRR3 Art 274]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SF: Interest Rate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0.50%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0.50% [d424 CRE52.40]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0.50% [CRR3 Art 280a]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SF: FX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4.0% [CRR3 Art 280c]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SF: Credit IG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0.38%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0.38%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0.38%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0.38% [CRR3 Art 280d]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SF: Credit Spec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0.54%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0.54%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0.54%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0.54% [CRR3 Art 280d]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SF: Equity single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32%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32%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32%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32% [CRR3 Art 280e]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SF: Equity index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 [CRR3 Art 280e]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SF: Comm electricity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 [CRR3 Art 280f]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SF: Comm other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18%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18%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18%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18% [CRR3 Art 280f]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Multiplier floor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5% (0.05)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5% [d424 CRE52.41]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5% [CRR3 Art 278]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RC unmargined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max(V-C, 0)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[d424 CRE52.31]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[CRR3 Art 275]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RC margined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max(V-C, TH+MTA-NICA, 0)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[d424 CRE52.34]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[CRR3 Art 275]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7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CVA Risk Framework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CVA Approach &amp; Exemptions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CVA Approach &amp; Exemptions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CVA Approach &amp; Exemptions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CVA Approach &amp; Exemptions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CVA Approach &amp; Exemptions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BA-CVA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Available (index hedges only) [Re-Proposal P.284]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Available (SN+index) [d424 MAR50]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Available (SN+index)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Available (SN+index) [CRR3 Art 382]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SA-CVA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With approval [Re-Proposal P.290]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With approval [d424 MAR51]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With approval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With approval [CRR3 Art 383]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Client-cleared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[Re-Proposal P.296]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[d424 MAR50.4]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[CRR3 Art 382(4)]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FX &lt;=T+2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[CRR3 Art 382(4)]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SFTs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[Re-Proposal P.296]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exempt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[CRR3 Art 382(4)]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Pensions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[CRR3 Art 382(4)]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Intra-group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National discretion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Exempt [CRR3 Art 382(4)]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$1T threshold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(US only) [Re-Proposal P.282]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[CRR3]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8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FRTB Market Risk: Key Risk Weights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FRTB Thresholds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FRTB Thresholds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FRTB Thresholds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FRTB Thresholds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FRTB Thresholds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FRTB threshold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$5B 4Q avg [Re-Proposal P.300]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Proportionality [d457 MAR10]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GBP 50M bilateral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EUR 500M or % assets [CRR3 Art 325a]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GIRR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GIRR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GIRR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GIRR Risk Weights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GIRR Risk Weights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GIRR 0.25Y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1.7% [Re-Proposal P.312]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1.7% [d457 MAR21.8]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1.7%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1.7% [CRR3 Art 325q]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GIRR 1Y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1.6%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1.6% [d457]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1.6%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1.6% [CRR3 Art 325q]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GIRR 5Y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1.1%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1.1% [d457]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1.1%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1.1% [CRR3 Art 325q]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GIRR 10Y-30Y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1.1%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1.1% [d457]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1.1%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1.1% [CRR3 Art 325q]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GIRR inflation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1.6%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1.6% [d457]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1.6%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1.6% [CRR3]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CSR Non-Sec Sov IG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[d457 MAR21.12]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[CRR3 Art 325s]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CSR Non-Sec Corp IG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1.0% [d457]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1.0% [CRR3]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CSR Non-Sec HY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2.0-3.5%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2.0-3.5% [d457]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2.0-3.5%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2.0-3.5% [CRR3]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Equity large AE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[Re-Proposal P.340]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[d457 MAR21.17]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[CRR3 Art 325w]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Equity small cap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 [d457]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 [CRR3]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Equity index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[d457]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[CRR3]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FX all pairs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[Re-Proposal P.360]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[d457 MAR21.21]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[CRR3 Art 325y]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Commodity crude/coal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30% [d457 MAR21.19]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30% [CRR3 Art 325aa]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DRC AAA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[d457 MAR22.14]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0.5% [CRR3]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DRC BBB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6% [d457]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6% [CRR3]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RRAO exotic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1% [Re-Proposal P.420]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1% [d457 MAR23.4]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1% [CRR3 Art 325u]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RRAO other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0.1% [d457]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0.1% [CRR3]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9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Operational Risk: SMA Components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OpRisk SMA Comparison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OpRisk SMA Comparison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OpRisk SMA Comparison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OpRisk SMA Comparison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OpRisk SMA Comparison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BI = ILDC+SC+FC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[Re-Proposal P.252]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[d424 S5.2]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[CRR3 Art 314]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ILDC interest cap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2.25% IEA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2.25% [d424 S5.3]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2.25%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2.25% [CRR3 Art 314]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NIC 0.7x inv mgmt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(US specific) [Re-Proposal P.254]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in BCBS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adopted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adopted [CRR3]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BIC 12% (&lt;=EUR 1B)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12% [Re-Proposal P.260]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12% [d424 S5.7]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12%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12% [CRR3 Art 315]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BIC 15% (EUR 1-30B)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[CRR3 Art 315]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BIC 18% (&gt;EUR 30B)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18%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18%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18%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18% [CRR3 Art 315]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ILM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 (NOT applied) [Re-Proposal P.262]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National discretion [d424 S5.11]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 [CRR3 Art 315(2)]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Loss data P1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required [Re-Proposal P.264]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Required [d424 S5.10]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required P1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MANDATORY (EUR 20K, 10Y) [CRR3 Art 316]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COREP templates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[US reporting]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[BCBS]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[PRA reporting]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C16.02-04 mandatory [CRR3/ITS]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M&amp;A loss inclusion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Supervisory discretion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Include if material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Case-by-case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Include if material [CRR3 Art 316(5)]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10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Securitization: Hierarchy &amp; STS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Securitization Framework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Securitization Framework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Securitization Framework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Securitization Framework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Securitization Framework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Hierarchy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SEC-SA only [Re-Proposal P.400]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SEC-IRBA&gt;ERBA&gt;SA [d424 CRE40]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Full hierarchy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Full hierarchy [CRR3 Art 254]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STS framework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adopted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Optional [d424 CRE40.73]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(UK STS)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Yes, 10% RW floor [CRR3 Art 243]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STS RW benefit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[N/A]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Lower p=0.3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Lower RW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 floor (vs 15%) [CRR3 Art 260]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Risk retention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5% [Re-Proposal P.410]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5% [d424 CRE40.5]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5% [CRR3 Art 405]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1250% cap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[CRR3 Art 267]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SRT assessment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US rules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Principle-based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PRA review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EBA RTS [CRR3 Art 244]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11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IRB: Availability, Floors &amp; Output Floor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IRB Framework Comparison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IRB Framework Comparison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IRB Framework Comparison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IRB Framework Comparison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IRB Framework Comparison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IRB availability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ELIMINATED [Re-Proposal P.95]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Retained (restricted) [d424 CRE30]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Retained (A-IRB limited)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Retained (A-IRB limited) [CRR3 Art 142]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Output floor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(no IRB) [N/A]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72.5% of SA RWA [d424 P.4]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72.5% (phased 2025-2030)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72.5% (phased 2025-2030) [CRR3 Art 465]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F-IRB for corporates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[N/A]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Available [d424 CRE31]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Available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Available [CRR3 Art 143]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A-IRB for corporates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[N/A]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Restricted (large corp)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Restricted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Restricted [CRR3 Art 143]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A-IRB for banks/FIs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[N/A]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available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available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available [CRR3 Art 150]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A-IRB for equity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 [N/A]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available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available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available [CRR3 Art 155]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IRB Input Floors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IRB Input Floors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IRB Input Floors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IRB Input Floors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IRB Input Floors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PD floor corporate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5bp (0.05%) [d424 CRE31.4]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5bp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5bp [CRR3 Art 160(1)]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PD floor retail MTG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5bp [d424 CRE32.5]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5bp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5bp [CRR3 Art 163]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PD floor retail QRE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10bp [d424 CRE32.7]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10bp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10bp [CRR3 Art 163]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PD floor retail other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5bp [d424 CRE32.9]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5bp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5bp [CRR3 Art 163]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LGD floor unsecured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[d424 CRE31.4]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[CRR3 Art 161(4)]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LGD floor secured (fin)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0% [CRR3 Art 161(4)]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LGD floor secured (RE)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 [CRR3 Art 161(4)]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LGD floor secured (other)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[CRR3 Art 161(4)]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Correlation formula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R=0.12*(1-e^-50PD)/(1-e^-50)+0.24*(1-f) [d424]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[CRR3 Art 153]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12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Large Exposures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Single-Counterparty Credit Limits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Single-Counterparty Credit Limits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Single-Counterparty Credit Limits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Single-Counterparty Credit Limits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Single-Counterparty Credit Limits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Standard limit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of Tier 1 [12 CFR 252.72]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of Tier 1 [d283 S2]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of Tier 1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25% of Tier 1 [CRR3 Art 395]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G-SIB to G-SIB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of Tier 1 [12 CFR 252.72(a)]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[d283 S2]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15% [CRR3 Art 395(1a)]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Reporting threshold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5% of Tier 1 [12 CFR 252.78]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 [d283]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10% [CRR3 Art 394]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Sovereign exemption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(US govt) [12 CFR 252.77]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National discretion [d283]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(UK govt)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(EU member state) [CRR3 Art 400]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Connected parties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Economic interdependence [12 CFR 252.76]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concept [d283 S5]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concept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Same concept [CRR3 Art 4(39)]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13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Pillar 2, Pillar 3, ESG &amp; Liquidity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Pillar 2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Pillar 2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Pillar 2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Pillar 2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Pillar 2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ICAAP/SREP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CCAR + supervisory [Fed SR 12-7]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Pillar 2 framework [d424]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ICAAP+PRA buffer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SREP + P2R + P2G [CRD6 Art 104a]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IRRBB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Part of CCAR [Fed SR 15-18]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 prescribed scenarios [d368]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Aligned BCBS d368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Aligned BCBS d368 [CRD6 Art 84]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ESG risk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Not in framework [N/A]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Principles published [BCBS 2024]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Climate scenario testing [PRA SS3/19]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MANDATORY ESG in SREP [CRD6 Art 87a]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Pillar 3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Pillar 3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Pillar 3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Pillar 3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Pillar 3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OV1 (Overview RWA)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[d455]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[CRR3 Art 438]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KM1 (Key Metrics)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[d455]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[CRR3 Art 447]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CC1/CC2 (Capital)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[d455]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[CRR3 Art 437]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CR1-CR5 (Credit)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[d455]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[CRR3 Art 442]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MR1-MR4 (Market)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[d455]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[CRR3 Art 445]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OR1 (OpRisk)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[Re-Proposal]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[d455]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[PS1/26]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[CRR3 Art 446]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LR1-LR2 (Leverage)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[Re-Proposal]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[d455]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[PS1/26]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[CRR3 Art 451]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Liquidity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Liquidity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Liquidity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Liquidity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Liquidity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LCR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Implemented [12 CFR 249]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Standard [d295]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Implemented [PRA]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Implemented [CRR3 Art 412]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NSFR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Implemented [12 CFR 249]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Standard [d295]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Implemented [PRA]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Implemented [CRR3 Art 428a]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14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Conservatism Scorecard: 20-Dimension RAG Assessment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Credit risk SA RWs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Off-balance sheet CCFs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IRB availability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Output floor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MSA treatment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FRTB threshold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CVA scope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OpRisk ILM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Loss data requirement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G-SIB methodology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Leverage ratio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AT1 trigger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STS securitization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ESG integration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Real estate RWs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Equity phase-in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Past due treatment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SME supporting factor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C0392B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Most</w:t>
            </w:r>
          </w:p>
        </w:tc>
        <w:tc>
          <w:tcPr>
            <w:tcW w:type="dxa" w:w="2100"/>
            <w:shd w:fill="27AE60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Large exposures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Pillar 3 disclosure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Baseline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  <w:tc>
          <w:tcPr>
            <w:tcW w:type="dxa" w:w="2100"/>
            <w:shd w:fill="F39C12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Less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15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Key Numbers for Senior Management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Dimension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 Fed (2026 NPR)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BCBS (d424/d457)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UK PRA (PS1/26)</w:t>
            </w:r>
          </w:p>
        </w:tc>
        <w:tc>
          <w:tcPr>
            <w:tcW w:type="dxa" w:w="21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EU EBA (CRR3/CRD6)</w:t>
            </w:r>
          </w:p>
        </w:tc>
      </w:tr>
      <w:tr>
        <w:tc>
          <w:tcPr>
            <w:tcW w:type="dxa" w:w="1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Quick Reference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Quick Reference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Quick Reference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Quick Reference</w:t>
            </w:r>
          </w:p>
        </w:tc>
        <w:tc>
          <w:tcPr>
            <w:tcW w:type="dxa" w:w="21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5"/>
                <w:szCs w:val="15"/>
              </w:rPr>
              <w:t xml:space="preserve">Quick Reference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CET1 minimum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4.5%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4.5%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4.5%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4.5%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CCB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2.5% (or SCB&gt;=2.5%)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2.5%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2.5%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2.5%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G-SIB surcharge range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1.0-4.5%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1.0-3.5%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1.0-3.5%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1.0-3.5%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Leverage ratio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5% eSLR (Cat I)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3.25%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3% + buffer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Corp IG risk weight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65%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65% (transitional)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65%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65% (transitional)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Retail transactor RW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45%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45%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45%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45%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Resi RE 80-90% LTV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OBS &lt;=1Y commitment CCF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40%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20%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FRTB threshold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$5B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Proportionality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GBP 50M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EUR 500M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ILM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National discretion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IRB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ELIMINATED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Retained + floor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Retained + floor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Retained + floor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Output floor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72.5%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72.5%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72.5%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G-SIB bands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20bp / 0.1%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100bp / 0.5%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Per BCBS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Per BCBS</w:t>
            </w:r>
          </w:p>
        </w:tc>
      </w:tr>
      <w:tr>
        <w:tc>
          <w:tcPr>
            <w:tcW w:type="dxa" w:w="18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STS securitization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Optional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</w:t>
            </w:r>
          </w:p>
        </w:tc>
        <w:tc>
          <w:tcPr>
            <w:tcW w:type="dxa" w:w="21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(10% floor)</w:t>
            </w:r>
          </w:p>
        </w:tc>
      </w:tr>
      <w:tr>
        <w:tc>
          <w:tcPr>
            <w:tcW w:type="dxa" w:w="18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Loss data required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(P1)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(P1)</w:t>
            </w:r>
          </w:p>
        </w:tc>
        <w:tc>
          <w:tcPr>
            <w:tcW w:type="dxa" w:w="21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Yes (EUR 20K, 10Y)</w:t>
            </w:r>
          </w:p>
        </w:tc>
      </w:tr>
    </w:tbl>
    <w:sectPr>
      <w:pgSz w:w="12240" w:h="15840" w:orient="landscape"/>
      <w:pgMar w:top="720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2026-04-10T13:21:37.919Z</dcterms:created>
  <dcterms:modified xsi:type="dcterms:W3CDTF">2026-04-10T13:21:37.919Z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