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2060"/>
          <w:sz w:val="72"/>
        </w:rPr>
        <w:t>DELIVERABLE 2</w:t>
      </w:r>
    </w:p>
    <w:p>
      <w:pPr>
        <w:jc w:val="center"/>
      </w:pPr>
      <w:r>
        <w:rPr>
          <w:rFonts w:ascii="Calibri" w:hAnsi="Calibri"/>
          <w:b/>
          <w:color w:val="C8962E"/>
          <w:sz w:val="48"/>
        </w:rPr>
        <w:t>Cross-Jurisdictional Basel III Endgame</w:t>
        <w:br/>
        <w:t>Regulatory Comparison</w:t>
      </w:r>
    </w:p>
    <w:p/>
    <w:p>
      <w:pPr>
        <w:jc w:val="center"/>
      </w:pPr>
      <w:r>
        <w:rPr>
          <w:color w:val="002060"/>
          <w:sz w:val="28"/>
        </w:rPr>
        <w:t>US Federal Reserve March 2026 Re-Proposal (ERBA NPR)</w:t>
        <w:br/>
        <w:t>vs</w:t>
        <w:br/>
        <w:t>UK Prudential Regulation Authority PS1/26</w:t>
        <w:br/>
        <w:t>vs</w:t>
        <w:br/>
        <w:t>EU European Banking Authority CRR3 / CRD6</w:t>
      </w:r>
    </w:p>
    <w:p/>
    <w:p/>
    <w:p/>
    <w:p>
      <w:pPr>
        <w:jc w:val="center"/>
      </w:pPr>
      <w:r>
        <w:rPr>
          <w:color w:val="C8962E"/>
        </w:rPr>
        <w:t>________________________________________________________________________________</w:t>
      </w:r>
    </w:p>
    <w:p/>
    <w:p>
      <w:pPr>
        <w:jc w:val="center"/>
      </w:pPr>
      <w:r>
        <w:rPr>
          <w:b/>
          <w:color w:val="002060"/>
          <w:sz w:val="20"/>
        </w:rPr>
        <w:t xml:space="preserve">Model ID: </w:t>
      </w:r>
      <w:r>
        <w:rPr>
          <w:sz w:val="20"/>
        </w:rPr>
        <w:t>FNBC-BIII-2026-001</w:t>
      </w:r>
    </w:p>
    <w:p>
      <w:pPr>
        <w:jc w:val="center"/>
      </w:pPr>
      <w:r>
        <w:rPr>
          <w:b/>
          <w:color w:val="002060"/>
          <w:sz w:val="20"/>
        </w:rPr>
        <w:t xml:space="preserve">Classification: </w:t>
      </w:r>
      <w:r>
        <w:rPr>
          <w:sz w:val="20"/>
        </w:rPr>
        <w:t>CONFIDENTIAL</w:t>
      </w:r>
    </w:p>
    <w:p>
      <w:pPr>
        <w:jc w:val="center"/>
      </w:pPr>
      <w:r>
        <w:rPr>
          <w:b/>
          <w:color w:val="002060"/>
          <w:sz w:val="20"/>
        </w:rPr>
        <w:t xml:space="preserve">Version: </w:t>
      </w:r>
      <w:r>
        <w:rPr>
          <w:sz w:val="20"/>
        </w:rPr>
        <w:t>2.0 FINAL</w:t>
      </w:r>
    </w:p>
    <w:p>
      <w:pPr>
        <w:jc w:val="center"/>
      </w:pPr>
      <w:r>
        <w:rPr>
          <w:b/>
          <w:color w:val="002060"/>
          <w:sz w:val="20"/>
        </w:rPr>
        <w:t xml:space="preserve">Date: </w:t>
      </w:r>
      <w:r>
        <w:rPr>
          <w:sz w:val="20"/>
        </w:rPr>
        <w:t>October 29, 2026</w:t>
      </w:r>
    </w:p>
    <w:p>
      <w:pPr>
        <w:jc w:val="center"/>
      </w:pPr>
      <w:r>
        <w:rPr>
          <w:b/>
          <w:color w:val="002060"/>
          <w:sz w:val="20"/>
        </w:rPr>
        <w:t xml:space="preserve">Prepared By: </w:t>
      </w:r>
      <w:r>
        <w:rPr>
          <w:sz w:val="20"/>
        </w:rPr>
        <w:t>Basel III Endgame Regulatory Capital Engine</w:t>
      </w:r>
    </w:p>
    <w:p>
      <w:pPr>
        <w:jc w:val="center"/>
      </w:pPr>
      <w:r>
        <w:rPr>
          <w:b/>
          <w:color w:val="002060"/>
          <w:sz w:val="20"/>
        </w:rPr>
        <w:t xml:space="preserve">Target: </w:t>
      </w:r>
      <w:r>
        <w:rPr>
          <w:sz w:val="20"/>
        </w:rPr>
        <w:t>Category I US G-SIB ($3.2T Total Assets)</w:t>
      </w:r>
    </w:p>
    <w:p>
      <w:pPr>
        <w:jc w:val="center"/>
      </w:pPr>
      <w:r>
        <w:rPr>
          <w:b/>
          <w:color w:val="002060"/>
          <w:sz w:val="20"/>
        </w:rPr>
        <w:t xml:space="preserve">Scope: </w:t>
      </w:r>
      <w:r>
        <w:rPr>
          <w:sz w:val="20"/>
        </w:rPr>
        <w:t>500+ comparison rows across 18 sections</w:t>
      </w:r>
    </w:p>
    <w:p>
      <w:r>
        <w:br w:type="page"/>
      </w:r>
    </w:p>
    <w:p>
      <w:pPr>
        <w:jc w:val="center"/>
      </w:pPr>
      <w:r>
        <w:rPr>
          <w:b/>
          <w:color w:val="002060"/>
          <w:sz w:val="36"/>
        </w:rPr>
        <w:t>TABLE OF CONTENTS</w:t>
      </w:r>
    </w:p>
    <w:p/>
    <w:p>
      <w:r>
        <w:rPr>
          <w:b/>
          <w:color w:val="C8962E"/>
          <w:sz w:val="22"/>
        </w:rPr>
        <w:t xml:space="preserve">Section 1  </w:t>
      </w:r>
      <w:r>
        <w:rPr>
          <w:color w:val="002060"/>
          <w:sz w:val="22"/>
        </w:rPr>
        <w:t>Implementation Timeline &amp; Phase-In Schedule</w:t>
      </w:r>
    </w:p>
    <w:p>
      <w:r>
        <w:rPr>
          <w:b/>
          <w:color w:val="C8962E"/>
          <w:sz w:val="22"/>
        </w:rPr>
        <w:t xml:space="preserve">Section 2  </w:t>
      </w:r>
      <w:r>
        <w:rPr>
          <w:color w:val="002060"/>
          <w:sz w:val="22"/>
        </w:rPr>
        <w:t>Capital Stack: CET1, AT1, T2 Components &amp; Deductions</w:t>
      </w:r>
    </w:p>
    <w:p>
      <w:r>
        <w:rPr>
          <w:b/>
          <w:color w:val="C8962E"/>
          <w:sz w:val="22"/>
        </w:rPr>
        <w:t xml:space="preserve">Section 3  </w:t>
      </w:r>
      <w:r>
        <w:rPr>
          <w:color w:val="002060"/>
          <w:sz w:val="22"/>
        </w:rPr>
        <w:t>Capital Buffers: G-SIB, SCB, CCyB, Combined Buffer</w:t>
      </w:r>
    </w:p>
    <w:p>
      <w:r>
        <w:rPr>
          <w:b/>
          <w:color w:val="C8962E"/>
          <w:sz w:val="22"/>
        </w:rPr>
        <w:t xml:space="preserve">Section 4  </w:t>
      </w:r>
      <w:r>
        <w:rPr>
          <w:color w:val="002060"/>
          <w:sz w:val="22"/>
        </w:rPr>
        <w:t>Credit Risk SA: Sovereigns, Banks, Corporates, SME, Project Finance</w:t>
      </w:r>
    </w:p>
    <w:p>
      <w:r>
        <w:rPr>
          <w:b/>
          <w:color w:val="C8962E"/>
          <w:sz w:val="22"/>
        </w:rPr>
        <w:t xml:space="preserve">Section 5  </w:t>
      </w:r>
      <w:r>
        <w:rPr>
          <w:color w:val="002060"/>
          <w:sz w:val="22"/>
        </w:rPr>
        <w:t>Real Estate Exposures: Residential &amp; Commercial LTV Tables</w:t>
      </w:r>
    </w:p>
    <w:p>
      <w:r>
        <w:rPr>
          <w:b/>
          <w:color w:val="C8962E"/>
          <w:sz w:val="22"/>
        </w:rPr>
        <w:t xml:space="preserve">Section 6  </w:t>
      </w:r>
      <w:r>
        <w:rPr>
          <w:color w:val="002060"/>
          <w:sz w:val="22"/>
        </w:rPr>
        <w:t>Retail, Equity, Past Due &amp; Other Asset Classes</w:t>
      </w:r>
    </w:p>
    <w:p>
      <w:r>
        <w:rPr>
          <w:b/>
          <w:color w:val="C8962E"/>
          <w:sz w:val="22"/>
        </w:rPr>
        <w:t xml:space="preserve">Section 7  </w:t>
      </w:r>
      <w:r>
        <w:rPr>
          <w:color w:val="002060"/>
          <w:sz w:val="22"/>
        </w:rPr>
        <w:t>Off-Balance Sheet CCFs: Commitment Divergence Analysis</w:t>
      </w:r>
    </w:p>
    <w:p>
      <w:r>
        <w:rPr>
          <w:b/>
          <w:color w:val="C8962E"/>
          <w:sz w:val="22"/>
        </w:rPr>
        <w:t xml:space="preserve">Section 8  </w:t>
      </w:r>
      <w:r>
        <w:rPr>
          <w:color w:val="002060"/>
          <w:sz w:val="22"/>
        </w:rPr>
        <w:t>Credit Risk Mitigation: Haircuts, Formulas &amp; Mechanics</w:t>
      </w:r>
    </w:p>
    <w:p>
      <w:r>
        <w:rPr>
          <w:b/>
          <w:color w:val="C8962E"/>
          <w:sz w:val="22"/>
        </w:rPr>
        <w:t xml:space="preserve">Section 9  </w:t>
      </w:r>
      <w:r>
        <w:rPr>
          <w:color w:val="002060"/>
          <w:sz w:val="22"/>
        </w:rPr>
        <w:t>SA-CCR: Supervisory Factors, RC, PFE &amp; Alpha Parameters</w:t>
      </w:r>
    </w:p>
    <w:p>
      <w:r>
        <w:rPr>
          <w:b/>
          <w:color w:val="C8962E"/>
          <w:sz w:val="22"/>
        </w:rPr>
        <w:t xml:space="preserve">Section 10  </w:t>
      </w:r>
      <w:r>
        <w:rPr>
          <w:color w:val="002060"/>
          <w:sz w:val="22"/>
        </w:rPr>
        <w:t>CVA Risk: BA-CVA, SA-CVA &amp; Exemptions</w:t>
      </w:r>
    </w:p>
    <w:p>
      <w:r>
        <w:rPr>
          <w:b/>
          <w:color w:val="C8962E"/>
          <w:sz w:val="22"/>
        </w:rPr>
        <w:t xml:space="preserve">Section 11  </w:t>
      </w:r>
      <w:r>
        <w:rPr>
          <w:color w:val="002060"/>
          <w:sz w:val="22"/>
        </w:rPr>
        <w:t>FRTB Market Risk: SBM Risk Weights, DRC, RRAO &amp; IMA</w:t>
      </w:r>
    </w:p>
    <w:p>
      <w:r>
        <w:rPr>
          <w:b/>
          <w:color w:val="C8962E"/>
          <w:sz w:val="22"/>
        </w:rPr>
        <w:t xml:space="preserve">Section 12  </w:t>
      </w:r>
      <w:r>
        <w:rPr>
          <w:color w:val="002060"/>
          <w:sz w:val="22"/>
        </w:rPr>
        <w:t>Operational Risk: BI Components, BIC, ILM &amp; Loss Data</w:t>
      </w:r>
    </w:p>
    <w:p>
      <w:r>
        <w:rPr>
          <w:b/>
          <w:color w:val="C8962E"/>
          <w:sz w:val="22"/>
        </w:rPr>
        <w:t xml:space="preserve">Section 13  </w:t>
      </w:r>
      <w:r>
        <w:rPr>
          <w:color w:val="002060"/>
          <w:sz w:val="22"/>
        </w:rPr>
        <w:t>Securitization: SEC-SA (US), SEC-ERBA (UK/EU), STS &amp; Risk Retention</w:t>
      </w:r>
    </w:p>
    <w:p>
      <w:r>
        <w:rPr>
          <w:b/>
          <w:color w:val="C8962E"/>
          <w:sz w:val="22"/>
        </w:rPr>
        <w:t xml:space="preserve">Section 14  </w:t>
      </w:r>
      <w:r>
        <w:rPr>
          <w:color w:val="002060"/>
          <w:sz w:val="22"/>
        </w:rPr>
        <w:t>IRB Comparison: PD/LGD Floors, Correlation &amp; Output Floor</w:t>
      </w:r>
    </w:p>
    <w:p>
      <w:r>
        <w:rPr>
          <w:b/>
          <w:color w:val="C8962E"/>
          <w:sz w:val="22"/>
        </w:rPr>
        <w:t xml:space="preserve">Section 15  </w:t>
      </w:r>
      <w:r>
        <w:rPr>
          <w:color w:val="002060"/>
          <w:sz w:val="22"/>
        </w:rPr>
        <w:t>Pillar 2, Pillar 3, Large Exposures &amp; Liquidity</w:t>
      </w:r>
    </w:p>
    <w:p>
      <w:r>
        <w:rPr>
          <w:b/>
          <w:color w:val="C8962E"/>
          <w:sz w:val="22"/>
        </w:rPr>
        <w:t xml:space="preserve">Section 16  </w:t>
      </w:r>
      <w:r>
        <w:rPr>
          <w:color w:val="002060"/>
          <w:sz w:val="22"/>
        </w:rPr>
        <w:t>Crypto-Assets, ESG Integration &amp; Digital Assets</w:t>
      </w:r>
    </w:p>
    <w:p>
      <w:r>
        <w:rPr>
          <w:b/>
          <w:color w:val="C8962E"/>
          <w:sz w:val="22"/>
        </w:rPr>
        <w:t xml:space="preserve">Section 17  </w:t>
      </w:r>
      <w:r>
        <w:rPr>
          <w:color w:val="002060"/>
          <w:sz w:val="22"/>
        </w:rPr>
        <w:t>Conservatism Scorecard: 15-Dimension RAG Assessment</w:t>
      </w:r>
    </w:p>
    <w:p>
      <w:r>
        <w:rPr>
          <w:b/>
          <w:color w:val="C8962E"/>
          <w:sz w:val="22"/>
        </w:rPr>
        <w:t xml:space="preserve">Section 18  </w:t>
      </w:r>
      <w:r>
        <w:rPr>
          <w:color w:val="002060"/>
          <w:sz w:val="22"/>
        </w:rPr>
        <w:t>Key Numbers for Senior Management</w:t>
      </w:r>
    </w:p>
    <w:p>
      <w:r>
        <w:rPr>
          <w:b/>
          <w:color w:val="C8962E"/>
          <w:sz w:val="22"/>
        </w:rPr>
        <w:t xml:space="preserve">Section A  </w:t>
      </w:r>
      <w:r>
        <w:rPr>
          <w:color w:val="002060"/>
          <w:sz w:val="22"/>
        </w:rPr>
        <w:t>Appendix: Regulatory Article Cross-Reference Index</w:t>
      </w:r>
    </w:p>
    <w:p>
      <w:r>
        <w:rPr>
          <w:b/>
          <w:color w:val="C8962E"/>
          <w:sz w:val="22"/>
        </w:rPr>
        <w:t xml:space="preserve">Section B  </w:t>
      </w:r>
      <w:r>
        <w:rPr>
          <w:color w:val="002060"/>
          <w:sz w:val="22"/>
        </w:rPr>
        <w:t>Appendix: Abbreviations &amp; Glossary</w:t>
      </w:r>
    </w:p>
    <w:p>
      <w:r>
        <w:br w:type="page"/>
      </w:r>
    </w:p>
    <w:p>
      <w:pPr>
        <w:jc w:val="center"/>
      </w:pPr>
      <w:r>
        <w:rPr>
          <w:b/>
          <w:color w:val="002060"/>
          <w:sz w:val="36"/>
        </w:rPr>
        <w:t>EXECUTIVE SUMMARY</w:t>
      </w:r>
    </w:p>
    <w:p/>
    <w:p>
      <w:r>
        <w:rPr>
          <w:rFonts w:ascii="Calibri" w:hAnsi="Calibri"/>
          <w:color w:val="000000"/>
          <w:sz w:val="18"/>
        </w:rPr>
        <w:t>This document provides a comprehensive, line-by-line comparison of the three major Basel III Endgame implementations: the US Federal Reserve's March 2026 Re-Proposal (ERBA NPR), the UK PRA's Policy Statement PS1/26, and the EU's CRR3/CRD6 framework. The analysis spans 18 sections with 500+ individual comparison rows, each referenced to specific regulatory articles.</w:t>
      </w:r>
    </w:p>
    <w:p/>
    <w:p>
      <w:r>
        <w:rPr>
          <w:rFonts w:ascii="Calibri" w:hAnsi="Calibri"/>
          <w:color w:val="000000"/>
          <w:sz w:val="18"/>
        </w:rPr>
        <w:t>KEY FINDINGS:</w:t>
      </w:r>
    </w:p>
    <w:p/>
    <w:p>
      <w:r>
        <w:rPr>
          <w:rFonts w:ascii="Calibri" w:hAnsi="Calibri"/>
          <w:color w:val="000000"/>
          <w:sz w:val="18"/>
        </w:rPr>
        <w:t>1. CAPITAL IMPACT DIVERGENCE: The US approach is estimated (illustrative model estimate, not an NPR figure) to produce approximately 6-8% higher aggregate RWA for a typical Category I G-SIB due to: (a) no IRB for credit risk, (b) uniform 40% CCF for commitments, (c) 250% MSA risk weight vs deduction, and (d) absence of STS securitization benefits. The NPR's own aggregate estimate for the nine Category I/II BHCs is +1.9% RWA ($7,673B -&gt; $7,820B) and +1.4% CET1 requirement standalone (-4.8% cumulative with the G-SIB surcharge and stress test proposals), data as of June 30, 2025 (ERBA NPR Tables VII.1-VII.5).</w:t>
      </w:r>
    </w:p>
    <w:p/>
    <w:p>
      <w:r>
        <w:rPr>
          <w:rFonts w:ascii="Calibri" w:hAnsi="Calibri"/>
          <w:color w:val="000000"/>
          <w:sz w:val="18"/>
        </w:rPr>
        <w:t>2. CREDIT RISK: The most significant divergence is in the off-balance sheet CCF treatment. US applies a uniform 40% CCF to all commitments regardless of maturity, while UK/EU split 20%/40% by original maturity (&lt;=1Y / &gt;1Y). For a G-SIB with $500B in short-term commitments, this creates ~$25-40B in additional RWA.</w:t>
      </w:r>
    </w:p>
    <w:p/>
    <w:p>
      <w:r>
        <w:rPr>
          <w:rFonts w:ascii="Calibri" w:hAnsi="Calibri"/>
          <w:color w:val="000000"/>
          <w:sz w:val="18"/>
        </w:rPr>
        <w:t>3. MARKET RISK (FRTB): Risk weights and correlations are largely harmonized. The threshold for mandatory FRTB diverges: US $5B (4Q avg), UK GBP 50M, EU EUR 500M.</w:t>
      </w:r>
    </w:p>
    <w:p/>
    <w:p>
      <w:r>
        <w:rPr>
          <w:rFonts w:ascii="Calibri" w:hAnsi="Calibri"/>
          <w:color w:val="000000"/>
          <w:sz w:val="18"/>
        </w:rPr>
        <w:t>4. OPERATIONAL RISK: None of the three jurisdictions applies an ILM (the US rule has no ILM term at all: RWA = 12.5 x BIC). The US nevertheless requires loss-event data collection (&gt;= $20,000 per event, 10 years) because total operational losses are added to the BI noninterest component; the EU mandates loss data (EUR 20K threshold, 10Y) via COREP C16.02-04.</w:t>
      </w:r>
    </w:p>
    <w:p/>
    <w:p>
      <w:r>
        <w:rPr>
          <w:rFonts w:ascii="Calibri" w:hAnsi="Calibri"/>
          <w:color w:val="000000"/>
          <w:sz w:val="18"/>
        </w:rPr>
        <w:t>5. OVERALL CONSERVATISM: US is most conservative on 11 of 15 dimensions. EU most conservative on 2 (IRB floors, loss data). UK occupies middle ground.</w:t>
      </w:r>
    </w:p>
    <w:p>
      <w:r>
        <w:br w:type="page"/>
      </w:r>
    </w:p>
    <w:p>
      <w:r>
        <w:rPr>
          <w:rFonts w:ascii="Calibri" w:hAnsi="Calibri"/>
          <w:b/>
          <w:color w:val="C8962E"/>
          <w:sz w:val="28"/>
        </w:rPr>
        <w:t>SECTION 1</w:t>
      </w:r>
    </w:p>
    <w:p>
      <w:r>
        <w:rPr>
          <w:rFonts w:ascii="Calibri" w:hAnsi="Calibri"/>
          <w:b/>
          <w:color w:val="002060"/>
          <w:sz w:val="32"/>
        </w:rPr>
        <w:t>Implementation Timeline &amp; Phase-In Schedule</w:t>
      </w:r>
    </w:p>
    <w:p>
      <w:r>
        <w:rPr>
          <w:color w:val="C8962E"/>
          <w:sz w:val="12"/>
        </w:rPr>
        <w:t>________________________________________________________________________________________________________________________</w:t>
      </w:r>
    </w:p>
    <w:p>
      <w:r>
        <w:rPr>
          <w:rFonts w:ascii="Calibri" w:hAnsi="Calibri"/>
          <w:color w:val="000000"/>
          <w:sz w:val="18"/>
        </w:rPr>
        <w:t>This section maps the year-by-year implementation timeline across all three jurisdictions, covering the output floor phase-in (2025-2032), FRTB SA/IMA go-live dates, reporting commencement, and CRD6 transposition deadlines.</w:t>
      </w:r>
    </w:p>
    <w:p>
      <w:r>
        <w:rPr>
          <w:rFonts w:ascii="Calibri" w:hAnsi="Calibri"/>
          <w:b/>
          <w:color w:val="002060"/>
          <w:sz w:val="22"/>
        </w:rPr>
        <w:t>1.1 Output Floor Phase-In Schedule (2025-2032)</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Year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2025 (Jan 1)</w:t>
            </w:r>
          </w:p>
        </w:tc>
        <w:tc>
          <w:tcPr>
            <w:tcW w:type="dxa" w:w="3456"/>
            <w:shd w:fill="F2F2F2" w:val="clear"/>
          </w:tcPr>
          <w:p>
            <w:pPr>
              <w:jc w:val="left"/>
            </w:pPr>
            <w:r/>
            <w:r>
              <w:rPr>
                <w:rFonts w:ascii="Calibri" w:hAnsi="Calibri"/>
                <w:b w:val="0"/>
                <w:color w:val="000000"/>
                <w:sz w:val="16"/>
              </w:rPr>
              <w:t>N/A - Output floor NOT adopted per US re-proposal (ERBA P.45)</w:t>
            </w:r>
          </w:p>
        </w:tc>
        <w:tc>
          <w:tcPr>
            <w:tcW w:type="dxa" w:w="3456"/>
            <w:shd w:fill="F2F2F2" w:val="clear"/>
          </w:tcPr>
          <w:p>
            <w:pPr>
              <w:jc w:val="left"/>
            </w:pPr>
            <w:r/>
            <w:r>
              <w:rPr>
                <w:rFonts w:ascii="Calibri" w:hAnsi="Calibri"/>
                <w:b w:val="0"/>
                <w:color w:val="000000"/>
                <w:sz w:val="16"/>
              </w:rPr>
              <w:t>50% floor applies (PS1/26 SS15/13 Ch.7)</w:t>
            </w:r>
          </w:p>
        </w:tc>
        <w:tc>
          <w:tcPr>
            <w:tcW w:type="dxa" w:w="3456"/>
            <w:shd w:fill="F2F2F2" w:val="clear"/>
          </w:tcPr>
          <w:p>
            <w:pPr>
              <w:jc w:val="left"/>
            </w:pPr>
            <w:r/>
            <w:r>
              <w:rPr>
                <w:rFonts w:ascii="Calibri" w:hAnsi="Calibri"/>
                <w:b w:val="0"/>
                <w:color w:val="000000"/>
                <w:sz w:val="16"/>
              </w:rPr>
              <w:t>50% (CRR3 Art 92a(1))</w:t>
            </w:r>
          </w:p>
        </w:tc>
      </w:tr>
      <w:tr>
        <w:tc>
          <w:tcPr>
            <w:tcW w:type="dxa" w:w="3456"/>
            <w:shd w:fill="FFFFFF" w:val="clear"/>
          </w:tcPr>
          <w:p>
            <w:pPr>
              <w:jc w:val="left"/>
            </w:pPr>
            <w:r/>
            <w:r>
              <w:rPr>
                <w:rFonts w:ascii="Calibri" w:hAnsi="Calibri"/>
                <w:b/>
                <w:color w:val="000000"/>
                <w:sz w:val="16"/>
              </w:rPr>
              <w:t>2026 (Jan 1)</w:t>
            </w:r>
          </w:p>
        </w:tc>
        <w:tc>
          <w:tcPr>
            <w:tcW w:type="dxa" w:w="3456"/>
            <w:shd w:fill="FFFFFF" w:val="clear"/>
          </w:tcPr>
          <w:p>
            <w:pPr>
              <w:jc w:val="left"/>
            </w:pPr>
            <w:r/>
            <w:r>
              <w:rPr>
                <w:rFonts w:ascii="Calibri" w:hAnsi="Calibri"/>
                <w:b w:val="0"/>
                <w:color w:val="000000"/>
                <w:sz w:val="16"/>
              </w:rPr>
              <w:t>N/A - SA-only approach; no IRB = no floor needed</w:t>
            </w:r>
          </w:p>
        </w:tc>
        <w:tc>
          <w:tcPr>
            <w:tcW w:type="dxa" w:w="3456"/>
            <w:shd w:fill="FFFFFF" w:val="clear"/>
          </w:tcPr>
          <w:p>
            <w:pPr>
              <w:jc w:val="left"/>
            </w:pPr>
            <w:r/>
            <w:r>
              <w:rPr>
                <w:rFonts w:ascii="Calibri" w:hAnsi="Calibri"/>
                <w:b w:val="0"/>
                <w:color w:val="000000"/>
                <w:sz w:val="16"/>
              </w:rPr>
              <w:t>55% (PS1/26 SS15/13 Ch.7 Table 7.1)</w:t>
            </w:r>
          </w:p>
        </w:tc>
        <w:tc>
          <w:tcPr>
            <w:tcW w:type="dxa" w:w="3456"/>
            <w:shd w:fill="FFFFFF" w:val="clear"/>
          </w:tcPr>
          <w:p>
            <w:pPr>
              <w:jc w:val="left"/>
            </w:pPr>
            <w:r/>
            <w:r>
              <w:rPr>
                <w:rFonts w:ascii="Calibri" w:hAnsi="Calibri"/>
                <w:b w:val="0"/>
                <w:color w:val="000000"/>
                <w:sz w:val="16"/>
              </w:rPr>
              <w:t>55% (CRR3 Art 92a(2))</w:t>
            </w:r>
          </w:p>
        </w:tc>
      </w:tr>
      <w:tr>
        <w:tc>
          <w:tcPr>
            <w:tcW w:type="dxa" w:w="3456"/>
            <w:shd w:fill="F2F2F2" w:val="clear"/>
          </w:tcPr>
          <w:p>
            <w:pPr>
              <w:jc w:val="left"/>
            </w:pPr>
            <w:r/>
            <w:r>
              <w:rPr>
                <w:rFonts w:ascii="Calibri" w:hAnsi="Calibri"/>
                <w:b/>
                <w:color w:val="000000"/>
                <w:sz w:val="16"/>
              </w:rPr>
              <w:t>2027 (Jan 1)</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60% (PS1/26 SS15/13 Ch.7 Table 7.1)</w:t>
            </w:r>
          </w:p>
        </w:tc>
        <w:tc>
          <w:tcPr>
            <w:tcW w:type="dxa" w:w="3456"/>
            <w:shd w:fill="F2F2F2" w:val="clear"/>
          </w:tcPr>
          <w:p>
            <w:pPr>
              <w:jc w:val="left"/>
            </w:pPr>
            <w:r/>
            <w:r>
              <w:rPr>
                <w:rFonts w:ascii="Calibri" w:hAnsi="Calibri"/>
                <w:b w:val="0"/>
                <w:color w:val="000000"/>
                <w:sz w:val="16"/>
              </w:rPr>
              <w:t>60% (CRR3 Art 92a(3))</w:t>
            </w:r>
          </w:p>
        </w:tc>
      </w:tr>
      <w:tr>
        <w:tc>
          <w:tcPr>
            <w:tcW w:type="dxa" w:w="3456"/>
            <w:shd w:fill="FFFFFF" w:val="clear"/>
          </w:tcPr>
          <w:p>
            <w:pPr>
              <w:jc w:val="left"/>
            </w:pPr>
            <w:r/>
            <w:r>
              <w:rPr>
                <w:rFonts w:ascii="Calibri" w:hAnsi="Calibri"/>
                <w:b/>
                <w:color w:val="000000"/>
                <w:sz w:val="16"/>
              </w:rPr>
              <w:t>2028 (Jan 1)</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65% (PS1/26 SS15/13 Ch.7 Table 7.1)</w:t>
            </w:r>
          </w:p>
        </w:tc>
        <w:tc>
          <w:tcPr>
            <w:tcW w:type="dxa" w:w="3456"/>
            <w:shd w:fill="FFFFFF" w:val="clear"/>
          </w:tcPr>
          <w:p>
            <w:pPr>
              <w:jc w:val="left"/>
            </w:pPr>
            <w:r/>
            <w:r>
              <w:rPr>
                <w:rFonts w:ascii="Calibri" w:hAnsi="Calibri"/>
                <w:b w:val="0"/>
                <w:color w:val="000000"/>
                <w:sz w:val="16"/>
              </w:rPr>
              <w:t>65% (CRR3 Art 92a(4))</w:t>
            </w:r>
          </w:p>
        </w:tc>
      </w:tr>
      <w:tr>
        <w:tc>
          <w:tcPr>
            <w:tcW w:type="dxa" w:w="3456"/>
            <w:shd w:fill="F2F2F2" w:val="clear"/>
          </w:tcPr>
          <w:p>
            <w:pPr>
              <w:jc w:val="left"/>
            </w:pPr>
            <w:r/>
            <w:r>
              <w:rPr>
                <w:rFonts w:ascii="Calibri" w:hAnsi="Calibri"/>
                <w:b/>
                <w:color w:val="000000"/>
                <w:sz w:val="16"/>
              </w:rPr>
              <w:t>2029 (Jan 1)</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70% (PS1/26 SS15/13 Ch.7 Table 7.1)</w:t>
            </w:r>
          </w:p>
        </w:tc>
        <w:tc>
          <w:tcPr>
            <w:tcW w:type="dxa" w:w="3456"/>
            <w:shd w:fill="F2F2F2" w:val="clear"/>
          </w:tcPr>
          <w:p>
            <w:pPr>
              <w:jc w:val="left"/>
            </w:pPr>
            <w:r/>
            <w:r>
              <w:rPr>
                <w:rFonts w:ascii="Calibri" w:hAnsi="Calibri"/>
                <w:b w:val="0"/>
                <w:color w:val="000000"/>
                <w:sz w:val="16"/>
              </w:rPr>
              <w:t>70% (CRR3 Art 92a(5))</w:t>
            </w:r>
          </w:p>
        </w:tc>
      </w:tr>
      <w:tr>
        <w:tc>
          <w:tcPr>
            <w:tcW w:type="dxa" w:w="3456"/>
            <w:shd w:fill="FFFFFF" w:val="clear"/>
          </w:tcPr>
          <w:p>
            <w:pPr>
              <w:jc w:val="left"/>
            </w:pPr>
            <w:r/>
            <w:r>
              <w:rPr>
                <w:rFonts w:ascii="Calibri" w:hAnsi="Calibri"/>
                <w:b/>
                <w:color w:val="000000"/>
                <w:sz w:val="16"/>
              </w:rPr>
              <w:t>2030 (Jan 1)</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72.5% fully phased-in (PS1/26 SS15/13 Ch.7)</w:t>
            </w:r>
          </w:p>
        </w:tc>
        <w:tc>
          <w:tcPr>
            <w:tcW w:type="dxa" w:w="3456"/>
            <w:shd w:fill="FFFFFF" w:val="clear"/>
          </w:tcPr>
          <w:p>
            <w:pPr>
              <w:jc w:val="left"/>
            </w:pPr>
            <w:r/>
            <w:r>
              <w:rPr>
                <w:rFonts w:ascii="Calibri" w:hAnsi="Calibri"/>
                <w:b w:val="0"/>
                <w:color w:val="000000"/>
                <w:sz w:val="16"/>
              </w:rPr>
              <w:t>70% (CRR3 Art 92a(5) - extended by 2Y)</w:t>
            </w:r>
          </w:p>
        </w:tc>
      </w:tr>
      <w:tr>
        <w:tc>
          <w:tcPr>
            <w:tcW w:type="dxa" w:w="3456"/>
            <w:shd w:fill="F2F2F2" w:val="clear"/>
          </w:tcPr>
          <w:p>
            <w:pPr>
              <w:jc w:val="left"/>
            </w:pPr>
            <w:r/>
            <w:r>
              <w:rPr>
                <w:rFonts w:ascii="Calibri" w:hAnsi="Calibri"/>
                <w:b/>
                <w:color w:val="000000"/>
                <w:sz w:val="16"/>
              </w:rPr>
              <w:t>2031 (Jan 1)</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72.5% (steady state)</w:t>
            </w:r>
          </w:p>
        </w:tc>
        <w:tc>
          <w:tcPr>
            <w:tcW w:type="dxa" w:w="3456"/>
            <w:shd w:fill="F2F2F2" w:val="clear"/>
          </w:tcPr>
          <w:p>
            <w:pPr>
              <w:jc w:val="left"/>
            </w:pPr>
            <w:r/>
            <w:r>
              <w:rPr>
                <w:rFonts w:ascii="Calibri" w:hAnsi="Calibri"/>
                <w:b w:val="0"/>
                <w:color w:val="000000"/>
                <w:sz w:val="16"/>
              </w:rPr>
              <w:t>72.5% (CRR3 Art 92a(6) - phased)</w:t>
            </w:r>
          </w:p>
        </w:tc>
      </w:tr>
      <w:tr>
        <w:tc>
          <w:tcPr>
            <w:tcW w:type="dxa" w:w="3456"/>
            <w:shd w:fill="FFFFFF" w:val="clear"/>
          </w:tcPr>
          <w:p>
            <w:pPr>
              <w:jc w:val="left"/>
            </w:pPr>
            <w:r/>
            <w:r>
              <w:rPr>
                <w:rFonts w:ascii="Calibri" w:hAnsi="Calibri"/>
                <w:b/>
                <w:color w:val="000000"/>
                <w:sz w:val="16"/>
              </w:rPr>
              <w:t>2032 (Jan 1)</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72.5% (steady state)</w:t>
            </w:r>
          </w:p>
        </w:tc>
        <w:tc>
          <w:tcPr>
            <w:tcW w:type="dxa" w:w="3456"/>
            <w:shd w:fill="FFFFFF" w:val="clear"/>
          </w:tcPr>
          <w:p>
            <w:pPr>
              <w:jc w:val="left"/>
            </w:pPr>
            <w:r/>
            <w:r>
              <w:rPr>
                <w:rFonts w:ascii="Calibri" w:hAnsi="Calibri"/>
                <w:b w:val="0"/>
                <w:color w:val="000000"/>
                <w:sz w:val="16"/>
              </w:rPr>
              <w:t>72.5% fully phased-in (CRR3 Art 92a(7))</w:t>
            </w:r>
          </w:p>
        </w:tc>
      </w:tr>
    </w:tbl>
    <w:p>
      <w:r>
        <w:rPr>
          <w:rFonts w:ascii="Calibri" w:hAnsi="Calibri"/>
          <w:color w:val="000000"/>
          <w:sz w:val="18"/>
        </w:rPr>
        <w:t>Note: The US approach eliminates the need for an output floor by removing the IRB approach entirely for US banks. All credit risk RWA under the US framework is calculated using the Expanded Risk-Based Approach (ERBA), which is a modified standardized approach. Reference: ERBA NPR P.12-14.</w:t>
      </w:r>
    </w:p>
    <w:p>
      <w:r>
        <w:rPr>
          <w:rFonts w:ascii="Calibri" w:hAnsi="Calibri"/>
          <w:b/>
          <w:color w:val="002060"/>
          <w:sz w:val="22"/>
        </w:rPr>
        <w:t>1.2 FRTB Implementation Dates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FRTB SA Go-Live</w:t>
            </w:r>
          </w:p>
        </w:tc>
        <w:tc>
          <w:tcPr>
            <w:tcW w:type="dxa" w:w="3456"/>
            <w:shd w:fill="F2F2F2" w:val="clear"/>
          </w:tcPr>
          <w:p>
            <w:pPr>
              <w:jc w:val="left"/>
            </w:pPr>
            <w:r/>
            <w:r>
              <w:rPr>
                <w:rFonts w:ascii="Calibri" w:hAnsi="Calibri"/>
                <w:b w:val="0"/>
                <w:color w:val="000000"/>
                <w:sz w:val="16"/>
              </w:rPr>
              <w:t>Final-rule effective date; not fixed in NPR text (rule text uses bracketed placeholders, e.g. [January 1, 2027] for the AOCI transition) (ERBA NPR §__.300, P.1151)</w:t>
            </w:r>
          </w:p>
        </w:tc>
        <w:tc>
          <w:tcPr>
            <w:tcW w:type="dxa" w:w="3456"/>
            <w:shd w:fill="F2F2F2" w:val="clear"/>
          </w:tcPr>
          <w:p>
            <w:pPr>
              <w:jc w:val="left"/>
            </w:pPr>
            <w:r/>
            <w:r>
              <w:rPr>
                <w:rFonts w:ascii="Calibri" w:hAnsi="Calibri"/>
                <w:b w:val="0"/>
                <w:color w:val="000000"/>
                <w:sz w:val="16"/>
              </w:rPr>
              <w:t>January 1, 2025 (PS1/26 Ch.16)</w:t>
            </w:r>
          </w:p>
        </w:tc>
        <w:tc>
          <w:tcPr>
            <w:tcW w:type="dxa" w:w="3456"/>
            <w:shd w:fill="F2F2F2" w:val="clear"/>
          </w:tcPr>
          <w:p>
            <w:pPr>
              <w:jc w:val="left"/>
            </w:pPr>
            <w:r/>
            <w:r>
              <w:rPr>
                <w:rFonts w:ascii="Calibri" w:hAnsi="Calibri"/>
                <w:b w:val="0"/>
                <w:color w:val="000000"/>
                <w:sz w:val="16"/>
              </w:rPr>
              <w:t>January 1, 2025 (CRR3 Art 325a)</w:t>
            </w:r>
          </w:p>
        </w:tc>
      </w:tr>
      <w:tr>
        <w:tc>
          <w:tcPr>
            <w:tcW w:type="dxa" w:w="3456"/>
            <w:shd w:fill="FFFFFF" w:val="clear"/>
          </w:tcPr>
          <w:p>
            <w:pPr>
              <w:jc w:val="left"/>
            </w:pPr>
            <w:r/>
            <w:r>
              <w:rPr>
                <w:rFonts w:ascii="Calibri" w:hAnsi="Calibri"/>
                <w:b/>
                <w:color w:val="000000"/>
                <w:sz w:val="16"/>
              </w:rPr>
              <w:t>FRTB IMA Go-Live</w:t>
            </w:r>
          </w:p>
        </w:tc>
        <w:tc>
          <w:tcPr>
            <w:tcW w:type="dxa" w:w="3456"/>
            <w:shd w:fill="FFFFFF" w:val="clear"/>
          </w:tcPr>
          <w:p>
            <w:pPr>
              <w:jc w:val="left"/>
            </w:pPr>
            <w:r/>
            <w:r>
              <w:rPr>
                <w:rFonts w:ascii="Calibri" w:hAnsi="Calibri"/>
                <w:b w:val="0"/>
                <w:color w:val="000000"/>
                <w:sz w:val="16"/>
              </w:rPr>
              <w:t>Final-rule effective date, with desk-level approval; PLA test has a three-year transition with no automatic consequences (ERBA NPR §__.212-213, P.380-381)</w:t>
            </w:r>
          </w:p>
        </w:tc>
        <w:tc>
          <w:tcPr>
            <w:tcW w:type="dxa" w:w="3456"/>
            <w:shd w:fill="FFFFFF" w:val="clear"/>
          </w:tcPr>
          <w:p>
            <w:pPr>
              <w:jc w:val="left"/>
            </w:pPr>
            <w:r/>
            <w:r>
              <w:rPr>
                <w:rFonts w:ascii="Calibri" w:hAnsi="Calibri"/>
                <w:b w:val="0"/>
                <w:color w:val="000000"/>
                <w:sz w:val="16"/>
              </w:rPr>
              <w:t>January 1, 2025 (PS1/26 Ch.16.3)</w:t>
            </w:r>
          </w:p>
        </w:tc>
        <w:tc>
          <w:tcPr>
            <w:tcW w:type="dxa" w:w="3456"/>
            <w:shd w:fill="FFFFFF" w:val="clear"/>
          </w:tcPr>
          <w:p>
            <w:pPr>
              <w:jc w:val="left"/>
            </w:pPr>
            <w:r/>
            <w:r>
              <w:rPr>
                <w:rFonts w:ascii="Calibri" w:hAnsi="Calibri"/>
                <w:b w:val="0"/>
                <w:color w:val="000000"/>
                <w:sz w:val="16"/>
              </w:rPr>
              <w:t>January 1, 2025 (CRR3 Art 325az)</w:t>
            </w:r>
          </w:p>
        </w:tc>
      </w:tr>
      <w:tr>
        <w:tc>
          <w:tcPr>
            <w:tcW w:type="dxa" w:w="3456"/>
            <w:shd w:fill="F2F2F2" w:val="clear"/>
          </w:tcPr>
          <w:p>
            <w:pPr>
              <w:jc w:val="left"/>
            </w:pPr>
            <w:r/>
            <w:r>
              <w:rPr>
                <w:rFonts w:ascii="Calibri" w:hAnsi="Calibri"/>
                <w:b/>
                <w:color w:val="000000"/>
                <w:sz w:val="16"/>
              </w:rPr>
              <w:t>FRTB IMA Approval</w:t>
            </w:r>
          </w:p>
        </w:tc>
        <w:tc>
          <w:tcPr>
            <w:tcW w:type="dxa" w:w="3456"/>
            <w:shd w:fill="F2F2F2" w:val="clear"/>
          </w:tcPr>
          <w:p>
            <w:pPr>
              <w:jc w:val="left"/>
            </w:pPr>
            <w:r/>
            <w:r>
              <w:rPr>
                <w:rFonts w:ascii="Calibri" w:hAnsi="Calibri"/>
                <w:b w:val="0"/>
                <w:color w:val="000000"/>
                <w:sz w:val="16"/>
              </w:rPr>
              <w:t>Primary Federal supervisor approval per trading desk; 250 business days of backtesting (125 with demonstration) (ERBA NPR §__.212)</w:t>
            </w:r>
          </w:p>
        </w:tc>
        <w:tc>
          <w:tcPr>
            <w:tcW w:type="dxa" w:w="3456"/>
            <w:shd w:fill="F2F2F2" w:val="clear"/>
          </w:tcPr>
          <w:p>
            <w:pPr>
              <w:jc w:val="left"/>
            </w:pPr>
            <w:r/>
            <w:r>
              <w:rPr>
                <w:rFonts w:ascii="Calibri" w:hAnsi="Calibri"/>
                <w:b w:val="0"/>
                <w:color w:val="000000"/>
                <w:sz w:val="16"/>
              </w:rPr>
              <w:t>PRA model approval (PS1/26 Ch.16.4)</w:t>
            </w:r>
          </w:p>
        </w:tc>
        <w:tc>
          <w:tcPr>
            <w:tcW w:type="dxa" w:w="3456"/>
            <w:shd w:fill="F2F2F2" w:val="clear"/>
          </w:tcPr>
          <w:p>
            <w:pPr>
              <w:jc w:val="left"/>
            </w:pPr>
            <w:r/>
            <w:r>
              <w:rPr>
                <w:rFonts w:ascii="Calibri" w:hAnsi="Calibri"/>
                <w:b w:val="0"/>
                <w:color w:val="000000"/>
                <w:sz w:val="16"/>
              </w:rPr>
              <w:t>NCA model approval (CRR3 Art 325az(2))</w:t>
            </w:r>
          </w:p>
        </w:tc>
      </w:tr>
      <w:tr>
        <w:tc>
          <w:tcPr>
            <w:tcW w:type="dxa" w:w="3456"/>
            <w:shd w:fill="FFFFFF" w:val="clear"/>
          </w:tcPr>
          <w:p>
            <w:pPr>
              <w:jc w:val="left"/>
            </w:pPr>
            <w:r/>
            <w:r>
              <w:rPr>
                <w:rFonts w:ascii="Calibri" w:hAnsi="Calibri"/>
                <w:b/>
                <w:color w:val="000000"/>
                <w:sz w:val="16"/>
              </w:rPr>
              <w:t>Parallel Run Period</w:t>
            </w:r>
          </w:p>
        </w:tc>
        <w:tc>
          <w:tcPr>
            <w:tcW w:type="dxa" w:w="3456"/>
            <w:shd w:fill="FFFFFF" w:val="clear"/>
          </w:tcPr>
          <w:p>
            <w:pPr>
              <w:jc w:val="left"/>
            </w:pPr>
            <w:r/>
            <w:r>
              <w:rPr>
                <w:rFonts w:ascii="Calibri" w:hAnsi="Calibri"/>
                <w:b w:val="0"/>
                <w:color w:val="000000"/>
                <w:sz w:val="16"/>
              </w:rPr>
              <w:t>Not specified in NPR</w:t>
            </w:r>
          </w:p>
        </w:tc>
        <w:tc>
          <w:tcPr>
            <w:tcW w:type="dxa" w:w="3456"/>
            <w:shd w:fill="FFFFFF" w:val="clear"/>
          </w:tcPr>
          <w:p>
            <w:pPr>
              <w:jc w:val="left"/>
            </w:pPr>
            <w:r/>
            <w:r>
              <w:rPr>
                <w:rFonts w:ascii="Calibri" w:hAnsi="Calibri"/>
                <w:b w:val="0"/>
                <w:color w:val="000000"/>
                <w:sz w:val="16"/>
              </w:rPr>
              <w:t>2024 parallel reporting (PS1/26 Ch.16.2)</w:t>
            </w:r>
          </w:p>
        </w:tc>
        <w:tc>
          <w:tcPr>
            <w:tcW w:type="dxa" w:w="3456"/>
            <w:shd w:fill="FFFFFF" w:val="clear"/>
          </w:tcPr>
          <w:p>
            <w:pPr>
              <w:jc w:val="left"/>
            </w:pPr>
            <w:r/>
            <w:r>
              <w:rPr>
                <w:rFonts w:ascii="Calibri" w:hAnsi="Calibri"/>
                <w:b w:val="0"/>
                <w:color w:val="000000"/>
                <w:sz w:val="16"/>
              </w:rPr>
              <w:t>2024 parallel reporting (CRR3 Art 325a(3))</w:t>
            </w:r>
          </w:p>
        </w:tc>
      </w:tr>
      <w:tr>
        <w:tc>
          <w:tcPr>
            <w:tcW w:type="dxa" w:w="3456"/>
            <w:shd w:fill="F2F2F2" w:val="clear"/>
          </w:tcPr>
          <w:p>
            <w:pPr>
              <w:jc w:val="left"/>
            </w:pPr>
            <w:r/>
            <w:r>
              <w:rPr>
                <w:rFonts w:ascii="Calibri" w:hAnsi="Calibri"/>
                <w:b/>
                <w:color w:val="000000"/>
                <w:sz w:val="16"/>
              </w:rPr>
              <w:t>FRTB Threshold</w:t>
            </w:r>
          </w:p>
        </w:tc>
        <w:tc>
          <w:tcPr>
            <w:tcW w:type="dxa" w:w="3456"/>
            <w:shd w:fill="F2F2F2" w:val="clear"/>
          </w:tcPr>
          <w:p>
            <w:pPr>
              <w:jc w:val="left"/>
            </w:pPr>
            <w:r/>
            <w:r>
              <w:rPr>
                <w:rFonts w:ascii="Calibri" w:hAnsi="Calibri"/>
                <w:b w:val="0"/>
                <w:color w:val="000000"/>
                <w:sz w:val="16"/>
              </w:rPr>
              <w:t>$5B trading assets + liabilities (4-quarter average) OR &gt;= 10% of total assets; Category I/II holding companies regardless of trading activity (ERBA NPR §__.201, P.19, P.23)</w:t>
            </w:r>
          </w:p>
        </w:tc>
        <w:tc>
          <w:tcPr>
            <w:tcW w:type="dxa" w:w="3456"/>
            <w:shd w:fill="F2F2F2" w:val="clear"/>
          </w:tcPr>
          <w:p>
            <w:pPr>
              <w:jc w:val="left"/>
            </w:pPr>
            <w:r/>
            <w:r>
              <w:rPr>
                <w:rFonts w:ascii="Calibri" w:hAnsi="Calibri"/>
                <w:b w:val="0"/>
                <w:color w:val="000000"/>
                <w:sz w:val="16"/>
              </w:rPr>
              <w:t>GBP 50M or 5% total assets bilateral netting (PS1/26 Ch.16.1)</w:t>
            </w:r>
          </w:p>
        </w:tc>
        <w:tc>
          <w:tcPr>
            <w:tcW w:type="dxa" w:w="3456"/>
            <w:shd w:fill="F2F2F2" w:val="clear"/>
          </w:tcPr>
          <w:p>
            <w:pPr>
              <w:jc w:val="left"/>
            </w:pPr>
            <w:r/>
            <w:r>
              <w:rPr>
                <w:rFonts w:ascii="Calibri" w:hAnsi="Calibri"/>
                <w:b w:val="0"/>
                <w:color w:val="000000"/>
                <w:sz w:val="16"/>
              </w:rPr>
              <w:t>EUR 500M or 10% total assets (CRR3 Art 325a(1))</w:t>
            </w:r>
          </w:p>
        </w:tc>
      </w:tr>
      <w:tr>
        <w:tc>
          <w:tcPr>
            <w:tcW w:type="dxa" w:w="3456"/>
            <w:shd w:fill="FFFFFF" w:val="clear"/>
          </w:tcPr>
          <w:p>
            <w:pPr>
              <w:jc w:val="left"/>
            </w:pPr>
            <w:r/>
            <w:r>
              <w:rPr>
                <w:rFonts w:ascii="Calibri" w:hAnsi="Calibri"/>
                <w:b/>
                <w:color w:val="000000"/>
                <w:sz w:val="16"/>
              </w:rPr>
              <w:t>Simplified SA</w:t>
            </w:r>
          </w:p>
        </w:tc>
        <w:tc>
          <w:tcPr>
            <w:tcW w:type="dxa" w:w="3456"/>
            <w:shd w:fill="FFFFFF" w:val="clear"/>
          </w:tcPr>
          <w:p>
            <w:pPr>
              <w:jc w:val="left"/>
            </w:pPr>
            <w:r/>
            <w:r>
              <w:rPr>
                <w:rFonts w:ascii="Calibri" w:hAnsi="Calibri"/>
                <w:b w:val="0"/>
                <w:color w:val="000000"/>
                <w:sz w:val="16"/>
              </w:rPr>
              <w:t>N/A for Cat I/II banks</w:t>
            </w:r>
          </w:p>
        </w:tc>
        <w:tc>
          <w:tcPr>
            <w:tcW w:type="dxa" w:w="3456"/>
            <w:shd w:fill="FFFFFF" w:val="clear"/>
          </w:tcPr>
          <w:p>
            <w:pPr>
              <w:jc w:val="left"/>
            </w:pPr>
            <w:r/>
            <w:r>
              <w:rPr>
                <w:rFonts w:ascii="Calibri" w:hAnsi="Calibri"/>
                <w:b w:val="0"/>
                <w:color w:val="000000"/>
                <w:sz w:val="16"/>
              </w:rPr>
              <w:t>Small firms exemption (PS1/26 Ch.16.5)</w:t>
            </w:r>
          </w:p>
        </w:tc>
        <w:tc>
          <w:tcPr>
            <w:tcW w:type="dxa" w:w="3456"/>
            <w:shd w:fill="FFFFFF" w:val="clear"/>
          </w:tcPr>
          <w:p>
            <w:pPr>
              <w:jc w:val="left"/>
            </w:pPr>
            <w:r/>
            <w:r>
              <w:rPr>
                <w:rFonts w:ascii="Calibri" w:hAnsi="Calibri"/>
                <w:b w:val="0"/>
                <w:color w:val="000000"/>
                <w:sz w:val="16"/>
              </w:rPr>
              <w:t>Simplified SA for small trading books (CRR3 Art 325a(2))</w:t>
            </w:r>
          </w:p>
        </w:tc>
      </w:tr>
      <w:tr>
        <w:tc>
          <w:tcPr>
            <w:tcW w:type="dxa" w:w="3456"/>
            <w:shd w:fill="F2F2F2" w:val="clear"/>
          </w:tcPr>
          <w:p>
            <w:pPr>
              <w:jc w:val="left"/>
            </w:pPr>
            <w:r/>
            <w:r>
              <w:rPr>
                <w:rFonts w:ascii="Calibri" w:hAnsi="Calibri"/>
                <w:b/>
                <w:color w:val="000000"/>
                <w:sz w:val="16"/>
              </w:rPr>
              <w:t>DRC Go-Live</w:t>
            </w:r>
          </w:p>
        </w:tc>
        <w:tc>
          <w:tcPr>
            <w:tcW w:type="dxa" w:w="3456"/>
            <w:shd w:fill="F2F2F2" w:val="clear"/>
          </w:tcPr>
          <w:p>
            <w:pPr>
              <w:jc w:val="left"/>
            </w:pPr>
            <w:r/>
            <w:r>
              <w:rPr>
                <w:rFonts w:ascii="Calibri" w:hAnsi="Calibri"/>
                <w:b w:val="0"/>
                <w:color w:val="000000"/>
                <w:sz w:val="16"/>
              </w:rPr>
              <w:t>With market risk framework on effective date (ERBA NPR §__.210)</w:t>
            </w:r>
          </w:p>
        </w:tc>
        <w:tc>
          <w:tcPr>
            <w:tcW w:type="dxa" w:w="3456"/>
            <w:shd w:fill="F2F2F2" w:val="clear"/>
          </w:tcPr>
          <w:p>
            <w:pPr>
              <w:jc w:val="left"/>
            </w:pPr>
            <w:r/>
            <w:r>
              <w:rPr>
                <w:rFonts w:ascii="Calibri" w:hAnsi="Calibri"/>
                <w:b w:val="0"/>
                <w:color w:val="000000"/>
                <w:sz w:val="16"/>
              </w:rPr>
              <w:t>January 1, 2025 (PS1/26 Ch.16.6)</w:t>
            </w:r>
          </w:p>
        </w:tc>
        <w:tc>
          <w:tcPr>
            <w:tcW w:type="dxa" w:w="3456"/>
            <w:shd w:fill="F2F2F2" w:val="clear"/>
          </w:tcPr>
          <w:p>
            <w:pPr>
              <w:jc w:val="left"/>
            </w:pPr>
            <w:r/>
            <w:r>
              <w:rPr>
                <w:rFonts w:ascii="Calibri" w:hAnsi="Calibri"/>
                <w:b w:val="0"/>
                <w:color w:val="000000"/>
                <w:sz w:val="16"/>
              </w:rPr>
              <w:t>January 1, 2025 (CRR3 Art 325bk)</w:t>
            </w:r>
          </w:p>
        </w:tc>
      </w:tr>
      <w:tr>
        <w:tc>
          <w:tcPr>
            <w:tcW w:type="dxa" w:w="3456"/>
            <w:shd w:fill="FFFFFF" w:val="clear"/>
          </w:tcPr>
          <w:p>
            <w:pPr>
              <w:jc w:val="left"/>
            </w:pPr>
            <w:r/>
            <w:r>
              <w:rPr>
                <w:rFonts w:ascii="Calibri" w:hAnsi="Calibri"/>
                <w:b/>
                <w:color w:val="000000"/>
                <w:sz w:val="16"/>
              </w:rPr>
              <w:t>RRAO Go-Live</w:t>
            </w:r>
          </w:p>
        </w:tc>
        <w:tc>
          <w:tcPr>
            <w:tcW w:type="dxa" w:w="3456"/>
            <w:shd w:fill="FFFFFF" w:val="clear"/>
          </w:tcPr>
          <w:p>
            <w:pPr>
              <w:jc w:val="left"/>
            </w:pPr>
            <w:r/>
            <w:r>
              <w:rPr>
                <w:rFonts w:ascii="Calibri" w:hAnsi="Calibri"/>
                <w:b w:val="0"/>
                <w:color w:val="000000"/>
                <w:sz w:val="16"/>
              </w:rPr>
              <w:t>With market risk framework on effective date (ERBA NPR §__.211)</w:t>
            </w:r>
          </w:p>
        </w:tc>
        <w:tc>
          <w:tcPr>
            <w:tcW w:type="dxa" w:w="3456"/>
            <w:shd w:fill="FFFFFF" w:val="clear"/>
          </w:tcPr>
          <w:p>
            <w:pPr>
              <w:jc w:val="left"/>
            </w:pPr>
            <w:r/>
            <w:r>
              <w:rPr>
                <w:rFonts w:ascii="Calibri" w:hAnsi="Calibri"/>
                <w:b w:val="0"/>
                <w:color w:val="000000"/>
                <w:sz w:val="16"/>
              </w:rPr>
              <w:t>January 1, 2025 (PS1/26 Ch.16.7)</w:t>
            </w:r>
          </w:p>
        </w:tc>
        <w:tc>
          <w:tcPr>
            <w:tcW w:type="dxa" w:w="3456"/>
            <w:shd w:fill="FFFFFF" w:val="clear"/>
          </w:tcPr>
          <w:p>
            <w:pPr>
              <w:jc w:val="left"/>
            </w:pPr>
            <w:r/>
            <w:r>
              <w:rPr>
                <w:rFonts w:ascii="Calibri" w:hAnsi="Calibri"/>
                <w:b w:val="0"/>
                <w:color w:val="000000"/>
                <w:sz w:val="16"/>
              </w:rPr>
              <w:t>January 1, 2025 (CRR3 Art 325bp)</w:t>
            </w:r>
          </w:p>
        </w:tc>
      </w:tr>
    </w:tbl>
    <w:p>
      <w:r>
        <w:rPr>
          <w:rFonts w:ascii="Calibri" w:hAnsi="Calibri"/>
          <w:b/>
          <w:color w:val="002060"/>
          <w:sz w:val="22"/>
        </w:rPr>
        <w:t>1.3 Credit Risk SA Implementation Dates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SA-CR Go-Live</w:t>
            </w:r>
          </w:p>
        </w:tc>
        <w:tc>
          <w:tcPr>
            <w:tcW w:type="dxa" w:w="3456"/>
            <w:shd w:fill="F2F2F2" w:val="clear"/>
          </w:tcPr>
          <w:p>
            <w:pPr>
              <w:jc w:val="left"/>
            </w:pPr>
            <w:r/>
            <w:r>
              <w:rPr>
                <w:rFonts w:ascii="Calibri" w:hAnsi="Calibri"/>
                <w:b w:val="0"/>
                <w:color w:val="000000"/>
                <w:sz w:val="16"/>
              </w:rPr>
              <w:t>Final-rule effective date (not fixed in NPR text); only AOCI transition for ERBA electors is phased ([2027]-[2032]) (ERBA NPR §__.300)</w:t>
            </w:r>
          </w:p>
        </w:tc>
        <w:tc>
          <w:tcPr>
            <w:tcW w:type="dxa" w:w="3456"/>
            <w:shd w:fill="F2F2F2" w:val="clear"/>
          </w:tcPr>
          <w:p>
            <w:pPr>
              <w:jc w:val="left"/>
            </w:pPr>
            <w:r/>
            <w:r>
              <w:rPr>
                <w:rFonts w:ascii="Calibri" w:hAnsi="Calibri"/>
                <w:b w:val="0"/>
                <w:color w:val="000000"/>
                <w:sz w:val="16"/>
              </w:rPr>
              <w:t>January 1, 2025 (PS1/26 Ch.3)</w:t>
            </w:r>
          </w:p>
        </w:tc>
        <w:tc>
          <w:tcPr>
            <w:tcW w:type="dxa" w:w="3456"/>
            <w:shd w:fill="F2F2F2" w:val="clear"/>
          </w:tcPr>
          <w:p>
            <w:pPr>
              <w:jc w:val="left"/>
            </w:pPr>
            <w:r/>
            <w:r>
              <w:rPr>
                <w:rFonts w:ascii="Calibri" w:hAnsi="Calibri"/>
                <w:b w:val="0"/>
                <w:color w:val="000000"/>
                <w:sz w:val="16"/>
              </w:rPr>
              <w:t>January 1, 2025 (CRR3 Art 92)</w:t>
            </w:r>
          </w:p>
        </w:tc>
      </w:tr>
      <w:tr>
        <w:tc>
          <w:tcPr>
            <w:tcW w:type="dxa" w:w="3456"/>
            <w:shd w:fill="FFFFFF" w:val="clear"/>
          </w:tcPr>
          <w:p>
            <w:pPr>
              <w:jc w:val="left"/>
            </w:pPr>
            <w:r/>
            <w:r>
              <w:rPr>
                <w:rFonts w:ascii="Calibri" w:hAnsi="Calibri"/>
                <w:b/>
                <w:color w:val="000000"/>
                <w:sz w:val="16"/>
              </w:rPr>
              <w:t>Real Estate Valuation</w:t>
            </w:r>
          </w:p>
        </w:tc>
        <w:tc>
          <w:tcPr>
            <w:tcW w:type="dxa" w:w="3456"/>
            <w:shd w:fill="FFFFFF" w:val="clear"/>
          </w:tcPr>
          <w:p>
            <w:pPr>
              <w:jc w:val="left"/>
            </w:pPr>
            <w:r/>
            <w:r>
              <w:rPr>
                <w:rFonts w:ascii="Calibri" w:hAnsi="Calibri"/>
                <w:b w:val="0"/>
                <w:color w:val="000000"/>
                <w:sz w:val="16"/>
              </w:rPr>
              <w:t>Value at origination (lower of acquisition cost and appraised/evaluated market value for purchases); no PMI or provision adjustments; downward revision only if supervisor requires, extraordinary event, or improvements (ERBA NPR P.67-69)</w:t>
            </w:r>
          </w:p>
        </w:tc>
        <w:tc>
          <w:tcPr>
            <w:tcW w:type="dxa" w:w="3456"/>
            <w:shd w:fill="FFFFFF" w:val="clear"/>
          </w:tcPr>
          <w:p>
            <w:pPr>
              <w:jc w:val="left"/>
            </w:pPr>
            <w:r/>
            <w:r>
              <w:rPr>
                <w:rFonts w:ascii="Calibri" w:hAnsi="Calibri"/>
                <w:b w:val="0"/>
                <w:color w:val="000000"/>
                <w:sz w:val="16"/>
              </w:rPr>
              <w:t>Prudent market value (PS1/26 Ch.4.5)</w:t>
            </w:r>
          </w:p>
        </w:tc>
        <w:tc>
          <w:tcPr>
            <w:tcW w:type="dxa" w:w="3456"/>
            <w:shd w:fill="FFFFFF" w:val="clear"/>
          </w:tcPr>
          <w:p>
            <w:pPr>
              <w:jc w:val="left"/>
            </w:pPr>
            <w:r/>
            <w:r>
              <w:rPr>
                <w:rFonts w:ascii="Calibri" w:hAnsi="Calibri"/>
                <w:b w:val="0"/>
                <w:color w:val="000000"/>
                <w:sz w:val="16"/>
              </w:rPr>
              <w:t>Prudent market value (CRR3 Art 229)</w:t>
            </w:r>
          </w:p>
        </w:tc>
      </w:tr>
      <w:tr>
        <w:tc>
          <w:tcPr>
            <w:tcW w:type="dxa" w:w="3456"/>
            <w:shd w:fill="F2F2F2" w:val="clear"/>
          </w:tcPr>
          <w:p>
            <w:pPr>
              <w:jc w:val="left"/>
            </w:pPr>
            <w:r/>
            <w:r>
              <w:rPr>
                <w:rFonts w:ascii="Calibri" w:hAnsi="Calibri"/>
                <w:b/>
                <w:color w:val="000000"/>
                <w:sz w:val="16"/>
              </w:rPr>
              <w:t>CCF Transition</w:t>
            </w:r>
          </w:p>
        </w:tc>
        <w:tc>
          <w:tcPr>
            <w:tcW w:type="dxa" w:w="3456"/>
            <w:shd w:fill="F2F2F2" w:val="clear"/>
          </w:tcPr>
          <w:p>
            <w:pPr>
              <w:jc w:val="left"/>
            </w:pPr>
            <w:r/>
            <w:r>
              <w:rPr>
                <w:rFonts w:ascii="Calibri" w:hAnsi="Calibri"/>
                <w:b w:val="0"/>
                <w:color w:val="000000"/>
                <w:sz w:val="16"/>
              </w:rPr>
              <w:t>Immediate full application (ERBA NPR §__.112)</w:t>
            </w:r>
          </w:p>
        </w:tc>
        <w:tc>
          <w:tcPr>
            <w:tcW w:type="dxa" w:w="3456"/>
            <w:shd w:fill="F2F2F2" w:val="clear"/>
          </w:tcPr>
          <w:p>
            <w:pPr>
              <w:jc w:val="left"/>
            </w:pPr>
            <w:r/>
            <w:r>
              <w:rPr>
                <w:rFonts w:ascii="Calibri" w:hAnsi="Calibri"/>
                <w:b w:val="0"/>
                <w:color w:val="000000"/>
                <w:sz w:val="16"/>
              </w:rPr>
              <w:t>Immediate full application (PS1/26 Ch.5)</w:t>
            </w:r>
          </w:p>
        </w:tc>
        <w:tc>
          <w:tcPr>
            <w:tcW w:type="dxa" w:w="3456"/>
            <w:shd w:fill="F2F2F2" w:val="clear"/>
          </w:tcPr>
          <w:p>
            <w:pPr>
              <w:jc w:val="left"/>
            </w:pPr>
            <w:r/>
            <w:r>
              <w:rPr>
                <w:rFonts w:ascii="Calibri" w:hAnsi="Calibri"/>
                <w:b w:val="0"/>
                <w:color w:val="000000"/>
                <w:sz w:val="16"/>
              </w:rPr>
              <w:t>Phase-in for certain CCFs (CRR3 Art 111)</w:t>
            </w:r>
          </w:p>
        </w:tc>
      </w:tr>
      <w:tr>
        <w:tc>
          <w:tcPr>
            <w:tcW w:type="dxa" w:w="3456"/>
            <w:shd w:fill="FFFFFF" w:val="clear"/>
          </w:tcPr>
          <w:p>
            <w:pPr>
              <w:jc w:val="left"/>
            </w:pPr>
            <w:r/>
            <w:r>
              <w:rPr>
                <w:rFonts w:ascii="Calibri" w:hAnsi="Calibri"/>
                <w:b/>
                <w:color w:val="000000"/>
                <w:sz w:val="16"/>
              </w:rPr>
              <w:t>CRM Recognition</w:t>
            </w:r>
          </w:p>
        </w:tc>
        <w:tc>
          <w:tcPr>
            <w:tcW w:type="dxa" w:w="3456"/>
            <w:shd w:fill="FFFFFF" w:val="clear"/>
          </w:tcPr>
          <w:p>
            <w:pPr>
              <w:jc w:val="left"/>
            </w:pPr>
            <w:r/>
            <w:r>
              <w:rPr>
                <w:rFonts w:ascii="Calibri" w:hAnsi="Calibri"/>
                <w:b w:val="0"/>
                <w:color w:val="000000"/>
                <w:sz w:val="16"/>
              </w:rPr>
              <w:t>Immediate (ERBA NPR §__.120-121)</w:t>
            </w:r>
          </w:p>
        </w:tc>
        <w:tc>
          <w:tcPr>
            <w:tcW w:type="dxa" w:w="3456"/>
            <w:shd w:fill="FFFFFF" w:val="clear"/>
          </w:tcPr>
          <w:p>
            <w:pPr>
              <w:jc w:val="left"/>
            </w:pPr>
            <w:r/>
            <w:r>
              <w:rPr>
                <w:rFonts w:ascii="Calibri" w:hAnsi="Calibri"/>
                <w:b w:val="0"/>
                <w:color w:val="000000"/>
                <w:sz w:val="16"/>
              </w:rPr>
              <w:t>Immediate (PS1/26 Ch.6)</w:t>
            </w:r>
          </w:p>
        </w:tc>
        <w:tc>
          <w:tcPr>
            <w:tcW w:type="dxa" w:w="3456"/>
            <w:shd w:fill="FFFFFF" w:val="clear"/>
          </w:tcPr>
          <w:p>
            <w:pPr>
              <w:jc w:val="left"/>
            </w:pPr>
            <w:r/>
            <w:r>
              <w:rPr>
                <w:rFonts w:ascii="Calibri" w:hAnsi="Calibri"/>
                <w:b w:val="0"/>
                <w:color w:val="000000"/>
                <w:sz w:val="16"/>
              </w:rPr>
              <w:t>Immediate (CRR3 Art 192-241)</w:t>
            </w:r>
          </w:p>
        </w:tc>
      </w:tr>
    </w:tbl>
    <w:p>
      <w:r>
        <w:rPr>
          <w:rFonts w:ascii="Calibri" w:hAnsi="Calibri"/>
          <w:b/>
          <w:color w:val="002060"/>
          <w:sz w:val="22"/>
        </w:rPr>
        <w:t>1.4 Operational Risk &amp; Other Key Dates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OpRisk Go-Live</w:t>
            </w:r>
          </w:p>
        </w:tc>
        <w:tc>
          <w:tcPr>
            <w:tcW w:type="dxa" w:w="3456"/>
            <w:shd w:fill="F2F2F2" w:val="clear"/>
          </w:tcPr>
          <w:p>
            <w:pPr>
              <w:jc w:val="left"/>
            </w:pPr>
            <w:r/>
            <w:r>
              <w:rPr>
                <w:rFonts w:ascii="Calibri" w:hAnsi="Calibri"/>
                <w:b w:val="0"/>
                <w:color w:val="000000"/>
                <w:sz w:val="16"/>
              </w:rPr>
              <w:t>Final-rule effective date (not fixed in NPR text) (ERBA NPR §__.150)</w:t>
            </w:r>
          </w:p>
        </w:tc>
        <w:tc>
          <w:tcPr>
            <w:tcW w:type="dxa" w:w="3456"/>
            <w:shd w:fill="F2F2F2" w:val="clear"/>
          </w:tcPr>
          <w:p>
            <w:pPr>
              <w:jc w:val="left"/>
            </w:pPr>
            <w:r/>
            <w:r>
              <w:rPr>
                <w:rFonts w:ascii="Calibri" w:hAnsi="Calibri"/>
                <w:b w:val="0"/>
                <w:color w:val="000000"/>
                <w:sz w:val="16"/>
              </w:rPr>
              <w:t>January 1, 2025 (PS1/26 Ch.14)</w:t>
            </w:r>
          </w:p>
        </w:tc>
        <w:tc>
          <w:tcPr>
            <w:tcW w:type="dxa" w:w="3456"/>
            <w:shd w:fill="F2F2F2" w:val="clear"/>
          </w:tcPr>
          <w:p>
            <w:pPr>
              <w:jc w:val="left"/>
            </w:pPr>
            <w:r/>
            <w:r>
              <w:rPr>
                <w:rFonts w:ascii="Calibri" w:hAnsi="Calibri"/>
                <w:b w:val="0"/>
                <w:color w:val="000000"/>
                <w:sz w:val="16"/>
              </w:rPr>
              <w:t>January 1, 2025 (CRR3 Art 312a)</w:t>
            </w:r>
          </w:p>
        </w:tc>
      </w:tr>
      <w:tr>
        <w:tc>
          <w:tcPr>
            <w:tcW w:type="dxa" w:w="3456"/>
            <w:shd w:fill="FFFFFF" w:val="clear"/>
          </w:tcPr>
          <w:p>
            <w:pPr>
              <w:jc w:val="left"/>
            </w:pPr>
            <w:r/>
            <w:r>
              <w:rPr>
                <w:rFonts w:ascii="Calibri" w:hAnsi="Calibri"/>
                <w:b/>
                <w:color w:val="000000"/>
                <w:sz w:val="16"/>
              </w:rPr>
              <w:t>Loss Data Collection</w:t>
            </w:r>
          </w:p>
        </w:tc>
        <w:tc>
          <w:tcPr>
            <w:tcW w:type="dxa" w:w="3456"/>
            <w:shd w:fill="FFFFFF" w:val="clear"/>
          </w:tcPr>
          <w:p>
            <w:pPr>
              <w:jc w:val="left"/>
            </w:pPr>
            <w:r/>
            <w:r>
              <w:rPr>
                <w:rFonts w:ascii="Calibri" w:hAnsi="Calibri"/>
                <w:b w:val="0"/>
                <w:color w:val="000000"/>
                <w:sz w:val="16"/>
              </w:rPr>
              <w:t>REQUIRED: operational loss event data &gt;= $20,000 per event (CPI-W indexed), 10 years; total operational losses are added to the BI noninterest component (no ILM) (ERBA NPR §__.150, P.204-207, P.216)</w:t>
            </w:r>
          </w:p>
        </w:tc>
        <w:tc>
          <w:tcPr>
            <w:tcW w:type="dxa" w:w="3456"/>
            <w:shd w:fill="FFFFFF" w:val="clear"/>
          </w:tcPr>
          <w:p>
            <w:pPr>
              <w:jc w:val="left"/>
            </w:pPr>
            <w:r/>
            <w:r>
              <w:rPr>
                <w:rFonts w:ascii="Calibri" w:hAnsi="Calibri"/>
                <w:b w:val="0"/>
                <w:color w:val="000000"/>
                <w:sz w:val="16"/>
              </w:rPr>
              <w:t>Supervisory expectation only (PS1/26 Ch.14.3)</w:t>
            </w:r>
          </w:p>
        </w:tc>
        <w:tc>
          <w:tcPr>
            <w:tcW w:type="dxa" w:w="3456"/>
            <w:shd w:fill="FFFFFF" w:val="clear"/>
          </w:tcPr>
          <w:p>
            <w:pPr>
              <w:jc w:val="left"/>
            </w:pPr>
            <w:r/>
            <w:r>
              <w:rPr>
                <w:rFonts w:ascii="Calibri" w:hAnsi="Calibri"/>
                <w:b w:val="0"/>
                <w:color w:val="000000"/>
                <w:sz w:val="16"/>
              </w:rPr>
              <w:t>Mandatory: EUR 20K threshold, 10Y history (CRR3 Art 316)</w:t>
            </w:r>
          </w:p>
        </w:tc>
      </w:tr>
      <w:tr>
        <w:tc>
          <w:tcPr>
            <w:tcW w:type="dxa" w:w="3456"/>
            <w:shd w:fill="F2F2F2" w:val="clear"/>
          </w:tcPr>
          <w:p>
            <w:pPr>
              <w:jc w:val="left"/>
            </w:pPr>
            <w:r/>
            <w:r>
              <w:rPr>
                <w:rFonts w:ascii="Calibri" w:hAnsi="Calibri"/>
                <w:b/>
                <w:color w:val="000000"/>
                <w:sz w:val="16"/>
              </w:rPr>
              <w:t>SA-CCR Go-Live</w:t>
            </w:r>
          </w:p>
        </w:tc>
        <w:tc>
          <w:tcPr>
            <w:tcW w:type="dxa" w:w="3456"/>
            <w:shd w:fill="F2F2F2" w:val="clear"/>
          </w:tcPr>
          <w:p>
            <w:pPr>
              <w:jc w:val="left"/>
            </w:pPr>
            <w:r/>
            <w:r>
              <w:rPr>
                <w:rFonts w:ascii="Calibri" w:hAnsi="Calibri"/>
                <w:b w:val="0"/>
                <w:color w:val="000000"/>
                <w:sz w:val="16"/>
              </w:rPr>
              <w:t>Already in force since 2020 (85 FR 4362); NPR adds extended SA-CCR for cross-product netting sets (ERBA NPR §__.113-114, P.110)</w:t>
            </w:r>
          </w:p>
        </w:tc>
        <w:tc>
          <w:tcPr>
            <w:tcW w:type="dxa" w:w="3456"/>
            <w:shd w:fill="F2F2F2" w:val="clear"/>
          </w:tcPr>
          <w:p>
            <w:pPr>
              <w:jc w:val="left"/>
            </w:pPr>
            <w:r/>
            <w:r>
              <w:rPr>
                <w:rFonts w:ascii="Calibri" w:hAnsi="Calibri"/>
                <w:b w:val="0"/>
                <w:color w:val="000000"/>
                <w:sz w:val="16"/>
              </w:rPr>
              <w:t>January 1, 2025 (PS1/26 Ch.8)</w:t>
            </w:r>
          </w:p>
        </w:tc>
        <w:tc>
          <w:tcPr>
            <w:tcW w:type="dxa" w:w="3456"/>
            <w:shd w:fill="F2F2F2" w:val="clear"/>
          </w:tcPr>
          <w:p>
            <w:pPr>
              <w:jc w:val="left"/>
            </w:pPr>
            <w:r/>
            <w:r>
              <w:rPr>
                <w:rFonts w:ascii="Calibri" w:hAnsi="Calibri"/>
                <w:b w:val="0"/>
                <w:color w:val="000000"/>
                <w:sz w:val="16"/>
              </w:rPr>
              <w:t>Already effective June 2021 (CRR2 Art 274)</w:t>
            </w:r>
          </w:p>
        </w:tc>
      </w:tr>
      <w:tr>
        <w:tc>
          <w:tcPr>
            <w:tcW w:type="dxa" w:w="3456"/>
            <w:shd w:fill="FFFFFF" w:val="clear"/>
          </w:tcPr>
          <w:p>
            <w:pPr>
              <w:jc w:val="left"/>
            </w:pPr>
            <w:r/>
            <w:r>
              <w:rPr>
                <w:rFonts w:ascii="Calibri" w:hAnsi="Calibri"/>
                <w:b/>
                <w:color w:val="000000"/>
                <w:sz w:val="16"/>
              </w:rPr>
              <w:t>CVA Go-Live</w:t>
            </w:r>
          </w:p>
        </w:tc>
        <w:tc>
          <w:tcPr>
            <w:tcW w:type="dxa" w:w="3456"/>
            <w:shd w:fill="FFFFFF" w:val="clear"/>
          </w:tcPr>
          <w:p>
            <w:pPr>
              <w:jc w:val="left"/>
            </w:pPr>
            <w:r/>
            <w:r>
              <w:rPr>
                <w:rFonts w:ascii="Calibri" w:hAnsi="Calibri"/>
                <w:b w:val="0"/>
                <w:color w:val="000000"/>
                <w:sz w:val="16"/>
              </w:rPr>
              <w:t>Final-rule effective date; scope = Cat I/II HCs, their market-risk DI subsidiaries, and market-risk banks with &gt;= $1T OTC derivative notional (ERBA NPR §__.201)</w:t>
            </w:r>
          </w:p>
        </w:tc>
        <w:tc>
          <w:tcPr>
            <w:tcW w:type="dxa" w:w="3456"/>
            <w:shd w:fill="FFFFFF" w:val="clear"/>
          </w:tcPr>
          <w:p>
            <w:pPr>
              <w:jc w:val="left"/>
            </w:pPr>
            <w:r/>
            <w:r>
              <w:rPr>
                <w:rFonts w:ascii="Calibri" w:hAnsi="Calibri"/>
                <w:b w:val="0"/>
                <w:color w:val="000000"/>
                <w:sz w:val="16"/>
              </w:rPr>
              <w:t>January 1, 2025 (PS1/26 Ch.9)</w:t>
            </w:r>
          </w:p>
        </w:tc>
        <w:tc>
          <w:tcPr>
            <w:tcW w:type="dxa" w:w="3456"/>
            <w:shd w:fill="FFFFFF" w:val="clear"/>
          </w:tcPr>
          <w:p>
            <w:pPr>
              <w:jc w:val="left"/>
            </w:pPr>
            <w:r/>
            <w:r>
              <w:rPr>
                <w:rFonts w:ascii="Calibri" w:hAnsi="Calibri"/>
                <w:b w:val="0"/>
                <w:color w:val="000000"/>
                <w:sz w:val="16"/>
              </w:rPr>
              <w:t>January 1, 2025 (CRR3 Art 382)</w:t>
            </w:r>
          </w:p>
        </w:tc>
      </w:tr>
      <w:tr>
        <w:tc>
          <w:tcPr>
            <w:tcW w:type="dxa" w:w="3456"/>
            <w:shd w:fill="F2F2F2" w:val="clear"/>
          </w:tcPr>
          <w:p>
            <w:pPr>
              <w:jc w:val="left"/>
            </w:pPr>
            <w:r/>
            <w:r>
              <w:rPr>
                <w:rFonts w:ascii="Calibri" w:hAnsi="Calibri"/>
                <w:b/>
                <w:color w:val="000000"/>
                <w:sz w:val="16"/>
              </w:rPr>
              <w:t>Pillar 3 Phase 1</w:t>
            </w:r>
          </w:p>
        </w:tc>
        <w:tc>
          <w:tcPr>
            <w:tcW w:type="dxa" w:w="3456"/>
            <w:shd w:fill="F2F2F2" w:val="clear"/>
          </w:tcPr>
          <w:p>
            <w:pPr>
              <w:jc w:val="left"/>
            </w:pPr>
            <w:r/>
            <w:r>
              <w:rPr>
                <w:rFonts w:ascii="Calibri" w:hAnsi="Calibri"/>
                <w:b w:val="0"/>
                <w:color w:val="000000"/>
                <w:sz w:val="16"/>
              </w:rPr>
              <w:t>From effective date: 13 qualitative tables, 12 quarters retained; top-tier consolidated entity only (ERBA NPR §__.160-162, P.21 fn 22)</w:t>
            </w:r>
          </w:p>
        </w:tc>
        <w:tc>
          <w:tcPr>
            <w:tcW w:type="dxa" w:w="3456"/>
            <w:shd w:fill="F2F2F2" w:val="clear"/>
          </w:tcPr>
          <w:p>
            <w:pPr>
              <w:jc w:val="left"/>
            </w:pPr>
            <w:r/>
            <w:r>
              <w:rPr>
                <w:rFonts w:ascii="Calibri" w:hAnsi="Calibri"/>
                <w:b w:val="0"/>
                <w:color w:val="000000"/>
                <w:sz w:val="16"/>
              </w:rPr>
              <w:t>H1 2025 first filing (PS1/26 Ch.18)</w:t>
            </w:r>
          </w:p>
        </w:tc>
        <w:tc>
          <w:tcPr>
            <w:tcW w:type="dxa" w:w="3456"/>
            <w:shd w:fill="F2F2F2" w:val="clear"/>
          </w:tcPr>
          <w:p>
            <w:pPr>
              <w:jc w:val="left"/>
            </w:pPr>
            <w:r/>
            <w:r>
              <w:rPr>
                <w:rFonts w:ascii="Calibri" w:hAnsi="Calibri"/>
                <w:b w:val="0"/>
                <w:color w:val="000000"/>
                <w:sz w:val="16"/>
              </w:rPr>
              <w:t>June 30, 2025 first filing (CRR3 Art 431a)</w:t>
            </w:r>
          </w:p>
        </w:tc>
      </w:tr>
      <w:tr>
        <w:tc>
          <w:tcPr>
            <w:tcW w:type="dxa" w:w="3456"/>
            <w:shd w:fill="FFFFFF" w:val="clear"/>
          </w:tcPr>
          <w:p>
            <w:pPr>
              <w:jc w:val="left"/>
            </w:pPr>
            <w:r/>
            <w:r>
              <w:rPr>
                <w:rFonts w:ascii="Calibri" w:hAnsi="Calibri"/>
                <w:b/>
                <w:color w:val="000000"/>
                <w:sz w:val="16"/>
              </w:rPr>
              <w:t>Pillar 3 Phase 2</w:t>
            </w:r>
          </w:p>
        </w:tc>
        <w:tc>
          <w:tcPr>
            <w:tcW w:type="dxa" w:w="3456"/>
            <w:shd w:fill="FFFFFF" w:val="clear"/>
          </w:tcPr>
          <w:p>
            <w:pPr>
              <w:jc w:val="left"/>
            </w:pPr>
            <w:r/>
            <w:r>
              <w:rPr>
                <w:rFonts w:ascii="Calibri" w:hAnsi="Calibri"/>
                <w:b w:val="0"/>
                <w:color w:val="000000"/>
                <w:sz w:val="16"/>
              </w:rPr>
              <w:t>Not specified in NPR (no phased disclosure schedule)</w:t>
            </w:r>
          </w:p>
        </w:tc>
        <w:tc>
          <w:tcPr>
            <w:tcW w:type="dxa" w:w="3456"/>
            <w:shd w:fill="FFFFFF" w:val="clear"/>
          </w:tcPr>
          <w:p>
            <w:pPr>
              <w:jc w:val="left"/>
            </w:pPr>
            <w:r/>
            <w:r>
              <w:rPr>
                <w:rFonts w:ascii="Calibri" w:hAnsi="Calibri"/>
                <w:b w:val="0"/>
                <w:color w:val="000000"/>
                <w:sz w:val="16"/>
              </w:rPr>
              <w:t>H2 2025 (PS1/26 Ch.18.2)</w:t>
            </w:r>
          </w:p>
        </w:tc>
        <w:tc>
          <w:tcPr>
            <w:tcW w:type="dxa" w:w="3456"/>
            <w:shd w:fill="FFFFFF" w:val="clear"/>
          </w:tcPr>
          <w:p>
            <w:pPr>
              <w:jc w:val="left"/>
            </w:pPr>
            <w:r/>
            <w:r>
              <w:rPr>
                <w:rFonts w:ascii="Calibri" w:hAnsi="Calibri"/>
                <w:b w:val="0"/>
                <w:color w:val="000000"/>
                <w:sz w:val="16"/>
              </w:rPr>
              <w:t>December 31, 2025 (CRR3 Art 431a(2))</w:t>
            </w:r>
          </w:p>
        </w:tc>
      </w:tr>
      <w:tr>
        <w:tc>
          <w:tcPr>
            <w:tcW w:type="dxa" w:w="3456"/>
            <w:shd w:fill="F2F2F2" w:val="clear"/>
          </w:tcPr>
          <w:p>
            <w:pPr>
              <w:jc w:val="left"/>
            </w:pPr>
            <w:r/>
            <w:r>
              <w:rPr>
                <w:rFonts w:ascii="Calibri" w:hAnsi="Calibri"/>
                <w:b/>
                <w:color w:val="000000"/>
                <w:sz w:val="16"/>
              </w:rPr>
              <w:t>CRD6 Transposition</w:t>
            </w:r>
          </w:p>
        </w:tc>
        <w:tc>
          <w:tcPr>
            <w:tcW w:type="dxa" w:w="3456"/>
            <w:shd w:fill="F2F2F2" w:val="clear"/>
          </w:tcPr>
          <w:p>
            <w:pPr>
              <w:jc w:val="left"/>
            </w:pPr>
            <w:r/>
            <w:r>
              <w:rPr>
                <w:rFonts w:ascii="Calibri" w:hAnsi="Calibri"/>
                <w:b w:val="0"/>
                <w:color w:val="000000"/>
                <w:sz w:val="16"/>
              </w:rPr>
              <w:t>N/A (US uses NPR/Final Rule process)</w:t>
            </w:r>
          </w:p>
        </w:tc>
        <w:tc>
          <w:tcPr>
            <w:tcW w:type="dxa" w:w="3456"/>
            <w:shd w:fill="F2F2F2" w:val="clear"/>
          </w:tcPr>
          <w:p>
            <w:pPr>
              <w:jc w:val="left"/>
            </w:pPr>
            <w:r/>
            <w:r>
              <w:rPr>
                <w:rFonts w:ascii="Calibri" w:hAnsi="Calibri"/>
                <w:b w:val="0"/>
                <w:color w:val="000000"/>
                <w:sz w:val="16"/>
              </w:rPr>
              <w:t>N/A (UK uses PS/SS process)</w:t>
            </w:r>
          </w:p>
        </w:tc>
        <w:tc>
          <w:tcPr>
            <w:tcW w:type="dxa" w:w="3456"/>
            <w:shd w:fill="F2F2F2" w:val="clear"/>
          </w:tcPr>
          <w:p>
            <w:pPr>
              <w:jc w:val="left"/>
            </w:pPr>
            <w:r/>
            <w:r>
              <w:rPr>
                <w:rFonts w:ascii="Calibri" w:hAnsi="Calibri"/>
                <w:b w:val="0"/>
                <w:color w:val="000000"/>
                <w:sz w:val="16"/>
              </w:rPr>
              <w:t>January 10, 2026 Member State deadline (CRD6 Art 3)</w:t>
            </w:r>
          </w:p>
        </w:tc>
      </w:tr>
      <w:tr>
        <w:tc>
          <w:tcPr>
            <w:tcW w:type="dxa" w:w="3456"/>
            <w:shd w:fill="FFFFFF" w:val="clear"/>
          </w:tcPr>
          <w:p>
            <w:pPr>
              <w:jc w:val="left"/>
            </w:pPr>
            <w:r/>
            <w:r>
              <w:rPr>
                <w:rFonts w:ascii="Calibri" w:hAnsi="Calibri"/>
                <w:b/>
                <w:color w:val="000000"/>
                <w:sz w:val="16"/>
              </w:rPr>
              <w:t>G-SIB Surcharge</w:t>
            </w:r>
          </w:p>
        </w:tc>
        <w:tc>
          <w:tcPr>
            <w:tcW w:type="dxa" w:w="3456"/>
            <w:shd w:fill="FFFFFF" w:val="clear"/>
          </w:tcPr>
          <w:p>
            <w:pPr>
              <w:jc w:val="left"/>
            </w:pPr>
            <w:r/>
            <w:r>
              <w:rPr>
                <w:rFonts w:ascii="Calibri" w:hAnsi="Calibri"/>
                <w:b w:val="0"/>
                <w:color w:val="000000"/>
                <w:sz w:val="16"/>
              </w:rPr>
              <w:t>Separate Board G-SIB surcharge NPR (cross-referenced at ERBA NPR P.21; not reviewed here)</w:t>
            </w:r>
          </w:p>
        </w:tc>
        <w:tc>
          <w:tcPr>
            <w:tcW w:type="dxa" w:w="3456"/>
            <w:shd w:fill="FFFFFF" w:val="clear"/>
          </w:tcPr>
          <w:p>
            <w:pPr>
              <w:jc w:val="left"/>
            </w:pPr>
            <w:r/>
            <w:r>
              <w:rPr>
                <w:rFonts w:ascii="Calibri" w:hAnsi="Calibri"/>
                <w:b w:val="0"/>
                <w:color w:val="000000"/>
                <w:sz w:val="16"/>
              </w:rPr>
              <w:t>Maintained at current levels (PS1/26 Ch.17)</w:t>
            </w:r>
          </w:p>
        </w:tc>
        <w:tc>
          <w:tcPr>
            <w:tcW w:type="dxa" w:w="3456"/>
            <w:shd w:fill="FFFFFF" w:val="clear"/>
          </w:tcPr>
          <w:p>
            <w:pPr>
              <w:jc w:val="left"/>
            </w:pPr>
            <w:r/>
            <w:r>
              <w:rPr>
                <w:rFonts w:ascii="Calibri" w:hAnsi="Calibri"/>
                <w:b w:val="0"/>
                <w:color w:val="000000"/>
                <w:sz w:val="16"/>
              </w:rPr>
              <w:t>Maintained per CRD5 buffers (CRD6 Art 131)</w:t>
            </w:r>
          </w:p>
        </w:tc>
      </w:tr>
      <w:tr>
        <w:tc>
          <w:tcPr>
            <w:tcW w:type="dxa" w:w="3456"/>
            <w:shd w:fill="F2F2F2" w:val="clear"/>
          </w:tcPr>
          <w:p>
            <w:pPr>
              <w:jc w:val="left"/>
            </w:pPr>
            <w:r/>
            <w:r>
              <w:rPr>
                <w:rFonts w:ascii="Calibri" w:hAnsi="Calibri"/>
                <w:b/>
                <w:color w:val="000000"/>
                <w:sz w:val="16"/>
              </w:rPr>
              <w:t>Leverage Ratio</w:t>
            </w:r>
          </w:p>
        </w:tc>
        <w:tc>
          <w:tcPr>
            <w:tcW w:type="dxa" w:w="3456"/>
            <w:shd w:fill="F2F2F2" w:val="clear"/>
          </w:tcPr>
          <w:p>
            <w:pPr>
              <w:jc w:val="left"/>
            </w:pPr>
            <w:r/>
            <w:r>
              <w:rPr>
                <w:rFonts w:ascii="Calibri" w:hAnsi="Calibri"/>
                <w:b w:val="0"/>
                <w:color w:val="000000"/>
                <w:sz w:val="16"/>
              </w:rPr>
              <w:t>SLR 3% for Cat I-III institutions (ERBA NPR §__.10(a)(1)(v)); eSLR revised by separate Nov 2025 final rule (90 FR 55248)</w:t>
            </w:r>
          </w:p>
        </w:tc>
        <w:tc>
          <w:tcPr>
            <w:tcW w:type="dxa" w:w="3456"/>
            <w:shd w:fill="F2F2F2" w:val="clear"/>
          </w:tcPr>
          <w:p>
            <w:pPr>
              <w:jc w:val="left"/>
            </w:pPr>
            <w:r/>
            <w:r>
              <w:rPr>
                <w:rFonts w:ascii="Calibri" w:hAnsi="Calibri"/>
                <w:b w:val="0"/>
                <w:color w:val="000000"/>
                <w:sz w:val="16"/>
              </w:rPr>
              <w:t>3.25% + countercyclical buffer (PS1/26 Ch.17.3)</w:t>
            </w:r>
          </w:p>
        </w:tc>
        <w:tc>
          <w:tcPr>
            <w:tcW w:type="dxa" w:w="3456"/>
            <w:shd w:fill="F2F2F2" w:val="clear"/>
          </w:tcPr>
          <w:p>
            <w:pPr>
              <w:jc w:val="left"/>
            </w:pPr>
            <w:r/>
            <w:r>
              <w:rPr>
                <w:rFonts w:ascii="Calibri" w:hAnsi="Calibri"/>
                <w:b w:val="0"/>
                <w:color w:val="000000"/>
                <w:sz w:val="16"/>
              </w:rPr>
              <w:t>3% + G-SIB add-on 50% of G-SIB buffer (CRR3 Art 92(1)(d))</w:t>
            </w:r>
          </w:p>
        </w:tc>
      </w:tr>
      <w:tr>
        <w:tc>
          <w:tcPr>
            <w:tcW w:type="dxa" w:w="3456"/>
            <w:shd w:fill="FFFFFF" w:val="clear"/>
          </w:tcPr>
          <w:p>
            <w:pPr>
              <w:jc w:val="left"/>
            </w:pPr>
            <w:r/>
            <w:r>
              <w:rPr>
                <w:rFonts w:ascii="Calibri" w:hAnsi="Calibri"/>
                <w:b/>
                <w:color w:val="000000"/>
                <w:sz w:val="16"/>
              </w:rPr>
              <w:t>Reporting Start</w:t>
            </w:r>
          </w:p>
        </w:tc>
        <w:tc>
          <w:tcPr>
            <w:tcW w:type="dxa" w:w="3456"/>
            <w:shd w:fill="FFFFFF" w:val="clear"/>
          </w:tcPr>
          <w:p>
            <w:pPr>
              <w:jc w:val="left"/>
            </w:pPr>
            <w:r/>
            <w:r>
              <w:rPr>
                <w:rFonts w:ascii="Calibri" w:hAnsi="Calibri"/>
                <w:b w:val="0"/>
                <w:color w:val="000000"/>
                <w:sz w:val="16"/>
              </w:rPr>
              <w:t>Not specified in NPR beyond the effective date (FR Y-9C / FFIEC 101 changes to follow)</w:t>
            </w:r>
          </w:p>
        </w:tc>
        <w:tc>
          <w:tcPr>
            <w:tcW w:type="dxa" w:w="3456"/>
            <w:shd w:fill="FFFFFF" w:val="clear"/>
          </w:tcPr>
          <w:p>
            <w:pPr>
              <w:jc w:val="left"/>
            </w:pPr>
            <w:r/>
            <w:r>
              <w:rPr>
                <w:rFonts w:ascii="Calibri" w:hAnsi="Calibri"/>
                <w:b w:val="0"/>
                <w:color w:val="000000"/>
                <w:sz w:val="16"/>
              </w:rPr>
              <w:t>BoE statistical return: Q1 2025 (PS1/26 Ch.18.5)</w:t>
            </w:r>
          </w:p>
        </w:tc>
        <w:tc>
          <w:tcPr>
            <w:tcW w:type="dxa" w:w="3456"/>
            <w:shd w:fill="FFFFFF" w:val="clear"/>
          </w:tcPr>
          <w:p>
            <w:pPr>
              <w:jc w:val="left"/>
            </w:pPr>
            <w:r/>
            <w:r>
              <w:rPr>
                <w:rFonts w:ascii="Calibri" w:hAnsi="Calibri"/>
                <w:b w:val="0"/>
                <w:color w:val="000000"/>
                <w:sz w:val="16"/>
              </w:rPr>
              <w:t>COREP: Q1 2025 (CRR3 Art 430)</w:t>
            </w:r>
          </w:p>
        </w:tc>
      </w:tr>
    </w:tbl>
    <w:p>
      <w:r>
        <w:br w:type="page"/>
      </w:r>
    </w:p>
    <w:p>
      <w:r>
        <w:rPr>
          <w:rFonts w:ascii="Calibri" w:hAnsi="Calibri"/>
          <w:b/>
          <w:color w:val="C8962E"/>
          <w:sz w:val="28"/>
        </w:rPr>
        <w:t>SECTION 2</w:t>
      </w:r>
    </w:p>
    <w:p>
      <w:r>
        <w:rPr>
          <w:rFonts w:ascii="Calibri" w:hAnsi="Calibri"/>
          <w:b/>
          <w:color w:val="002060"/>
          <w:sz w:val="32"/>
        </w:rPr>
        <w:t>Capital Stack: CET1, AT1, T2 Components &amp; Deductions</w:t>
      </w:r>
    </w:p>
    <w:p>
      <w:r>
        <w:rPr>
          <w:color w:val="C8962E"/>
          <w:sz w:val="12"/>
        </w:rPr>
        <w:t>________________________________________________________________________________________________________________________</w:t>
      </w:r>
    </w:p>
    <w:p>
      <w:r>
        <w:rPr>
          <w:rFonts w:ascii="Calibri" w:hAnsi="Calibri"/>
          <w:color w:val="000000"/>
          <w:sz w:val="18"/>
        </w:rPr>
        <w:t>This section details every component of the regulatory capital stack, including qualifying instruments, deduction mechanics with threshold formulas, and jurisdiction-specific treatments for MSA, software DTA, AOCI, and AT1 triggers.</w:t>
      </w:r>
    </w:p>
    <w:p>
      <w:r>
        <w:rPr>
          <w:rFonts w:ascii="Calibri" w:hAnsi="Calibri"/>
          <w:b/>
          <w:color w:val="002060"/>
          <w:sz w:val="22"/>
        </w:rPr>
        <w:t>2.1 CET1 Capital Components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CET1 Components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Common Stock</w:t>
            </w:r>
          </w:p>
        </w:tc>
        <w:tc>
          <w:tcPr>
            <w:tcW w:type="dxa" w:w="3456"/>
            <w:shd w:fill="FFFFFF" w:val="clear"/>
          </w:tcPr>
          <w:p>
            <w:pPr>
              <w:jc w:val="left"/>
            </w:pPr>
            <w:r/>
            <w:r>
              <w:rPr>
                <w:rFonts w:ascii="Calibri" w:hAnsi="Calibri"/>
                <w:b w:val="0"/>
                <w:color w:val="000000"/>
                <w:sz w:val="16"/>
              </w:rPr>
              <w:t>Par + surplus of common stock (12 CFR 217.20(b))</w:t>
            </w:r>
          </w:p>
        </w:tc>
        <w:tc>
          <w:tcPr>
            <w:tcW w:type="dxa" w:w="3456"/>
            <w:shd w:fill="FFFFFF" w:val="clear"/>
          </w:tcPr>
          <w:p>
            <w:pPr>
              <w:jc w:val="left"/>
            </w:pPr>
            <w:r/>
            <w:r>
              <w:rPr>
                <w:rFonts w:ascii="Calibri" w:hAnsi="Calibri"/>
                <w:b w:val="0"/>
                <w:color w:val="000000"/>
                <w:sz w:val="16"/>
              </w:rPr>
              <w:t>Ordinary shares (PS1/26 SS34/15 Ch.2)</w:t>
            </w:r>
          </w:p>
        </w:tc>
        <w:tc>
          <w:tcPr>
            <w:tcW w:type="dxa" w:w="3456"/>
            <w:shd w:fill="FFFFFF" w:val="clear"/>
          </w:tcPr>
          <w:p>
            <w:pPr>
              <w:jc w:val="left"/>
            </w:pPr>
            <w:r/>
            <w:r>
              <w:rPr>
                <w:rFonts w:ascii="Calibri" w:hAnsi="Calibri"/>
                <w:b w:val="0"/>
                <w:color w:val="000000"/>
                <w:sz w:val="16"/>
              </w:rPr>
              <w:t>Common shares (CRR3 Art 26(1)(a))</w:t>
            </w:r>
          </w:p>
        </w:tc>
      </w:tr>
      <w:tr>
        <w:tc>
          <w:tcPr>
            <w:tcW w:type="dxa" w:w="3456"/>
            <w:shd w:fill="F2F2F2" w:val="clear"/>
          </w:tcPr>
          <w:p>
            <w:pPr>
              <w:jc w:val="left"/>
            </w:pPr>
            <w:r/>
            <w:r>
              <w:rPr>
                <w:rFonts w:ascii="Calibri" w:hAnsi="Calibri"/>
                <w:b/>
                <w:color w:val="000000"/>
                <w:sz w:val="16"/>
              </w:rPr>
              <w:t>Retained Earnings</w:t>
            </w:r>
          </w:p>
        </w:tc>
        <w:tc>
          <w:tcPr>
            <w:tcW w:type="dxa" w:w="3456"/>
            <w:shd w:fill="F2F2F2" w:val="clear"/>
          </w:tcPr>
          <w:p>
            <w:pPr>
              <w:jc w:val="left"/>
            </w:pPr>
            <w:r/>
            <w:r>
              <w:rPr>
                <w:rFonts w:ascii="Calibri" w:hAnsi="Calibri"/>
                <w:b w:val="0"/>
                <w:color w:val="000000"/>
                <w:sz w:val="16"/>
              </w:rPr>
              <w:t>Retained earnings net of distributions (12 CFR 217.20(b)(2))</w:t>
            </w:r>
          </w:p>
        </w:tc>
        <w:tc>
          <w:tcPr>
            <w:tcW w:type="dxa" w:w="3456"/>
            <w:shd w:fill="F2F2F2" w:val="clear"/>
          </w:tcPr>
          <w:p>
            <w:pPr>
              <w:jc w:val="left"/>
            </w:pPr>
            <w:r/>
            <w:r>
              <w:rPr>
                <w:rFonts w:ascii="Calibri" w:hAnsi="Calibri"/>
                <w:b w:val="0"/>
                <w:color w:val="000000"/>
                <w:sz w:val="16"/>
              </w:rPr>
              <w:t>Retained earnings (PS1/26 SS34/15 Ch.2.2)</w:t>
            </w:r>
          </w:p>
        </w:tc>
        <w:tc>
          <w:tcPr>
            <w:tcW w:type="dxa" w:w="3456"/>
            <w:shd w:fill="F2F2F2" w:val="clear"/>
          </w:tcPr>
          <w:p>
            <w:pPr>
              <w:jc w:val="left"/>
            </w:pPr>
            <w:r/>
            <w:r>
              <w:rPr>
                <w:rFonts w:ascii="Calibri" w:hAnsi="Calibri"/>
                <w:b w:val="0"/>
                <w:color w:val="000000"/>
                <w:sz w:val="16"/>
              </w:rPr>
              <w:t>Retained earnings (CRR3 Art 26(1)(c))</w:t>
            </w:r>
          </w:p>
        </w:tc>
      </w:tr>
      <w:tr>
        <w:tc>
          <w:tcPr>
            <w:tcW w:type="dxa" w:w="3456"/>
            <w:shd w:fill="FFFFFF" w:val="clear"/>
          </w:tcPr>
          <w:p>
            <w:pPr>
              <w:jc w:val="left"/>
            </w:pPr>
            <w:r/>
            <w:r>
              <w:rPr>
                <w:rFonts w:ascii="Calibri" w:hAnsi="Calibri"/>
                <w:b/>
                <w:color w:val="000000"/>
                <w:sz w:val="16"/>
              </w:rPr>
              <w:t>AOCI Treatment</w:t>
            </w:r>
          </w:p>
        </w:tc>
        <w:tc>
          <w:tcPr>
            <w:tcW w:type="dxa" w:w="3456"/>
            <w:shd w:fill="FFFFFF" w:val="clear"/>
          </w:tcPr>
          <w:p>
            <w:pPr>
              <w:jc w:val="left"/>
            </w:pPr>
            <w:r/>
            <w:r>
              <w:rPr>
                <w:rFonts w:ascii="Calibri" w:hAnsi="Calibri"/>
                <w:b w:val="0"/>
                <w:color w:val="000000"/>
                <w:sz w:val="16"/>
              </w:rPr>
              <w:t>AOCI fully included for Category I/II (mandatory ERBA) banks; banks ELECTING ERBA lose the AOCI opt-out with a five-year transition: 100/80/60/40/20/0% of the AOCI adjustment over [2027]-[2032] (ERBA NPR P.22-23; Table 1 to §__.300)</w:t>
            </w:r>
          </w:p>
        </w:tc>
        <w:tc>
          <w:tcPr>
            <w:tcW w:type="dxa" w:w="3456"/>
            <w:shd w:fill="FFFFFF" w:val="clear"/>
          </w:tcPr>
          <w:p>
            <w:pPr>
              <w:jc w:val="left"/>
            </w:pPr>
            <w:r/>
            <w:r>
              <w:rPr>
                <w:rFonts w:ascii="Calibri" w:hAnsi="Calibri"/>
                <w:b w:val="0"/>
                <w:color w:val="000000"/>
                <w:sz w:val="16"/>
              </w:rPr>
              <w:t>AOCI fully included; no opt-out (PS1/26 SS34/15 Ch.2.3)</w:t>
            </w:r>
          </w:p>
        </w:tc>
        <w:tc>
          <w:tcPr>
            <w:tcW w:type="dxa" w:w="3456"/>
            <w:shd w:fill="FFFFFF" w:val="clear"/>
          </w:tcPr>
          <w:p>
            <w:pPr>
              <w:jc w:val="left"/>
            </w:pPr>
            <w:r/>
            <w:r>
              <w:rPr>
                <w:rFonts w:ascii="Calibri" w:hAnsi="Calibri"/>
                <w:b w:val="0"/>
                <w:color w:val="000000"/>
                <w:sz w:val="16"/>
              </w:rPr>
              <w:t>AOCI included with transitional IFRS 9 provisions (CRR3 Art 473a)</w:t>
            </w:r>
          </w:p>
        </w:tc>
      </w:tr>
      <w:tr>
        <w:tc>
          <w:tcPr>
            <w:tcW w:type="dxa" w:w="3456"/>
            <w:shd w:fill="F2F2F2" w:val="clear"/>
          </w:tcPr>
          <w:p>
            <w:pPr>
              <w:jc w:val="left"/>
            </w:pPr>
            <w:r/>
            <w:r>
              <w:rPr>
                <w:rFonts w:ascii="Calibri" w:hAnsi="Calibri"/>
                <w:b/>
                <w:color w:val="000000"/>
                <w:sz w:val="16"/>
              </w:rPr>
              <w:t>Minority Interests</w:t>
            </w:r>
          </w:p>
        </w:tc>
        <w:tc>
          <w:tcPr>
            <w:tcW w:type="dxa" w:w="3456"/>
            <w:shd w:fill="F2F2F2" w:val="clear"/>
          </w:tcPr>
          <w:p>
            <w:pPr>
              <w:jc w:val="left"/>
            </w:pPr>
            <w:r/>
            <w:r>
              <w:rPr>
                <w:rFonts w:ascii="Calibri" w:hAnsi="Calibri"/>
                <w:b w:val="0"/>
                <w:color w:val="000000"/>
                <w:sz w:val="16"/>
              </w:rPr>
              <w:t>Included subject to surplus test (12 CFR 217.21)</w:t>
            </w:r>
          </w:p>
        </w:tc>
        <w:tc>
          <w:tcPr>
            <w:tcW w:type="dxa" w:w="3456"/>
            <w:shd w:fill="F2F2F2" w:val="clear"/>
          </w:tcPr>
          <w:p>
            <w:pPr>
              <w:jc w:val="left"/>
            </w:pPr>
            <w:r/>
            <w:r>
              <w:rPr>
                <w:rFonts w:ascii="Calibri" w:hAnsi="Calibri"/>
                <w:b w:val="0"/>
                <w:color w:val="000000"/>
                <w:sz w:val="16"/>
              </w:rPr>
              <w:t>Minority interests per surplus method (PS1/26 SS34/15 Ch.2.4)</w:t>
            </w:r>
          </w:p>
        </w:tc>
        <w:tc>
          <w:tcPr>
            <w:tcW w:type="dxa" w:w="3456"/>
            <w:shd w:fill="F2F2F2" w:val="clear"/>
          </w:tcPr>
          <w:p>
            <w:pPr>
              <w:jc w:val="left"/>
            </w:pPr>
            <w:r/>
            <w:r>
              <w:rPr>
                <w:rFonts w:ascii="Calibri" w:hAnsi="Calibri"/>
                <w:b w:val="0"/>
                <w:color w:val="000000"/>
                <w:sz w:val="16"/>
              </w:rPr>
              <w:t>Minority interests per surplus method (CRR3 Art 81-88)</w:t>
            </w:r>
          </w:p>
        </w:tc>
      </w:tr>
      <w:tr>
        <w:tc>
          <w:tcPr>
            <w:tcW w:type="dxa" w:w="3456"/>
            <w:shd w:fill="FFFFFF" w:val="clear"/>
          </w:tcPr>
          <w:p>
            <w:pPr>
              <w:jc w:val="left"/>
            </w:pPr>
            <w:r/>
            <w:r>
              <w:rPr>
                <w:rFonts w:ascii="Calibri" w:hAnsi="Calibri"/>
                <w:b/>
                <w:color w:val="000000"/>
                <w:sz w:val="16"/>
              </w:rPr>
              <w:t>Interim Profits</w:t>
            </w:r>
          </w:p>
        </w:tc>
        <w:tc>
          <w:tcPr>
            <w:tcW w:type="dxa" w:w="3456"/>
            <w:shd w:fill="FFFFFF" w:val="clear"/>
          </w:tcPr>
          <w:p>
            <w:pPr>
              <w:jc w:val="left"/>
            </w:pPr>
            <w:r/>
            <w:r>
              <w:rPr>
                <w:rFonts w:ascii="Calibri" w:hAnsi="Calibri"/>
                <w:b w:val="0"/>
                <w:color w:val="000000"/>
                <w:sz w:val="16"/>
              </w:rPr>
              <w:t>Included if verified by independent audit (12 CFR 217.20(b)(3))</w:t>
            </w:r>
          </w:p>
        </w:tc>
        <w:tc>
          <w:tcPr>
            <w:tcW w:type="dxa" w:w="3456"/>
            <w:shd w:fill="FFFFFF" w:val="clear"/>
          </w:tcPr>
          <w:p>
            <w:pPr>
              <w:jc w:val="left"/>
            </w:pPr>
            <w:r/>
            <w:r>
              <w:rPr>
                <w:rFonts w:ascii="Calibri" w:hAnsi="Calibri"/>
                <w:b w:val="0"/>
                <w:color w:val="000000"/>
                <w:sz w:val="16"/>
              </w:rPr>
              <w:t>Interim profits if verified (PS1/26 SS34/15 Ch.2.5)</w:t>
            </w:r>
          </w:p>
        </w:tc>
        <w:tc>
          <w:tcPr>
            <w:tcW w:type="dxa" w:w="3456"/>
            <w:shd w:fill="FFFFFF" w:val="clear"/>
          </w:tcPr>
          <w:p>
            <w:pPr>
              <w:jc w:val="left"/>
            </w:pPr>
            <w:r/>
            <w:r>
              <w:rPr>
                <w:rFonts w:ascii="Calibri" w:hAnsi="Calibri"/>
                <w:b w:val="0"/>
                <w:color w:val="000000"/>
                <w:sz w:val="16"/>
              </w:rPr>
              <w:t>Interim/year-end profits if verified by statutory auditor (CRR3 Art 26(2))</w:t>
            </w:r>
          </w:p>
        </w:tc>
      </w:tr>
      <w:tr>
        <w:tc>
          <w:tcPr>
            <w:tcW w:type="dxa" w:w="3456"/>
            <w:shd w:fill="F2F2F2" w:val="clear"/>
          </w:tcPr>
          <w:p>
            <w:pPr>
              <w:jc w:val="left"/>
            </w:pPr>
            <w:r/>
            <w:r>
              <w:rPr>
                <w:rFonts w:ascii="Calibri" w:hAnsi="Calibri"/>
                <w:b/>
                <w:color w:val="000000"/>
                <w:sz w:val="16"/>
              </w:rPr>
              <w:t>Qualifying Criteria</w:t>
            </w:r>
          </w:p>
        </w:tc>
        <w:tc>
          <w:tcPr>
            <w:tcW w:type="dxa" w:w="3456"/>
            <w:shd w:fill="F2F2F2" w:val="clear"/>
          </w:tcPr>
          <w:p>
            <w:pPr>
              <w:jc w:val="left"/>
            </w:pPr>
            <w:r/>
            <w:r>
              <w:rPr>
                <w:rFonts w:ascii="Calibri" w:hAnsi="Calibri"/>
                <w:b w:val="0"/>
                <w:color w:val="000000"/>
                <w:sz w:val="16"/>
              </w:rPr>
              <w:t>14 criteria per 12 CFR 217.20(b)(1)</w:t>
            </w:r>
          </w:p>
        </w:tc>
        <w:tc>
          <w:tcPr>
            <w:tcW w:type="dxa" w:w="3456"/>
            <w:shd w:fill="F2F2F2" w:val="clear"/>
          </w:tcPr>
          <w:p>
            <w:pPr>
              <w:jc w:val="left"/>
            </w:pPr>
            <w:r/>
            <w:r>
              <w:rPr>
                <w:rFonts w:ascii="Calibri" w:hAnsi="Calibri"/>
                <w:b w:val="0"/>
                <w:color w:val="000000"/>
                <w:sz w:val="16"/>
              </w:rPr>
              <w:t>13 criteria per PS1/26 SS34/15 Ch.2.1</w:t>
            </w:r>
          </w:p>
        </w:tc>
        <w:tc>
          <w:tcPr>
            <w:tcW w:type="dxa" w:w="3456"/>
            <w:shd w:fill="F2F2F2" w:val="clear"/>
          </w:tcPr>
          <w:p>
            <w:pPr>
              <w:jc w:val="left"/>
            </w:pPr>
            <w:r/>
            <w:r>
              <w:rPr>
                <w:rFonts w:ascii="Calibri" w:hAnsi="Calibri"/>
                <w:b w:val="0"/>
                <w:color w:val="000000"/>
                <w:sz w:val="16"/>
              </w:rPr>
              <w:t>14 criteria per CRR3 Art 28</w:t>
            </w:r>
          </w:p>
        </w:tc>
      </w:tr>
    </w:tbl>
    <w:p>
      <w:r>
        <w:rPr>
          <w:rFonts w:ascii="Calibri" w:hAnsi="Calibri"/>
          <w:b/>
          <w:color w:val="002060"/>
          <w:sz w:val="22"/>
        </w:rPr>
        <w:t>2.2 CET1 Regulatory Deductions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CET1 Deductions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Goodwill</w:t>
            </w:r>
          </w:p>
        </w:tc>
        <w:tc>
          <w:tcPr>
            <w:tcW w:type="dxa" w:w="3456"/>
            <w:shd w:fill="FFFFFF" w:val="clear"/>
          </w:tcPr>
          <w:p>
            <w:pPr>
              <w:jc w:val="left"/>
            </w:pPr>
            <w:r/>
            <w:r>
              <w:rPr>
                <w:rFonts w:ascii="Calibri" w:hAnsi="Calibri"/>
                <w:b w:val="0"/>
                <w:color w:val="000000"/>
                <w:sz w:val="16"/>
              </w:rPr>
              <w:t>Full deduction net of associated DTL (12 CFR 217.22(a)(1))</w:t>
            </w:r>
          </w:p>
        </w:tc>
        <w:tc>
          <w:tcPr>
            <w:tcW w:type="dxa" w:w="3456"/>
            <w:shd w:fill="FFFFFF" w:val="clear"/>
          </w:tcPr>
          <w:p>
            <w:pPr>
              <w:jc w:val="left"/>
            </w:pPr>
            <w:r/>
            <w:r>
              <w:rPr>
                <w:rFonts w:ascii="Calibri" w:hAnsi="Calibri"/>
                <w:b w:val="0"/>
                <w:color w:val="000000"/>
                <w:sz w:val="16"/>
              </w:rPr>
              <w:t>Full deduction net of DTL (PS1/26 SS34/15 Ch.3.1)</w:t>
            </w:r>
          </w:p>
        </w:tc>
        <w:tc>
          <w:tcPr>
            <w:tcW w:type="dxa" w:w="3456"/>
            <w:shd w:fill="FFFFFF" w:val="clear"/>
          </w:tcPr>
          <w:p>
            <w:pPr>
              <w:jc w:val="left"/>
            </w:pPr>
            <w:r/>
            <w:r>
              <w:rPr>
                <w:rFonts w:ascii="Calibri" w:hAnsi="Calibri"/>
                <w:b w:val="0"/>
                <w:color w:val="000000"/>
                <w:sz w:val="16"/>
              </w:rPr>
              <w:t>Full deduction net of DTL (CRR3 Art 36(1)(b), Art 37)</w:t>
            </w:r>
          </w:p>
        </w:tc>
      </w:tr>
      <w:tr>
        <w:tc>
          <w:tcPr>
            <w:tcW w:type="dxa" w:w="3456"/>
            <w:shd w:fill="F2F2F2" w:val="clear"/>
          </w:tcPr>
          <w:p>
            <w:pPr>
              <w:jc w:val="left"/>
            </w:pPr>
            <w:r/>
            <w:r>
              <w:rPr>
                <w:rFonts w:ascii="Calibri" w:hAnsi="Calibri"/>
                <w:b/>
                <w:color w:val="000000"/>
                <w:sz w:val="16"/>
              </w:rPr>
              <w:t>Other Intangibles</w:t>
            </w:r>
          </w:p>
        </w:tc>
        <w:tc>
          <w:tcPr>
            <w:tcW w:type="dxa" w:w="3456"/>
            <w:shd w:fill="F2F2F2" w:val="clear"/>
          </w:tcPr>
          <w:p>
            <w:pPr>
              <w:jc w:val="left"/>
            </w:pPr>
            <w:r/>
            <w:r>
              <w:rPr>
                <w:rFonts w:ascii="Calibri" w:hAnsi="Calibri"/>
                <w:b w:val="0"/>
                <w:color w:val="000000"/>
                <w:sz w:val="16"/>
              </w:rPr>
              <w:t>Full deduction net of DTL (12 CFR 217.22(a)(1))</w:t>
            </w:r>
          </w:p>
        </w:tc>
        <w:tc>
          <w:tcPr>
            <w:tcW w:type="dxa" w:w="3456"/>
            <w:shd w:fill="F2F2F2" w:val="clear"/>
          </w:tcPr>
          <w:p>
            <w:pPr>
              <w:jc w:val="left"/>
            </w:pPr>
            <w:r/>
            <w:r>
              <w:rPr>
                <w:rFonts w:ascii="Calibri" w:hAnsi="Calibri"/>
                <w:b w:val="0"/>
                <w:color w:val="000000"/>
                <w:sz w:val="16"/>
              </w:rPr>
              <w:t>Full deduction net of DTL (PS1/26 SS34/15 Ch.3.2)</w:t>
            </w:r>
          </w:p>
        </w:tc>
        <w:tc>
          <w:tcPr>
            <w:tcW w:type="dxa" w:w="3456"/>
            <w:shd w:fill="F2F2F2" w:val="clear"/>
          </w:tcPr>
          <w:p>
            <w:pPr>
              <w:jc w:val="left"/>
            </w:pPr>
            <w:r/>
            <w:r>
              <w:rPr>
                <w:rFonts w:ascii="Calibri" w:hAnsi="Calibri"/>
                <w:b w:val="0"/>
                <w:color w:val="000000"/>
                <w:sz w:val="16"/>
              </w:rPr>
              <w:t>Full deduction net of DTL, EXCEPT software (CRR3 Art 36(1)(b), Art 37)</w:t>
            </w:r>
          </w:p>
        </w:tc>
      </w:tr>
      <w:tr>
        <w:tc>
          <w:tcPr>
            <w:tcW w:type="dxa" w:w="3456"/>
            <w:shd w:fill="FFFFFF" w:val="clear"/>
          </w:tcPr>
          <w:p>
            <w:pPr>
              <w:jc w:val="left"/>
            </w:pPr>
            <w:r/>
            <w:r>
              <w:rPr>
                <w:rFonts w:ascii="Calibri" w:hAnsi="Calibri"/>
                <w:b/>
                <w:color w:val="000000"/>
                <w:sz w:val="16"/>
              </w:rPr>
              <w:t>Software DTA Carve-Out</w:t>
            </w:r>
          </w:p>
        </w:tc>
        <w:tc>
          <w:tcPr>
            <w:tcW w:type="dxa" w:w="3456"/>
            <w:shd w:fill="FFFFFF" w:val="clear"/>
          </w:tcPr>
          <w:p>
            <w:pPr>
              <w:jc w:val="left"/>
            </w:pPr>
            <w:r/>
            <w:r>
              <w:rPr>
                <w:rFonts w:ascii="Calibri" w:hAnsi="Calibri"/>
                <w:b w:val="0"/>
                <w:color w:val="000000"/>
                <w:sz w:val="16"/>
              </w:rPr>
              <w:t>NO carve-out - full deduction of software intangibles (ERBA P.34)</w:t>
            </w:r>
          </w:p>
        </w:tc>
        <w:tc>
          <w:tcPr>
            <w:tcW w:type="dxa" w:w="3456"/>
            <w:shd w:fill="FFFFFF" w:val="clear"/>
          </w:tcPr>
          <w:p>
            <w:pPr>
              <w:jc w:val="left"/>
            </w:pPr>
            <w:r/>
            <w:r>
              <w:rPr>
                <w:rFonts w:ascii="Calibri" w:hAnsi="Calibri"/>
                <w:b w:val="0"/>
                <w:color w:val="000000"/>
                <w:sz w:val="16"/>
              </w:rPr>
              <w:t>NO carve-out - full deduction (PS1/26 SS34/15 Ch.3.2)</w:t>
            </w:r>
          </w:p>
        </w:tc>
        <w:tc>
          <w:tcPr>
            <w:tcW w:type="dxa" w:w="3456"/>
            <w:shd w:fill="FFFFFF" w:val="clear"/>
          </w:tcPr>
          <w:p>
            <w:pPr>
              <w:jc w:val="left"/>
            </w:pPr>
            <w:r/>
            <w:r>
              <w:rPr>
                <w:rFonts w:ascii="Calibri" w:hAnsi="Calibri"/>
                <w:b w:val="0"/>
                <w:color w:val="000000"/>
                <w:sz w:val="16"/>
              </w:rPr>
              <w:t>YES - prudentially amortized software assets EXEMPTED from deduction (CRR3 Art 36(1)(b), Delegated Reg 2020/2176); max 3Y amortization</w:t>
            </w:r>
          </w:p>
        </w:tc>
      </w:tr>
      <w:tr>
        <w:tc>
          <w:tcPr>
            <w:tcW w:type="dxa" w:w="3456"/>
            <w:shd w:fill="F2F2F2" w:val="clear"/>
          </w:tcPr>
          <w:p>
            <w:pPr>
              <w:jc w:val="left"/>
            </w:pPr>
            <w:r/>
            <w:r>
              <w:rPr>
                <w:rFonts w:ascii="Calibri" w:hAnsi="Calibri"/>
                <w:b/>
                <w:color w:val="000000"/>
                <w:sz w:val="16"/>
              </w:rPr>
              <w:t>MSA Treatment</w:t>
            </w:r>
          </w:p>
        </w:tc>
        <w:tc>
          <w:tcPr>
            <w:tcW w:type="dxa" w:w="3456"/>
            <w:shd w:fill="F2F2F2" w:val="clear"/>
          </w:tcPr>
          <w:p>
            <w:pPr>
              <w:jc w:val="left"/>
            </w:pPr>
            <w:r/>
            <w:r>
              <w:rPr>
                <w:rFonts w:ascii="Calibri" w:hAnsi="Calibri"/>
                <w:b w:val="0"/>
                <w:color w:val="000000"/>
                <w:sz w:val="16"/>
              </w:rPr>
              <w:t>NOT deducted; 250% risk weight on ALL MSAs; MSAs also removed from the 15% aggregate threshold test (ERBA NPR P.14, P.20, P.40). The 2023 NPR retained the threshold deduction (P.544)</w:t>
            </w:r>
          </w:p>
        </w:tc>
        <w:tc>
          <w:tcPr>
            <w:tcW w:type="dxa" w:w="3456"/>
            <w:shd w:fill="F2F2F2" w:val="clear"/>
          </w:tcPr>
          <w:p>
            <w:pPr>
              <w:jc w:val="left"/>
            </w:pPr>
            <w:r/>
            <w:r>
              <w:rPr>
                <w:rFonts w:ascii="Calibri" w:hAnsi="Calibri"/>
                <w:b w:val="0"/>
                <w:color w:val="000000"/>
                <w:sz w:val="16"/>
              </w:rPr>
              <w:t>Deducted above 10% CET1 threshold; 250% RW below threshold (PS1/26 SS34/15 Ch.3.3)</w:t>
            </w:r>
          </w:p>
        </w:tc>
        <w:tc>
          <w:tcPr>
            <w:tcW w:type="dxa" w:w="3456"/>
            <w:shd w:fill="F2F2F2" w:val="clear"/>
          </w:tcPr>
          <w:p>
            <w:pPr>
              <w:jc w:val="left"/>
            </w:pPr>
            <w:r/>
            <w:r>
              <w:rPr>
                <w:rFonts w:ascii="Calibri" w:hAnsi="Calibri"/>
                <w:b w:val="0"/>
                <w:color w:val="000000"/>
                <w:sz w:val="16"/>
              </w:rPr>
              <w:t>Deducted above 10% CET1 threshold; 250% RW below threshold (CRR3 Art 36(1)(i), Art 48)</w:t>
            </w:r>
          </w:p>
        </w:tc>
      </w:tr>
      <w:tr>
        <w:tc>
          <w:tcPr>
            <w:tcW w:type="dxa" w:w="3456"/>
            <w:shd w:fill="FFFFFF" w:val="clear"/>
          </w:tcPr>
          <w:p>
            <w:pPr>
              <w:jc w:val="left"/>
            </w:pPr>
            <w:r/>
            <w:r>
              <w:rPr>
                <w:rFonts w:ascii="Calibri" w:hAnsi="Calibri"/>
                <w:b/>
                <w:color w:val="000000"/>
                <w:sz w:val="16"/>
              </w:rPr>
              <w:t>DTA from Timing Diff</w:t>
            </w:r>
          </w:p>
        </w:tc>
        <w:tc>
          <w:tcPr>
            <w:tcW w:type="dxa" w:w="3456"/>
            <w:shd w:fill="FFFFFF" w:val="clear"/>
          </w:tcPr>
          <w:p>
            <w:pPr>
              <w:jc w:val="left"/>
            </w:pPr>
            <w:r/>
            <w:r>
              <w:rPr>
                <w:rFonts w:ascii="Calibri" w:hAnsi="Calibri"/>
                <w:b w:val="0"/>
                <w:color w:val="000000"/>
                <w:sz w:val="16"/>
              </w:rPr>
              <w:t>Subject to 10%/15% threshold test (12 CFR 217.22(d)). Below threshold: 250% RW</w:t>
            </w:r>
          </w:p>
        </w:tc>
        <w:tc>
          <w:tcPr>
            <w:tcW w:type="dxa" w:w="3456"/>
            <w:shd w:fill="FFFFFF" w:val="clear"/>
          </w:tcPr>
          <w:p>
            <w:pPr>
              <w:jc w:val="left"/>
            </w:pPr>
            <w:r/>
            <w:r>
              <w:rPr>
                <w:rFonts w:ascii="Calibri" w:hAnsi="Calibri"/>
                <w:b w:val="0"/>
                <w:color w:val="000000"/>
                <w:sz w:val="16"/>
              </w:rPr>
              <w:t>Subject to 10%/15% threshold test (PS1/26 SS34/15 Ch.3.4)</w:t>
            </w:r>
          </w:p>
        </w:tc>
        <w:tc>
          <w:tcPr>
            <w:tcW w:type="dxa" w:w="3456"/>
            <w:shd w:fill="FFFFFF" w:val="clear"/>
          </w:tcPr>
          <w:p>
            <w:pPr>
              <w:jc w:val="left"/>
            </w:pPr>
            <w:r/>
            <w:r>
              <w:rPr>
                <w:rFonts w:ascii="Calibri" w:hAnsi="Calibri"/>
                <w:b w:val="0"/>
                <w:color w:val="000000"/>
                <w:sz w:val="16"/>
              </w:rPr>
              <w:t>Subject to 10%/15% threshold test (CRR3 Art 36(1)(c), Art 38, Art 48)</w:t>
            </w:r>
          </w:p>
        </w:tc>
      </w:tr>
      <w:tr>
        <w:tc>
          <w:tcPr>
            <w:tcW w:type="dxa" w:w="3456"/>
            <w:shd w:fill="F2F2F2" w:val="clear"/>
          </w:tcPr>
          <w:p>
            <w:pPr>
              <w:jc w:val="left"/>
            </w:pPr>
            <w:r/>
            <w:r>
              <w:rPr>
                <w:rFonts w:ascii="Calibri" w:hAnsi="Calibri"/>
                <w:b/>
                <w:color w:val="000000"/>
                <w:sz w:val="16"/>
              </w:rPr>
              <w:t>Significant Investments</w:t>
            </w:r>
          </w:p>
        </w:tc>
        <w:tc>
          <w:tcPr>
            <w:tcW w:type="dxa" w:w="3456"/>
            <w:shd w:fill="F2F2F2" w:val="clear"/>
          </w:tcPr>
          <w:p>
            <w:pPr>
              <w:jc w:val="left"/>
            </w:pPr>
            <w:r/>
            <w:r>
              <w:rPr>
                <w:rFonts w:ascii="Calibri" w:hAnsi="Calibri"/>
                <w:b w:val="0"/>
                <w:color w:val="000000"/>
                <w:sz w:val="16"/>
              </w:rPr>
              <w:t>Subject to 10%/15% threshold; 250% RW below (12 CFR 217.22(d))</w:t>
            </w:r>
          </w:p>
        </w:tc>
        <w:tc>
          <w:tcPr>
            <w:tcW w:type="dxa" w:w="3456"/>
            <w:shd w:fill="F2F2F2" w:val="clear"/>
          </w:tcPr>
          <w:p>
            <w:pPr>
              <w:jc w:val="left"/>
            </w:pPr>
            <w:r/>
            <w:r>
              <w:rPr>
                <w:rFonts w:ascii="Calibri" w:hAnsi="Calibri"/>
                <w:b w:val="0"/>
                <w:color w:val="000000"/>
                <w:sz w:val="16"/>
              </w:rPr>
              <w:t>Subject to 10%/15% threshold (PS1/26 SS34/15 Ch.3.5)</w:t>
            </w:r>
          </w:p>
        </w:tc>
        <w:tc>
          <w:tcPr>
            <w:tcW w:type="dxa" w:w="3456"/>
            <w:shd w:fill="F2F2F2" w:val="clear"/>
          </w:tcPr>
          <w:p>
            <w:pPr>
              <w:jc w:val="left"/>
            </w:pPr>
            <w:r/>
            <w:r>
              <w:rPr>
                <w:rFonts w:ascii="Calibri" w:hAnsi="Calibri"/>
                <w:b w:val="0"/>
                <w:color w:val="000000"/>
                <w:sz w:val="16"/>
              </w:rPr>
              <w:t>Subject to 10%/15% threshold (CRR3 Art 36(1)(i), Art 48)</w:t>
            </w:r>
          </w:p>
        </w:tc>
      </w:tr>
      <w:tr>
        <w:tc>
          <w:tcPr>
            <w:tcW w:type="dxa" w:w="3456"/>
            <w:shd w:fill="FFFFFF" w:val="clear"/>
          </w:tcPr>
          <w:p>
            <w:pPr>
              <w:jc w:val="left"/>
            </w:pPr>
            <w:r/>
            <w:r>
              <w:rPr>
                <w:rFonts w:ascii="Calibri" w:hAnsi="Calibri"/>
                <w:b/>
                <w:color w:val="000000"/>
                <w:sz w:val="16"/>
              </w:rPr>
              <w:t>10% Individual Threshold</w:t>
            </w:r>
          </w:p>
        </w:tc>
        <w:tc>
          <w:tcPr>
            <w:tcW w:type="dxa" w:w="3456"/>
            <w:shd w:fill="FFFFFF" w:val="clear"/>
          </w:tcPr>
          <w:p>
            <w:pPr>
              <w:jc w:val="left"/>
            </w:pPr>
            <w:r/>
            <w:r>
              <w:rPr>
                <w:rFonts w:ascii="Calibri" w:hAnsi="Calibri"/>
                <w:b w:val="0"/>
                <w:color w:val="000000"/>
                <w:sz w:val="16"/>
              </w:rPr>
              <w:t>Temporary-difference DTAs and significant investments (common stock) each limited to 10% of CET1 net of adjustments (12 CFR 217.22(d)(1)); MSAs NO LONGER a threshold item under the NPR (ERBA NPR P.40). Formula: If item &gt; 10% * CET1_before_deductions, deduct excess</w:t>
            </w:r>
          </w:p>
        </w:tc>
        <w:tc>
          <w:tcPr>
            <w:tcW w:type="dxa" w:w="3456"/>
            <w:shd w:fill="FFFFFF" w:val="clear"/>
          </w:tcPr>
          <w:p>
            <w:pPr>
              <w:jc w:val="left"/>
            </w:pPr>
            <w:r/>
            <w:r>
              <w:rPr>
                <w:rFonts w:ascii="Calibri" w:hAnsi="Calibri"/>
                <w:b w:val="0"/>
                <w:color w:val="000000"/>
                <w:sz w:val="16"/>
              </w:rPr>
              <w:t>Same 10% test per item (PS1/26 SS34/15 Ch.3.6). Note: MSA included in this test unlike US</w:t>
            </w:r>
          </w:p>
        </w:tc>
        <w:tc>
          <w:tcPr>
            <w:tcW w:type="dxa" w:w="3456"/>
            <w:shd w:fill="FFFFFF" w:val="clear"/>
          </w:tcPr>
          <w:p>
            <w:pPr>
              <w:jc w:val="left"/>
            </w:pPr>
            <w:r/>
            <w:r>
              <w:rPr>
                <w:rFonts w:ascii="Calibri" w:hAnsi="Calibri"/>
                <w:b w:val="0"/>
                <w:color w:val="000000"/>
                <w:sz w:val="16"/>
              </w:rPr>
              <w:t>Same 10% test per item (CRR3 Art 48(1)). MSA included in threshold test</w:t>
            </w:r>
          </w:p>
        </w:tc>
      </w:tr>
      <w:tr>
        <w:tc>
          <w:tcPr>
            <w:tcW w:type="dxa" w:w="3456"/>
            <w:shd w:fill="F2F2F2" w:val="clear"/>
          </w:tcPr>
          <w:p>
            <w:pPr>
              <w:jc w:val="left"/>
            </w:pPr>
            <w:r/>
            <w:r>
              <w:rPr>
                <w:rFonts w:ascii="Calibri" w:hAnsi="Calibri"/>
                <w:b/>
                <w:color w:val="000000"/>
                <w:sz w:val="16"/>
              </w:rPr>
              <w:t>15% Aggregate Threshold</w:t>
            </w:r>
          </w:p>
        </w:tc>
        <w:tc>
          <w:tcPr>
            <w:tcW w:type="dxa" w:w="3456"/>
            <w:shd w:fill="F2F2F2" w:val="clear"/>
          </w:tcPr>
          <w:p>
            <w:pPr>
              <w:jc w:val="left"/>
            </w:pPr>
            <w:r/>
            <w:r>
              <w:rPr>
                <w:rFonts w:ascii="Calibri" w:hAnsi="Calibri"/>
                <w:b w:val="0"/>
                <w:color w:val="000000"/>
                <w:sz w:val="16"/>
              </w:rPr>
              <w:t>Sum of below-threshold DTA+SI cannot exceed 15% of CET1 (12 CFR 217.22(d)(2)); MSAs excluded from the aggregate calculation under the NPR (ERBA NPR P.40). Formula: If (DTA_bt + SI_bt) &gt; 15% * CET1_after_other_deductions, deduct excess pro rata</w:t>
            </w:r>
          </w:p>
        </w:tc>
        <w:tc>
          <w:tcPr>
            <w:tcW w:type="dxa" w:w="3456"/>
            <w:shd w:fill="F2F2F2" w:val="clear"/>
          </w:tcPr>
          <w:p>
            <w:pPr>
              <w:jc w:val="left"/>
            </w:pPr>
            <w:r/>
            <w:r>
              <w:rPr>
                <w:rFonts w:ascii="Calibri" w:hAnsi="Calibri"/>
                <w:b w:val="0"/>
                <w:color w:val="000000"/>
                <w:sz w:val="16"/>
              </w:rPr>
              <w:t>Same 15% aggregate test (PS1/26 SS34/15 Ch.3.6)</w:t>
            </w:r>
          </w:p>
        </w:tc>
        <w:tc>
          <w:tcPr>
            <w:tcW w:type="dxa" w:w="3456"/>
            <w:shd w:fill="F2F2F2" w:val="clear"/>
          </w:tcPr>
          <w:p>
            <w:pPr>
              <w:jc w:val="left"/>
            </w:pPr>
            <w:r/>
            <w:r>
              <w:rPr>
                <w:rFonts w:ascii="Calibri" w:hAnsi="Calibri"/>
                <w:b w:val="0"/>
                <w:color w:val="000000"/>
                <w:sz w:val="16"/>
              </w:rPr>
              <w:t>Same 15% aggregate test (CRR3 Art 48(2))</w:t>
            </w:r>
          </w:p>
        </w:tc>
      </w:tr>
      <w:tr>
        <w:tc>
          <w:tcPr>
            <w:tcW w:type="dxa" w:w="3456"/>
            <w:shd w:fill="FFFFFF" w:val="clear"/>
          </w:tcPr>
          <w:p>
            <w:pPr>
              <w:jc w:val="left"/>
            </w:pPr>
            <w:r/>
            <w:r>
              <w:rPr>
                <w:rFonts w:ascii="Calibri" w:hAnsi="Calibri"/>
                <w:b/>
                <w:color w:val="000000"/>
                <w:sz w:val="16"/>
              </w:rPr>
              <w:t>Defined Benefit Pension</w:t>
            </w:r>
          </w:p>
        </w:tc>
        <w:tc>
          <w:tcPr>
            <w:tcW w:type="dxa" w:w="3456"/>
            <w:shd w:fill="FFFFFF" w:val="clear"/>
          </w:tcPr>
          <w:p>
            <w:pPr>
              <w:jc w:val="left"/>
            </w:pPr>
            <w:r/>
            <w:r>
              <w:rPr>
                <w:rFonts w:ascii="Calibri" w:hAnsi="Calibri"/>
                <w:b w:val="0"/>
                <w:color w:val="000000"/>
                <w:sz w:val="16"/>
              </w:rPr>
              <w:t>Net asset deducted (12 CFR 217.22(a)(4))</w:t>
            </w:r>
          </w:p>
        </w:tc>
        <w:tc>
          <w:tcPr>
            <w:tcW w:type="dxa" w:w="3456"/>
            <w:shd w:fill="FFFFFF" w:val="clear"/>
          </w:tcPr>
          <w:p>
            <w:pPr>
              <w:jc w:val="left"/>
            </w:pPr>
            <w:r/>
            <w:r>
              <w:rPr>
                <w:rFonts w:ascii="Calibri" w:hAnsi="Calibri"/>
                <w:b w:val="0"/>
                <w:color w:val="000000"/>
                <w:sz w:val="16"/>
              </w:rPr>
              <w:t>Net asset deducted (PS1/26 SS34/15 Ch.3.7)</w:t>
            </w:r>
          </w:p>
        </w:tc>
        <w:tc>
          <w:tcPr>
            <w:tcW w:type="dxa" w:w="3456"/>
            <w:shd w:fill="FFFFFF" w:val="clear"/>
          </w:tcPr>
          <w:p>
            <w:pPr>
              <w:jc w:val="left"/>
            </w:pPr>
            <w:r/>
            <w:r>
              <w:rPr>
                <w:rFonts w:ascii="Calibri" w:hAnsi="Calibri"/>
                <w:b w:val="0"/>
                <w:color w:val="000000"/>
                <w:sz w:val="16"/>
              </w:rPr>
              <w:t>Net asset deducted (CRR3 Art 36(1)(e))</w:t>
            </w:r>
          </w:p>
        </w:tc>
      </w:tr>
      <w:tr>
        <w:tc>
          <w:tcPr>
            <w:tcW w:type="dxa" w:w="3456"/>
            <w:shd w:fill="F2F2F2" w:val="clear"/>
          </w:tcPr>
          <w:p>
            <w:pPr>
              <w:jc w:val="left"/>
            </w:pPr>
            <w:r/>
            <w:r>
              <w:rPr>
                <w:rFonts w:ascii="Calibri" w:hAnsi="Calibri"/>
                <w:b/>
                <w:color w:val="000000"/>
                <w:sz w:val="16"/>
              </w:rPr>
              <w:t>Treasury Stock</w:t>
            </w:r>
          </w:p>
        </w:tc>
        <w:tc>
          <w:tcPr>
            <w:tcW w:type="dxa" w:w="3456"/>
            <w:shd w:fill="F2F2F2" w:val="clear"/>
          </w:tcPr>
          <w:p>
            <w:pPr>
              <w:jc w:val="left"/>
            </w:pPr>
            <w:r/>
            <w:r>
              <w:rPr>
                <w:rFonts w:ascii="Calibri" w:hAnsi="Calibri"/>
                <w:b w:val="0"/>
                <w:color w:val="000000"/>
                <w:sz w:val="16"/>
              </w:rPr>
              <w:t>Full deduction (12 CFR 217.22(a)(3))</w:t>
            </w:r>
          </w:p>
        </w:tc>
        <w:tc>
          <w:tcPr>
            <w:tcW w:type="dxa" w:w="3456"/>
            <w:shd w:fill="F2F2F2" w:val="clear"/>
          </w:tcPr>
          <w:p>
            <w:pPr>
              <w:jc w:val="left"/>
            </w:pPr>
            <w:r/>
            <w:r>
              <w:rPr>
                <w:rFonts w:ascii="Calibri" w:hAnsi="Calibri"/>
                <w:b w:val="0"/>
                <w:color w:val="000000"/>
                <w:sz w:val="16"/>
              </w:rPr>
              <w:t>Full deduction (PS1/26 SS34/15 Ch.3.8)</w:t>
            </w:r>
          </w:p>
        </w:tc>
        <w:tc>
          <w:tcPr>
            <w:tcW w:type="dxa" w:w="3456"/>
            <w:shd w:fill="F2F2F2" w:val="clear"/>
          </w:tcPr>
          <w:p>
            <w:pPr>
              <w:jc w:val="left"/>
            </w:pPr>
            <w:r/>
            <w:r>
              <w:rPr>
                <w:rFonts w:ascii="Calibri" w:hAnsi="Calibri"/>
                <w:b w:val="0"/>
                <w:color w:val="000000"/>
                <w:sz w:val="16"/>
              </w:rPr>
              <w:t>Full deduction (CRR3 Art 36(1)(f))</w:t>
            </w:r>
          </w:p>
        </w:tc>
      </w:tr>
      <w:tr>
        <w:tc>
          <w:tcPr>
            <w:tcW w:type="dxa" w:w="3456"/>
            <w:shd w:fill="FFFFFF" w:val="clear"/>
          </w:tcPr>
          <w:p>
            <w:pPr>
              <w:jc w:val="left"/>
            </w:pPr>
            <w:r/>
            <w:r>
              <w:rPr>
                <w:rFonts w:ascii="Calibri" w:hAnsi="Calibri"/>
                <w:b/>
                <w:color w:val="000000"/>
                <w:sz w:val="16"/>
              </w:rPr>
              <w:t>Reciprocal Cross-Holdings</w:t>
            </w:r>
          </w:p>
        </w:tc>
        <w:tc>
          <w:tcPr>
            <w:tcW w:type="dxa" w:w="3456"/>
            <w:shd w:fill="FFFFFF" w:val="clear"/>
          </w:tcPr>
          <w:p>
            <w:pPr>
              <w:jc w:val="left"/>
            </w:pPr>
            <w:r/>
            <w:r>
              <w:rPr>
                <w:rFonts w:ascii="Calibri" w:hAnsi="Calibri"/>
                <w:b w:val="0"/>
                <w:color w:val="000000"/>
                <w:sz w:val="16"/>
              </w:rPr>
              <w:t>Full deduction (12 CFR 217.22(c)(1))</w:t>
            </w:r>
          </w:p>
        </w:tc>
        <w:tc>
          <w:tcPr>
            <w:tcW w:type="dxa" w:w="3456"/>
            <w:shd w:fill="FFFFFF" w:val="clear"/>
          </w:tcPr>
          <w:p>
            <w:pPr>
              <w:jc w:val="left"/>
            </w:pPr>
            <w:r/>
            <w:r>
              <w:rPr>
                <w:rFonts w:ascii="Calibri" w:hAnsi="Calibri"/>
                <w:b w:val="0"/>
                <w:color w:val="000000"/>
                <w:sz w:val="16"/>
              </w:rPr>
              <w:t>Full deduction (PS1/26 SS34/15 Ch.3.9)</w:t>
            </w:r>
          </w:p>
        </w:tc>
        <w:tc>
          <w:tcPr>
            <w:tcW w:type="dxa" w:w="3456"/>
            <w:shd w:fill="FFFFFF" w:val="clear"/>
          </w:tcPr>
          <w:p>
            <w:pPr>
              <w:jc w:val="left"/>
            </w:pPr>
            <w:r/>
            <w:r>
              <w:rPr>
                <w:rFonts w:ascii="Calibri" w:hAnsi="Calibri"/>
                <w:b w:val="0"/>
                <w:color w:val="000000"/>
                <w:sz w:val="16"/>
              </w:rPr>
              <w:t>Full deduction (CRR3 Art 36(1)(g))</w:t>
            </w:r>
          </w:p>
        </w:tc>
      </w:tr>
      <w:tr>
        <w:tc>
          <w:tcPr>
            <w:tcW w:type="dxa" w:w="3456"/>
            <w:shd w:fill="F2F2F2" w:val="clear"/>
          </w:tcPr>
          <w:p>
            <w:pPr>
              <w:jc w:val="left"/>
            </w:pPr>
            <w:r/>
            <w:r>
              <w:rPr>
                <w:rFonts w:ascii="Calibri" w:hAnsi="Calibri"/>
                <w:b/>
                <w:color w:val="000000"/>
                <w:sz w:val="16"/>
              </w:rPr>
              <w:t>Gain-on-Sale from Sec</w:t>
            </w:r>
          </w:p>
        </w:tc>
        <w:tc>
          <w:tcPr>
            <w:tcW w:type="dxa" w:w="3456"/>
            <w:shd w:fill="F2F2F2" w:val="clear"/>
          </w:tcPr>
          <w:p>
            <w:pPr>
              <w:jc w:val="left"/>
            </w:pPr>
            <w:r/>
            <w:r>
              <w:rPr>
                <w:rFonts w:ascii="Calibri" w:hAnsi="Calibri"/>
                <w:b w:val="0"/>
                <w:color w:val="000000"/>
                <w:sz w:val="16"/>
              </w:rPr>
              <w:t>Deducted from CET1 (12 CFR 217.22(a)(7))</w:t>
            </w:r>
          </w:p>
        </w:tc>
        <w:tc>
          <w:tcPr>
            <w:tcW w:type="dxa" w:w="3456"/>
            <w:shd w:fill="F2F2F2" w:val="clear"/>
          </w:tcPr>
          <w:p>
            <w:pPr>
              <w:jc w:val="left"/>
            </w:pPr>
            <w:r/>
            <w:r>
              <w:rPr>
                <w:rFonts w:ascii="Calibri" w:hAnsi="Calibri"/>
                <w:b w:val="0"/>
                <w:color w:val="000000"/>
                <w:sz w:val="16"/>
              </w:rPr>
              <w:t>Deducted from CET1 (PS1/26 SS34/15 Ch.3.10)</w:t>
            </w:r>
          </w:p>
        </w:tc>
        <w:tc>
          <w:tcPr>
            <w:tcW w:type="dxa" w:w="3456"/>
            <w:shd w:fill="F2F2F2" w:val="clear"/>
          </w:tcPr>
          <w:p>
            <w:pPr>
              <w:jc w:val="left"/>
            </w:pPr>
            <w:r/>
            <w:r>
              <w:rPr>
                <w:rFonts w:ascii="Calibri" w:hAnsi="Calibri"/>
                <w:b w:val="0"/>
                <w:color w:val="000000"/>
                <w:sz w:val="16"/>
              </w:rPr>
              <w:t>Deducted from CET1 (CRR3 Art 36(1)(k))</w:t>
            </w:r>
          </w:p>
        </w:tc>
      </w:tr>
      <w:tr>
        <w:tc>
          <w:tcPr>
            <w:tcW w:type="dxa" w:w="3456"/>
            <w:shd w:fill="FFFFFF" w:val="clear"/>
          </w:tcPr>
          <w:p>
            <w:pPr>
              <w:jc w:val="left"/>
            </w:pPr>
            <w:r/>
            <w:r>
              <w:rPr>
                <w:rFonts w:ascii="Calibri" w:hAnsi="Calibri"/>
                <w:b/>
                <w:color w:val="000000"/>
                <w:sz w:val="16"/>
              </w:rPr>
              <w:t>Shortfall of ECL to EL</w:t>
            </w:r>
          </w:p>
        </w:tc>
        <w:tc>
          <w:tcPr>
            <w:tcW w:type="dxa" w:w="3456"/>
            <w:shd w:fill="FFFFFF" w:val="clear"/>
          </w:tcPr>
          <w:p>
            <w:pPr>
              <w:jc w:val="left"/>
            </w:pPr>
            <w:r/>
            <w:r>
              <w:rPr>
                <w:rFonts w:ascii="Calibri" w:hAnsi="Calibri"/>
                <w:b w:val="0"/>
                <w:color w:val="000000"/>
                <w:sz w:val="16"/>
              </w:rPr>
              <w:t>IRB shortfall N/A (no IRB in US). SA provisions follow 1.25% cap in T2 (ERBA P.40)</w:t>
            </w:r>
          </w:p>
        </w:tc>
        <w:tc>
          <w:tcPr>
            <w:tcW w:type="dxa" w:w="3456"/>
            <w:shd w:fill="FFFFFF" w:val="clear"/>
          </w:tcPr>
          <w:p>
            <w:pPr>
              <w:jc w:val="left"/>
            </w:pPr>
            <w:r/>
            <w:r>
              <w:rPr>
                <w:rFonts w:ascii="Calibri" w:hAnsi="Calibri"/>
                <w:b w:val="0"/>
                <w:color w:val="000000"/>
                <w:sz w:val="16"/>
              </w:rPr>
              <w:t>IRB shortfall deducted 50/50 CET1/T2 (PS1/26 SS34/15 Ch.3.11)</w:t>
            </w:r>
          </w:p>
        </w:tc>
        <w:tc>
          <w:tcPr>
            <w:tcW w:type="dxa" w:w="3456"/>
            <w:shd w:fill="FFFFFF" w:val="clear"/>
          </w:tcPr>
          <w:p>
            <w:pPr>
              <w:jc w:val="left"/>
            </w:pPr>
            <w:r/>
            <w:r>
              <w:rPr>
                <w:rFonts w:ascii="Calibri" w:hAnsi="Calibri"/>
                <w:b w:val="0"/>
                <w:color w:val="000000"/>
                <w:sz w:val="16"/>
              </w:rPr>
              <w:t>IRB shortfall deducted from CET1 (CRR3 Art 36(1)(d))</w:t>
            </w:r>
          </w:p>
        </w:tc>
      </w:tr>
      <w:tr>
        <w:tc>
          <w:tcPr>
            <w:tcW w:type="dxa" w:w="3456"/>
            <w:shd w:fill="F2F2F2" w:val="clear"/>
          </w:tcPr>
          <w:p>
            <w:pPr>
              <w:jc w:val="left"/>
            </w:pPr>
            <w:r/>
            <w:r>
              <w:rPr>
                <w:rFonts w:ascii="Calibri" w:hAnsi="Calibri"/>
                <w:b/>
                <w:color w:val="000000"/>
                <w:sz w:val="16"/>
              </w:rPr>
              <w:t>Securitization Gain-on-Sale</w:t>
            </w:r>
          </w:p>
        </w:tc>
        <w:tc>
          <w:tcPr>
            <w:tcW w:type="dxa" w:w="3456"/>
            <w:shd w:fill="F2F2F2" w:val="clear"/>
          </w:tcPr>
          <w:p>
            <w:pPr>
              <w:jc w:val="left"/>
            </w:pPr>
            <w:r/>
            <w:r>
              <w:rPr>
                <w:rFonts w:ascii="Calibri" w:hAnsi="Calibri"/>
                <w:b w:val="0"/>
                <w:color w:val="000000"/>
                <w:sz w:val="16"/>
              </w:rPr>
              <w:t>Deducted (12 CFR 217.22(a)(7))</w:t>
            </w:r>
          </w:p>
        </w:tc>
        <w:tc>
          <w:tcPr>
            <w:tcW w:type="dxa" w:w="3456"/>
            <w:shd w:fill="F2F2F2" w:val="clear"/>
          </w:tcPr>
          <w:p>
            <w:pPr>
              <w:jc w:val="left"/>
            </w:pPr>
            <w:r/>
            <w:r>
              <w:rPr>
                <w:rFonts w:ascii="Calibri" w:hAnsi="Calibri"/>
                <w:b w:val="0"/>
                <w:color w:val="000000"/>
                <w:sz w:val="16"/>
              </w:rPr>
              <w:t>Deducted (PS1/26 SS34/15 Ch.3.12)</w:t>
            </w:r>
          </w:p>
        </w:tc>
        <w:tc>
          <w:tcPr>
            <w:tcW w:type="dxa" w:w="3456"/>
            <w:shd w:fill="F2F2F2" w:val="clear"/>
          </w:tcPr>
          <w:p>
            <w:pPr>
              <w:jc w:val="left"/>
            </w:pPr>
            <w:r/>
            <w:r>
              <w:rPr>
                <w:rFonts w:ascii="Calibri" w:hAnsi="Calibri"/>
                <w:b w:val="0"/>
                <w:color w:val="000000"/>
                <w:sz w:val="16"/>
              </w:rPr>
              <w:t>Deducted (CRR3 Art 36(1)(k))</w:t>
            </w:r>
          </w:p>
        </w:tc>
      </w:tr>
      <w:tr>
        <w:tc>
          <w:tcPr>
            <w:tcW w:type="dxa" w:w="3456"/>
            <w:shd w:fill="FFFFFF" w:val="clear"/>
          </w:tcPr>
          <w:p>
            <w:pPr>
              <w:jc w:val="left"/>
            </w:pPr>
            <w:r/>
            <w:r>
              <w:rPr>
                <w:rFonts w:ascii="Calibri" w:hAnsi="Calibri"/>
                <w:b/>
                <w:color w:val="000000"/>
                <w:sz w:val="16"/>
              </w:rPr>
              <w:t>Fair Value Gains from Own Credit</w:t>
            </w:r>
          </w:p>
        </w:tc>
        <w:tc>
          <w:tcPr>
            <w:tcW w:type="dxa" w:w="3456"/>
            <w:shd w:fill="FFFFFF" w:val="clear"/>
          </w:tcPr>
          <w:p>
            <w:pPr>
              <w:jc w:val="left"/>
            </w:pPr>
            <w:r/>
            <w:r>
              <w:rPr>
                <w:rFonts w:ascii="Calibri" w:hAnsi="Calibri"/>
                <w:b w:val="0"/>
                <w:color w:val="000000"/>
                <w:sz w:val="16"/>
              </w:rPr>
              <w:t>Excluded from CET1 (12 CFR 217.22(a)(2))</w:t>
            </w:r>
          </w:p>
        </w:tc>
        <w:tc>
          <w:tcPr>
            <w:tcW w:type="dxa" w:w="3456"/>
            <w:shd w:fill="FFFFFF" w:val="clear"/>
          </w:tcPr>
          <w:p>
            <w:pPr>
              <w:jc w:val="left"/>
            </w:pPr>
            <w:r/>
            <w:r>
              <w:rPr>
                <w:rFonts w:ascii="Calibri" w:hAnsi="Calibri"/>
                <w:b w:val="0"/>
                <w:color w:val="000000"/>
                <w:sz w:val="16"/>
              </w:rPr>
              <w:t>Excluded (PS1/26 SS34/15 Ch.3.13)</w:t>
            </w:r>
          </w:p>
        </w:tc>
        <w:tc>
          <w:tcPr>
            <w:tcW w:type="dxa" w:w="3456"/>
            <w:shd w:fill="FFFFFF" w:val="clear"/>
          </w:tcPr>
          <w:p>
            <w:pPr>
              <w:jc w:val="left"/>
            </w:pPr>
            <w:r/>
            <w:r>
              <w:rPr>
                <w:rFonts w:ascii="Calibri" w:hAnsi="Calibri"/>
                <w:b w:val="0"/>
                <w:color w:val="000000"/>
                <w:sz w:val="16"/>
              </w:rPr>
              <w:t>Excluded - DVA removed (CRR3 Art 33(1)(b-c))</w:t>
            </w:r>
          </w:p>
        </w:tc>
      </w:tr>
      <w:tr>
        <w:tc>
          <w:tcPr>
            <w:tcW w:type="dxa" w:w="3456"/>
            <w:shd w:fill="F2F2F2" w:val="clear"/>
          </w:tcPr>
          <w:p>
            <w:pPr>
              <w:jc w:val="left"/>
            </w:pPr>
            <w:r/>
            <w:r>
              <w:rPr>
                <w:rFonts w:ascii="Calibri" w:hAnsi="Calibri"/>
                <w:b/>
                <w:color w:val="000000"/>
                <w:sz w:val="16"/>
              </w:rPr>
              <w:t>Prudential Filters</w:t>
            </w:r>
          </w:p>
        </w:tc>
        <w:tc>
          <w:tcPr>
            <w:tcW w:type="dxa" w:w="3456"/>
            <w:shd w:fill="F2F2F2" w:val="clear"/>
          </w:tcPr>
          <w:p>
            <w:pPr>
              <w:jc w:val="left"/>
            </w:pPr>
            <w:r/>
            <w:r>
              <w:rPr>
                <w:rFonts w:ascii="Calibri" w:hAnsi="Calibri"/>
                <w:b w:val="0"/>
                <w:color w:val="000000"/>
                <w:sz w:val="16"/>
              </w:rPr>
              <w:t>Limited to DVA removal + cash flow hedge reserve (12 CFR 217.22(a)(2),(5))</w:t>
            </w:r>
          </w:p>
        </w:tc>
        <w:tc>
          <w:tcPr>
            <w:tcW w:type="dxa" w:w="3456"/>
            <w:shd w:fill="F2F2F2" w:val="clear"/>
          </w:tcPr>
          <w:p>
            <w:pPr>
              <w:jc w:val="left"/>
            </w:pPr>
            <w:r/>
            <w:r>
              <w:rPr>
                <w:rFonts w:ascii="Calibri" w:hAnsi="Calibri"/>
                <w:b w:val="0"/>
                <w:color w:val="000000"/>
                <w:sz w:val="16"/>
              </w:rPr>
              <w:t>DVA + additional valuation adjustments (PS1/26 SS34/15 Ch.3.14)</w:t>
            </w:r>
          </w:p>
        </w:tc>
        <w:tc>
          <w:tcPr>
            <w:tcW w:type="dxa" w:w="3456"/>
            <w:shd w:fill="F2F2F2" w:val="clear"/>
          </w:tcPr>
          <w:p>
            <w:pPr>
              <w:jc w:val="left"/>
            </w:pPr>
            <w:r/>
            <w:r>
              <w:rPr>
                <w:rFonts w:ascii="Calibri" w:hAnsi="Calibri"/>
                <w:b w:val="0"/>
                <w:color w:val="000000"/>
                <w:sz w:val="16"/>
              </w:rPr>
              <w:t>DVA + AVA per CRR3 Art 34; full prudent valuation framework (Delegated Reg 2016/101)</w:t>
            </w:r>
          </w:p>
        </w:tc>
      </w:tr>
    </w:tbl>
    <w:p>
      <w:r>
        <w:rPr>
          <w:rFonts w:ascii="Calibri" w:hAnsi="Calibri"/>
          <w:b/>
          <w:color w:val="002060"/>
          <w:sz w:val="22"/>
        </w:rPr>
        <w:t>2.3 Additional Tier 1 (AT1) Capital</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AT1 Components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Qualifying Instruments</w:t>
            </w:r>
          </w:p>
        </w:tc>
        <w:tc>
          <w:tcPr>
            <w:tcW w:type="dxa" w:w="3456"/>
            <w:shd w:fill="FFFFFF" w:val="clear"/>
          </w:tcPr>
          <w:p>
            <w:pPr>
              <w:jc w:val="left"/>
            </w:pPr>
            <w:r/>
            <w:r>
              <w:rPr>
                <w:rFonts w:ascii="Calibri" w:hAnsi="Calibri"/>
                <w:b w:val="0"/>
                <w:color w:val="000000"/>
                <w:sz w:val="16"/>
              </w:rPr>
              <w:t>Non-cumulative perpetual preferred stock + related surplus (12 CFR 217.20(c))</w:t>
            </w:r>
          </w:p>
        </w:tc>
        <w:tc>
          <w:tcPr>
            <w:tcW w:type="dxa" w:w="3456"/>
            <w:shd w:fill="FFFFFF" w:val="clear"/>
          </w:tcPr>
          <w:p>
            <w:pPr>
              <w:jc w:val="left"/>
            </w:pPr>
            <w:r/>
            <w:r>
              <w:rPr>
                <w:rFonts w:ascii="Calibri" w:hAnsi="Calibri"/>
                <w:b w:val="0"/>
                <w:color w:val="000000"/>
                <w:sz w:val="16"/>
              </w:rPr>
              <w:t>AT1 instruments meeting 14 criteria (PS1/26 SS34/15 Ch.4)</w:t>
            </w:r>
          </w:p>
        </w:tc>
        <w:tc>
          <w:tcPr>
            <w:tcW w:type="dxa" w:w="3456"/>
            <w:shd w:fill="FFFFFF" w:val="clear"/>
          </w:tcPr>
          <w:p>
            <w:pPr>
              <w:jc w:val="left"/>
            </w:pPr>
            <w:r/>
            <w:r>
              <w:rPr>
                <w:rFonts w:ascii="Calibri" w:hAnsi="Calibri"/>
                <w:b w:val="0"/>
                <w:color w:val="000000"/>
                <w:sz w:val="16"/>
              </w:rPr>
              <w:t>AT1 instruments meeting 14 criteria (CRR3 Art 51-61)</w:t>
            </w:r>
          </w:p>
        </w:tc>
      </w:tr>
      <w:tr>
        <w:tc>
          <w:tcPr>
            <w:tcW w:type="dxa" w:w="3456"/>
            <w:shd w:fill="F2F2F2" w:val="clear"/>
          </w:tcPr>
          <w:p>
            <w:pPr>
              <w:jc w:val="left"/>
            </w:pPr>
            <w:r/>
            <w:r>
              <w:rPr>
                <w:rFonts w:ascii="Calibri" w:hAnsi="Calibri"/>
                <w:b/>
                <w:color w:val="000000"/>
                <w:sz w:val="16"/>
              </w:rPr>
              <w:t>Trigger Level</w:t>
            </w:r>
          </w:p>
        </w:tc>
        <w:tc>
          <w:tcPr>
            <w:tcW w:type="dxa" w:w="3456"/>
            <w:shd w:fill="F2F2F2" w:val="clear"/>
          </w:tcPr>
          <w:p>
            <w:pPr>
              <w:jc w:val="left"/>
            </w:pPr>
            <w:r/>
            <w:r>
              <w:rPr>
                <w:rFonts w:ascii="Calibri" w:hAnsi="Calibri"/>
                <w:b w:val="0"/>
                <w:color w:val="000000"/>
                <w:sz w:val="16"/>
              </w:rPr>
              <w:t>Discretionary; no fixed trigger in US rules (12 CFR 217.20(c))</w:t>
            </w:r>
          </w:p>
        </w:tc>
        <w:tc>
          <w:tcPr>
            <w:tcW w:type="dxa" w:w="3456"/>
            <w:shd w:fill="F2F2F2" w:val="clear"/>
          </w:tcPr>
          <w:p>
            <w:pPr>
              <w:jc w:val="left"/>
            </w:pPr>
            <w:r/>
            <w:r>
              <w:rPr>
                <w:rFonts w:ascii="Calibri" w:hAnsi="Calibri"/>
                <w:b w:val="0"/>
                <w:color w:val="000000"/>
                <w:sz w:val="16"/>
              </w:rPr>
              <w:t>7% CET1 trigger for PRA-regulated firms (PS1/26 SS34/15 Ch.4.2); higher than Basel minimum</w:t>
            </w:r>
          </w:p>
        </w:tc>
        <w:tc>
          <w:tcPr>
            <w:tcW w:type="dxa" w:w="3456"/>
            <w:shd w:fill="F2F2F2" w:val="clear"/>
          </w:tcPr>
          <w:p>
            <w:pPr>
              <w:jc w:val="left"/>
            </w:pPr>
            <w:r/>
            <w:r>
              <w:rPr>
                <w:rFonts w:ascii="Calibri" w:hAnsi="Calibri"/>
                <w:b w:val="0"/>
                <w:color w:val="000000"/>
                <w:sz w:val="16"/>
              </w:rPr>
              <w:t>5.125% CET1 trigger per Basel minimum (CRR3 Art 54(1)(a))</w:t>
            </w:r>
          </w:p>
        </w:tc>
      </w:tr>
      <w:tr>
        <w:tc>
          <w:tcPr>
            <w:tcW w:type="dxa" w:w="3456"/>
            <w:shd w:fill="FFFFFF" w:val="clear"/>
          </w:tcPr>
          <w:p>
            <w:pPr>
              <w:jc w:val="left"/>
            </w:pPr>
            <w:r/>
            <w:r>
              <w:rPr>
                <w:rFonts w:ascii="Calibri" w:hAnsi="Calibri"/>
                <w:b/>
                <w:color w:val="000000"/>
                <w:sz w:val="16"/>
              </w:rPr>
              <w:t>Loss Absorption</w:t>
            </w:r>
          </w:p>
        </w:tc>
        <w:tc>
          <w:tcPr>
            <w:tcW w:type="dxa" w:w="3456"/>
            <w:shd w:fill="FFFFFF" w:val="clear"/>
          </w:tcPr>
          <w:p>
            <w:pPr>
              <w:jc w:val="left"/>
            </w:pPr>
            <w:r/>
            <w:r>
              <w:rPr>
                <w:rFonts w:ascii="Calibri" w:hAnsi="Calibri"/>
                <w:b w:val="0"/>
                <w:color w:val="000000"/>
                <w:sz w:val="16"/>
              </w:rPr>
              <w:t>Conversion or write-down at PON per Dodd-Frank OLA (12 USC 5390)</w:t>
            </w:r>
          </w:p>
        </w:tc>
        <w:tc>
          <w:tcPr>
            <w:tcW w:type="dxa" w:w="3456"/>
            <w:shd w:fill="FFFFFF" w:val="clear"/>
          </w:tcPr>
          <w:p>
            <w:pPr>
              <w:jc w:val="left"/>
            </w:pPr>
            <w:r/>
            <w:r>
              <w:rPr>
                <w:rFonts w:ascii="Calibri" w:hAnsi="Calibri"/>
                <w:b w:val="0"/>
                <w:color w:val="000000"/>
                <w:sz w:val="16"/>
              </w:rPr>
              <w:t>Contractual conversion/write-down at 7% CET1 (PS1/26 SS34/15 Ch.4.3)</w:t>
            </w:r>
          </w:p>
        </w:tc>
        <w:tc>
          <w:tcPr>
            <w:tcW w:type="dxa" w:w="3456"/>
            <w:shd w:fill="FFFFFF" w:val="clear"/>
          </w:tcPr>
          <w:p>
            <w:pPr>
              <w:jc w:val="left"/>
            </w:pPr>
            <w:r/>
            <w:r>
              <w:rPr>
                <w:rFonts w:ascii="Calibri" w:hAnsi="Calibri"/>
                <w:b w:val="0"/>
                <w:color w:val="000000"/>
                <w:sz w:val="16"/>
              </w:rPr>
              <w:t>Contractual conversion/write-down at 5.125% CET1 (CRR3 Art 54)</w:t>
            </w:r>
          </w:p>
        </w:tc>
      </w:tr>
      <w:tr>
        <w:tc>
          <w:tcPr>
            <w:tcW w:type="dxa" w:w="3456"/>
            <w:shd w:fill="F2F2F2" w:val="clear"/>
          </w:tcPr>
          <w:p>
            <w:pPr>
              <w:jc w:val="left"/>
            </w:pPr>
            <w:r/>
            <w:r>
              <w:rPr>
                <w:rFonts w:ascii="Calibri" w:hAnsi="Calibri"/>
                <w:b/>
                <w:color w:val="000000"/>
                <w:sz w:val="16"/>
              </w:rPr>
              <w:t>Tax-Deductible AT1</w:t>
            </w:r>
          </w:p>
        </w:tc>
        <w:tc>
          <w:tcPr>
            <w:tcW w:type="dxa" w:w="3456"/>
            <w:shd w:fill="F2F2F2" w:val="clear"/>
          </w:tcPr>
          <w:p>
            <w:pPr>
              <w:jc w:val="left"/>
            </w:pPr>
            <w:r/>
            <w:r>
              <w:rPr>
                <w:rFonts w:ascii="Calibri" w:hAnsi="Calibri"/>
                <w:b w:val="0"/>
                <w:color w:val="000000"/>
                <w:sz w:val="16"/>
              </w:rPr>
              <w:t>Generally tax-deductible in US (IRS treatment of contingent capital)</w:t>
            </w:r>
          </w:p>
        </w:tc>
        <w:tc>
          <w:tcPr>
            <w:tcW w:type="dxa" w:w="3456"/>
            <w:shd w:fill="F2F2F2" w:val="clear"/>
          </w:tcPr>
          <w:p>
            <w:pPr>
              <w:jc w:val="left"/>
            </w:pPr>
            <w:r/>
            <w:r>
              <w:rPr>
                <w:rFonts w:ascii="Calibri" w:hAnsi="Calibri"/>
                <w:b w:val="0"/>
                <w:color w:val="000000"/>
                <w:sz w:val="16"/>
              </w:rPr>
              <w:t>Tax treatment depends on instrument structure</w:t>
            </w:r>
          </w:p>
        </w:tc>
        <w:tc>
          <w:tcPr>
            <w:tcW w:type="dxa" w:w="3456"/>
            <w:shd w:fill="F2F2F2" w:val="clear"/>
          </w:tcPr>
          <w:p>
            <w:pPr>
              <w:jc w:val="left"/>
            </w:pPr>
            <w:r/>
            <w:r>
              <w:rPr>
                <w:rFonts w:ascii="Calibri" w:hAnsi="Calibri"/>
                <w:b w:val="0"/>
                <w:color w:val="000000"/>
                <w:sz w:val="16"/>
              </w:rPr>
              <w:t>Tax deductibility varies by Member State</w:t>
            </w:r>
          </w:p>
        </w:tc>
      </w:tr>
      <w:tr>
        <w:tc>
          <w:tcPr>
            <w:tcW w:type="dxa" w:w="3456"/>
            <w:shd w:fill="FFFFFF" w:val="clear"/>
          </w:tcPr>
          <w:p>
            <w:pPr>
              <w:jc w:val="left"/>
            </w:pPr>
            <w:r/>
            <w:r>
              <w:rPr>
                <w:rFonts w:ascii="Calibri" w:hAnsi="Calibri"/>
                <w:b/>
                <w:color w:val="000000"/>
                <w:sz w:val="16"/>
              </w:rPr>
              <w:t>Minority Interests in AT1</w:t>
            </w:r>
          </w:p>
        </w:tc>
        <w:tc>
          <w:tcPr>
            <w:tcW w:type="dxa" w:w="3456"/>
            <w:shd w:fill="FFFFFF" w:val="clear"/>
          </w:tcPr>
          <w:p>
            <w:pPr>
              <w:jc w:val="left"/>
            </w:pPr>
            <w:r/>
            <w:r>
              <w:rPr>
                <w:rFonts w:ascii="Calibri" w:hAnsi="Calibri"/>
                <w:b w:val="0"/>
                <w:color w:val="000000"/>
                <w:sz w:val="16"/>
              </w:rPr>
              <w:t>Surplus inclusion per 12 CFR 217.21</w:t>
            </w:r>
          </w:p>
        </w:tc>
        <w:tc>
          <w:tcPr>
            <w:tcW w:type="dxa" w:w="3456"/>
            <w:shd w:fill="FFFFFF" w:val="clear"/>
          </w:tcPr>
          <w:p>
            <w:pPr>
              <w:jc w:val="left"/>
            </w:pPr>
            <w:r/>
            <w:r>
              <w:rPr>
                <w:rFonts w:ascii="Calibri" w:hAnsi="Calibri"/>
                <w:b w:val="0"/>
                <w:color w:val="000000"/>
                <w:sz w:val="16"/>
              </w:rPr>
              <w:t>Surplus inclusion per PS1/26 SS34/15 Ch.4.4</w:t>
            </w:r>
          </w:p>
        </w:tc>
        <w:tc>
          <w:tcPr>
            <w:tcW w:type="dxa" w:w="3456"/>
            <w:shd w:fill="FFFFFF" w:val="clear"/>
          </w:tcPr>
          <w:p>
            <w:pPr>
              <w:jc w:val="left"/>
            </w:pPr>
            <w:r/>
            <w:r>
              <w:rPr>
                <w:rFonts w:ascii="Calibri" w:hAnsi="Calibri"/>
                <w:b w:val="0"/>
                <w:color w:val="000000"/>
                <w:sz w:val="16"/>
              </w:rPr>
              <w:t>Surplus inclusion per CRR3 Art 82-88</w:t>
            </w:r>
          </w:p>
        </w:tc>
      </w:tr>
      <w:tr>
        <w:tc>
          <w:tcPr>
            <w:tcW w:type="dxa" w:w="3456"/>
            <w:shd w:fill="F2F2F2" w:val="clear"/>
          </w:tcPr>
          <w:p>
            <w:pPr>
              <w:jc w:val="left"/>
            </w:pPr>
            <w:r/>
            <w:r>
              <w:rPr>
                <w:rFonts w:ascii="Calibri" w:hAnsi="Calibri"/>
                <w:b/>
                <w:color w:val="000000"/>
                <w:sz w:val="16"/>
              </w:rPr>
              <w:t>Grandfathering</w:t>
            </w:r>
          </w:p>
        </w:tc>
        <w:tc>
          <w:tcPr>
            <w:tcW w:type="dxa" w:w="3456"/>
            <w:shd w:fill="F2F2F2" w:val="clear"/>
          </w:tcPr>
          <w:p>
            <w:pPr>
              <w:jc w:val="left"/>
            </w:pPr>
            <w:r/>
            <w:r>
              <w:rPr>
                <w:rFonts w:ascii="Calibri" w:hAnsi="Calibri"/>
                <w:b w:val="0"/>
                <w:color w:val="000000"/>
                <w:sz w:val="16"/>
              </w:rPr>
              <w:t>Legacy TruPS fully phased out by 2016 (12 CFR 217.300)</w:t>
            </w:r>
          </w:p>
        </w:tc>
        <w:tc>
          <w:tcPr>
            <w:tcW w:type="dxa" w:w="3456"/>
            <w:shd w:fill="F2F2F2" w:val="clear"/>
          </w:tcPr>
          <w:p>
            <w:pPr>
              <w:jc w:val="left"/>
            </w:pPr>
            <w:r/>
            <w:r>
              <w:rPr>
                <w:rFonts w:ascii="Calibri" w:hAnsi="Calibri"/>
                <w:b w:val="0"/>
                <w:color w:val="000000"/>
                <w:sz w:val="16"/>
              </w:rPr>
              <w:t>Legacy instruments grandfathered to Dec 2025 (PS1/26 SS34/15 Ch.4.5)</w:t>
            </w:r>
          </w:p>
        </w:tc>
        <w:tc>
          <w:tcPr>
            <w:tcW w:type="dxa" w:w="3456"/>
            <w:shd w:fill="F2F2F2" w:val="clear"/>
          </w:tcPr>
          <w:p>
            <w:pPr>
              <w:jc w:val="left"/>
            </w:pPr>
            <w:r/>
            <w:r>
              <w:rPr>
                <w:rFonts w:ascii="Calibri" w:hAnsi="Calibri"/>
                <w:b w:val="0"/>
                <w:color w:val="000000"/>
                <w:sz w:val="16"/>
              </w:rPr>
              <w:t>Legacy instruments grandfathered per CRR3 Art 484-491</w:t>
            </w:r>
          </w:p>
        </w:tc>
      </w:tr>
      <w:tr>
        <w:tc>
          <w:tcPr>
            <w:tcW w:type="dxa" w:w="3456"/>
            <w:shd w:fill="FFFFFF" w:val="clear"/>
          </w:tcPr>
          <w:p>
            <w:pPr>
              <w:jc w:val="left"/>
            </w:pPr>
            <w:r/>
            <w:r>
              <w:rPr>
                <w:rFonts w:ascii="Calibri" w:hAnsi="Calibri"/>
                <w:b/>
                <w:color w:val="000000"/>
                <w:sz w:val="16"/>
              </w:rPr>
              <w:t>AT1 Deductions</w:t>
            </w:r>
          </w:p>
        </w:tc>
        <w:tc>
          <w:tcPr>
            <w:tcW w:type="dxa" w:w="3456"/>
            <w:shd w:fill="FFFFFF" w:val="clear"/>
          </w:tcPr>
          <w:p>
            <w:pPr>
              <w:jc w:val="left"/>
            </w:pPr>
            <w:r/>
            <w:r>
              <w:rPr>
                <w:rFonts w:ascii="Calibri" w:hAnsi="Calibri"/>
                <w:b w:val="0"/>
                <w:color w:val="000000"/>
                <w:sz w:val="16"/>
              </w:rPr>
              <w:t>Reciprocal cross-holdings, significant investments &gt;10% (12 CFR 217.22(c)-(d))</w:t>
            </w:r>
          </w:p>
        </w:tc>
        <w:tc>
          <w:tcPr>
            <w:tcW w:type="dxa" w:w="3456"/>
            <w:shd w:fill="FFFFFF" w:val="clear"/>
          </w:tcPr>
          <w:p>
            <w:pPr>
              <w:jc w:val="left"/>
            </w:pPr>
            <w:r/>
            <w:r>
              <w:rPr>
                <w:rFonts w:ascii="Calibri" w:hAnsi="Calibri"/>
                <w:b w:val="0"/>
                <w:color w:val="000000"/>
                <w:sz w:val="16"/>
              </w:rPr>
              <w:t>Same as CET1 cascade (PS1/26 SS34/15 Ch.4.6)</w:t>
            </w:r>
          </w:p>
        </w:tc>
        <w:tc>
          <w:tcPr>
            <w:tcW w:type="dxa" w:w="3456"/>
            <w:shd w:fill="FFFFFF" w:val="clear"/>
          </w:tcPr>
          <w:p>
            <w:pPr>
              <w:jc w:val="left"/>
            </w:pPr>
            <w:r/>
            <w:r>
              <w:rPr>
                <w:rFonts w:ascii="Calibri" w:hAnsi="Calibri"/>
                <w:b w:val="0"/>
                <w:color w:val="000000"/>
                <w:sz w:val="16"/>
              </w:rPr>
              <w:t>Same cascade: deduct from same tier (CRR3 Art 56-60)</w:t>
            </w:r>
          </w:p>
        </w:tc>
      </w:tr>
    </w:tbl>
    <w:p>
      <w:r>
        <w:rPr>
          <w:rFonts w:ascii="Calibri" w:hAnsi="Calibri"/>
          <w:b/>
          <w:color w:val="002060"/>
          <w:sz w:val="22"/>
        </w:rPr>
        <w:t>2.4 Tier 2 Capital</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T2 Components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Subordinated Debt</w:t>
            </w:r>
          </w:p>
        </w:tc>
        <w:tc>
          <w:tcPr>
            <w:tcW w:type="dxa" w:w="3456"/>
            <w:shd w:fill="FFFFFF" w:val="clear"/>
          </w:tcPr>
          <w:p>
            <w:pPr>
              <w:jc w:val="left"/>
            </w:pPr>
            <w:r/>
            <w:r>
              <w:rPr>
                <w:rFonts w:ascii="Calibri" w:hAnsi="Calibri"/>
                <w:b w:val="0"/>
                <w:color w:val="000000"/>
                <w:sz w:val="16"/>
              </w:rPr>
              <w:t>Min 5Y original maturity, amortized in final 5Y (12 CFR 217.20(d))</w:t>
            </w:r>
          </w:p>
        </w:tc>
        <w:tc>
          <w:tcPr>
            <w:tcW w:type="dxa" w:w="3456"/>
            <w:shd w:fill="FFFFFF" w:val="clear"/>
          </w:tcPr>
          <w:p>
            <w:pPr>
              <w:jc w:val="left"/>
            </w:pPr>
            <w:r/>
            <w:r>
              <w:rPr>
                <w:rFonts w:ascii="Calibri" w:hAnsi="Calibri"/>
                <w:b w:val="0"/>
                <w:color w:val="000000"/>
                <w:sz w:val="16"/>
              </w:rPr>
              <w:t>Min 5Y, amortized final 5Y (PS1/26 SS34/15 Ch.5)</w:t>
            </w:r>
          </w:p>
        </w:tc>
        <w:tc>
          <w:tcPr>
            <w:tcW w:type="dxa" w:w="3456"/>
            <w:shd w:fill="FFFFFF" w:val="clear"/>
          </w:tcPr>
          <w:p>
            <w:pPr>
              <w:jc w:val="left"/>
            </w:pPr>
            <w:r/>
            <w:r>
              <w:rPr>
                <w:rFonts w:ascii="Calibri" w:hAnsi="Calibri"/>
                <w:b w:val="0"/>
                <w:color w:val="000000"/>
                <w:sz w:val="16"/>
              </w:rPr>
              <w:t>Min 5Y, amortized final 5Y (CRR3 Art 62-65)</w:t>
            </w:r>
          </w:p>
        </w:tc>
      </w:tr>
      <w:tr>
        <w:tc>
          <w:tcPr>
            <w:tcW w:type="dxa" w:w="3456"/>
            <w:shd w:fill="F2F2F2" w:val="clear"/>
          </w:tcPr>
          <w:p>
            <w:pPr>
              <w:jc w:val="left"/>
            </w:pPr>
            <w:r/>
            <w:r>
              <w:rPr>
                <w:rFonts w:ascii="Calibri" w:hAnsi="Calibri"/>
                <w:b/>
                <w:color w:val="000000"/>
                <w:sz w:val="16"/>
              </w:rPr>
              <w:t>General Provisions</w:t>
            </w:r>
          </w:p>
        </w:tc>
        <w:tc>
          <w:tcPr>
            <w:tcW w:type="dxa" w:w="3456"/>
            <w:shd w:fill="F2F2F2" w:val="clear"/>
          </w:tcPr>
          <w:p>
            <w:pPr>
              <w:jc w:val="left"/>
            </w:pPr>
            <w:r/>
            <w:r>
              <w:rPr>
                <w:rFonts w:ascii="Calibri" w:hAnsi="Calibri"/>
                <w:b w:val="0"/>
                <w:color w:val="000000"/>
                <w:sz w:val="16"/>
              </w:rPr>
              <w:t>SA excess provisions up to 1.25% of SA RWA (12 CFR 217.20(d)(3))</w:t>
            </w:r>
          </w:p>
        </w:tc>
        <w:tc>
          <w:tcPr>
            <w:tcW w:type="dxa" w:w="3456"/>
            <w:shd w:fill="F2F2F2" w:val="clear"/>
          </w:tcPr>
          <w:p>
            <w:pPr>
              <w:jc w:val="left"/>
            </w:pPr>
            <w:r/>
            <w:r>
              <w:rPr>
                <w:rFonts w:ascii="Calibri" w:hAnsi="Calibri"/>
                <w:b w:val="0"/>
                <w:color w:val="000000"/>
                <w:sz w:val="16"/>
              </w:rPr>
              <w:t>SA excess provisions up to 1.25% of SA RWA (PS1/26 SS34/15 Ch.5.2)</w:t>
            </w:r>
          </w:p>
        </w:tc>
        <w:tc>
          <w:tcPr>
            <w:tcW w:type="dxa" w:w="3456"/>
            <w:shd w:fill="F2F2F2" w:val="clear"/>
          </w:tcPr>
          <w:p>
            <w:pPr>
              <w:jc w:val="left"/>
            </w:pPr>
            <w:r/>
            <w:r>
              <w:rPr>
                <w:rFonts w:ascii="Calibri" w:hAnsi="Calibri"/>
                <w:b w:val="0"/>
                <w:color w:val="000000"/>
                <w:sz w:val="16"/>
              </w:rPr>
              <w:t>SA general credit risk adjustments up to 1.25% of SA RWA (CRR3 Art 62(c))</w:t>
            </w:r>
          </w:p>
        </w:tc>
      </w:tr>
      <w:tr>
        <w:tc>
          <w:tcPr>
            <w:tcW w:type="dxa" w:w="3456"/>
            <w:shd w:fill="FFFFFF" w:val="clear"/>
          </w:tcPr>
          <w:p>
            <w:pPr>
              <w:jc w:val="left"/>
            </w:pPr>
            <w:r/>
            <w:r>
              <w:rPr>
                <w:rFonts w:ascii="Calibri" w:hAnsi="Calibri"/>
                <w:b/>
                <w:color w:val="000000"/>
                <w:sz w:val="16"/>
              </w:rPr>
              <w:t>IRB Excess Provisions</w:t>
            </w:r>
          </w:p>
        </w:tc>
        <w:tc>
          <w:tcPr>
            <w:tcW w:type="dxa" w:w="3456"/>
            <w:shd w:fill="FFFFFF" w:val="clear"/>
          </w:tcPr>
          <w:p>
            <w:pPr>
              <w:jc w:val="left"/>
            </w:pPr>
            <w:r/>
            <w:r>
              <w:rPr>
                <w:rFonts w:ascii="Calibri" w:hAnsi="Calibri"/>
                <w:b w:val="0"/>
                <w:color w:val="000000"/>
                <w:sz w:val="16"/>
              </w:rPr>
              <w:t>N/A (no IRB in US)</w:t>
            </w:r>
          </w:p>
        </w:tc>
        <w:tc>
          <w:tcPr>
            <w:tcW w:type="dxa" w:w="3456"/>
            <w:shd w:fill="FFFFFF" w:val="clear"/>
          </w:tcPr>
          <w:p>
            <w:pPr>
              <w:jc w:val="left"/>
            </w:pPr>
            <w:r/>
            <w:r>
              <w:rPr>
                <w:rFonts w:ascii="Calibri" w:hAnsi="Calibri"/>
                <w:b w:val="0"/>
                <w:color w:val="000000"/>
                <w:sz w:val="16"/>
              </w:rPr>
              <w:t>IRB excess of EL up to 0.6% of IRB RWA (PS1/26 SS34/15 Ch.5.3)</w:t>
            </w:r>
          </w:p>
        </w:tc>
        <w:tc>
          <w:tcPr>
            <w:tcW w:type="dxa" w:w="3456"/>
            <w:shd w:fill="FFFFFF" w:val="clear"/>
          </w:tcPr>
          <w:p>
            <w:pPr>
              <w:jc w:val="left"/>
            </w:pPr>
            <w:r/>
            <w:r>
              <w:rPr>
                <w:rFonts w:ascii="Calibri" w:hAnsi="Calibri"/>
                <w:b w:val="0"/>
                <w:color w:val="000000"/>
                <w:sz w:val="16"/>
              </w:rPr>
              <w:t>IRB excess of EL up to 0.6% of IRB RWA (CRR3 Art 62(d))</w:t>
            </w:r>
          </w:p>
        </w:tc>
      </w:tr>
      <w:tr>
        <w:tc>
          <w:tcPr>
            <w:tcW w:type="dxa" w:w="3456"/>
            <w:shd w:fill="F2F2F2" w:val="clear"/>
          </w:tcPr>
          <w:p>
            <w:pPr>
              <w:jc w:val="left"/>
            </w:pPr>
            <w:r/>
            <w:r>
              <w:rPr>
                <w:rFonts w:ascii="Calibri" w:hAnsi="Calibri"/>
                <w:b/>
                <w:color w:val="000000"/>
                <w:sz w:val="16"/>
              </w:rPr>
              <w:t>T2 Amortization</w:t>
            </w:r>
          </w:p>
        </w:tc>
        <w:tc>
          <w:tcPr>
            <w:tcW w:type="dxa" w:w="3456"/>
            <w:shd w:fill="F2F2F2" w:val="clear"/>
          </w:tcPr>
          <w:p>
            <w:pPr>
              <w:jc w:val="left"/>
            </w:pPr>
            <w:r/>
            <w:r>
              <w:rPr>
                <w:rFonts w:ascii="Calibri" w:hAnsi="Calibri"/>
                <w:b w:val="0"/>
                <w:color w:val="000000"/>
                <w:sz w:val="16"/>
              </w:rPr>
              <w:t>Straight-line over final 5 years (12 CFR 217.20(d)(1)(v))</w:t>
            </w:r>
          </w:p>
        </w:tc>
        <w:tc>
          <w:tcPr>
            <w:tcW w:type="dxa" w:w="3456"/>
            <w:shd w:fill="F2F2F2" w:val="clear"/>
          </w:tcPr>
          <w:p>
            <w:pPr>
              <w:jc w:val="left"/>
            </w:pPr>
            <w:r/>
            <w:r>
              <w:rPr>
                <w:rFonts w:ascii="Calibri" w:hAnsi="Calibri"/>
                <w:b w:val="0"/>
                <w:color w:val="000000"/>
                <w:sz w:val="16"/>
              </w:rPr>
              <w:t>Straight-line over final 5 years (PS1/26 SS34/15 Ch.5.4)</w:t>
            </w:r>
          </w:p>
        </w:tc>
        <w:tc>
          <w:tcPr>
            <w:tcW w:type="dxa" w:w="3456"/>
            <w:shd w:fill="F2F2F2" w:val="clear"/>
          </w:tcPr>
          <w:p>
            <w:pPr>
              <w:jc w:val="left"/>
            </w:pPr>
            <w:r/>
            <w:r>
              <w:rPr>
                <w:rFonts w:ascii="Calibri" w:hAnsi="Calibri"/>
                <w:b w:val="0"/>
                <w:color w:val="000000"/>
                <w:sz w:val="16"/>
              </w:rPr>
              <w:t>Straight-line over final 5 years (CRR3 Art 64)</w:t>
            </w:r>
          </w:p>
        </w:tc>
      </w:tr>
      <w:tr>
        <w:tc>
          <w:tcPr>
            <w:tcW w:type="dxa" w:w="3456"/>
            <w:shd w:fill="FFFFFF" w:val="clear"/>
          </w:tcPr>
          <w:p>
            <w:pPr>
              <w:jc w:val="left"/>
            </w:pPr>
            <w:r/>
            <w:r>
              <w:rPr>
                <w:rFonts w:ascii="Calibri" w:hAnsi="Calibri"/>
                <w:b/>
                <w:color w:val="000000"/>
                <w:sz w:val="16"/>
              </w:rPr>
              <w:t>T2 Deductions</w:t>
            </w:r>
          </w:p>
        </w:tc>
        <w:tc>
          <w:tcPr>
            <w:tcW w:type="dxa" w:w="3456"/>
            <w:shd w:fill="FFFFFF" w:val="clear"/>
          </w:tcPr>
          <w:p>
            <w:pPr>
              <w:jc w:val="left"/>
            </w:pPr>
            <w:r/>
            <w:r>
              <w:rPr>
                <w:rFonts w:ascii="Calibri" w:hAnsi="Calibri"/>
                <w:b w:val="0"/>
                <w:color w:val="000000"/>
                <w:sz w:val="16"/>
              </w:rPr>
              <w:t>Reciprocal cross-holdings, significant investments (12 CFR 217.22(c)-(d))</w:t>
            </w:r>
          </w:p>
        </w:tc>
        <w:tc>
          <w:tcPr>
            <w:tcW w:type="dxa" w:w="3456"/>
            <w:shd w:fill="FFFFFF" w:val="clear"/>
          </w:tcPr>
          <w:p>
            <w:pPr>
              <w:jc w:val="left"/>
            </w:pPr>
            <w:r/>
            <w:r>
              <w:rPr>
                <w:rFonts w:ascii="Calibri" w:hAnsi="Calibri"/>
                <w:b w:val="0"/>
                <w:color w:val="000000"/>
                <w:sz w:val="16"/>
              </w:rPr>
              <w:t>Same cascade (PS1/26 SS34/15 Ch.5.5)</w:t>
            </w:r>
          </w:p>
        </w:tc>
        <w:tc>
          <w:tcPr>
            <w:tcW w:type="dxa" w:w="3456"/>
            <w:shd w:fill="FFFFFF" w:val="clear"/>
          </w:tcPr>
          <w:p>
            <w:pPr>
              <w:jc w:val="left"/>
            </w:pPr>
            <w:r/>
            <w:r>
              <w:rPr>
                <w:rFonts w:ascii="Calibri" w:hAnsi="Calibri"/>
                <w:b w:val="0"/>
                <w:color w:val="000000"/>
                <w:sz w:val="16"/>
              </w:rPr>
              <w:t>Same cascade (CRR3 Art 66-70)</w:t>
            </w:r>
          </w:p>
        </w:tc>
      </w:tr>
      <w:tr>
        <w:tc>
          <w:tcPr>
            <w:tcW w:type="dxa" w:w="3456"/>
            <w:shd w:fill="F2F2F2" w:val="clear"/>
          </w:tcPr>
          <w:p>
            <w:pPr>
              <w:jc w:val="left"/>
            </w:pPr>
            <w:r/>
            <w:r>
              <w:rPr>
                <w:rFonts w:ascii="Calibri" w:hAnsi="Calibri"/>
                <w:b/>
                <w:color w:val="000000"/>
                <w:sz w:val="16"/>
              </w:rPr>
              <w:t>TLAC Eligible Debt</w:t>
            </w:r>
          </w:p>
        </w:tc>
        <w:tc>
          <w:tcPr>
            <w:tcW w:type="dxa" w:w="3456"/>
            <w:shd w:fill="F2F2F2" w:val="clear"/>
          </w:tcPr>
          <w:p>
            <w:pPr>
              <w:jc w:val="left"/>
            </w:pPr>
            <w:r/>
            <w:r>
              <w:rPr>
                <w:rFonts w:ascii="Calibri" w:hAnsi="Calibri"/>
                <w:b w:val="0"/>
                <w:color w:val="000000"/>
                <w:sz w:val="16"/>
              </w:rPr>
              <w:t>External TLAC per Fed TLAC Rule (12 CFR 252.60-67)</w:t>
            </w:r>
          </w:p>
        </w:tc>
        <w:tc>
          <w:tcPr>
            <w:tcW w:type="dxa" w:w="3456"/>
            <w:shd w:fill="F2F2F2" w:val="clear"/>
          </w:tcPr>
          <w:p>
            <w:pPr>
              <w:jc w:val="left"/>
            </w:pPr>
            <w:r/>
            <w:r>
              <w:rPr>
                <w:rFonts w:ascii="Calibri" w:hAnsi="Calibri"/>
                <w:b w:val="0"/>
                <w:color w:val="000000"/>
                <w:sz w:val="16"/>
              </w:rPr>
              <w:t>MREL per BoE MREL framework</w:t>
            </w:r>
          </w:p>
        </w:tc>
        <w:tc>
          <w:tcPr>
            <w:tcW w:type="dxa" w:w="3456"/>
            <w:shd w:fill="F2F2F2" w:val="clear"/>
          </w:tcPr>
          <w:p>
            <w:pPr>
              <w:jc w:val="left"/>
            </w:pPr>
            <w:r/>
            <w:r>
              <w:rPr>
                <w:rFonts w:ascii="Calibri" w:hAnsi="Calibri"/>
                <w:b w:val="0"/>
                <w:color w:val="000000"/>
                <w:sz w:val="16"/>
              </w:rPr>
              <w:t>MREL per BRRD2/SRMR2</w:t>
            </w:r>
          </w:p>
        </w:tc>
      </w:tr>
    </w:tbl>
    <w:p>
      <w:r>
        <w:rPr>
          <w:rFonts w:ascii="Calibri" w:hAnsi="Calibri"/>
          <w:b/>
          <w:color w:val="002060"/>
          <w:sz w:val="22"/>
        </w:rPr>
        <w:t>2.5 Minimum Capital Ratios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CET1 Minimum</w:t>
            </w:r>
          </w:p>
        </w:tc>
        <w:tc>
          <w:tcPr>
            <w:tcW w:type="dxa" w:w="3456"/>
            <w:shd w:fill="F2F2F2" w:val="clear"/>
          </w:tcPr>
          <w:p>
            <w:pPr>
              <w:jc w:val="left"/>
            </w:pPr>
            <w:r/>
            <w:r>
              <w:rPr>
                <w:rFonts w:ascii="Calibri" w:hAnsi="Calibri"/>
                <w:b w:val="0"/>
                <w:color w:val="000000"/>
                <w:sz w:val="16"/>
              </w:rPr>
              <w:t>4.5% of RWA (12 CFR 217.10(a)(1))</w:t>
            </w:r>
          </w:p>
        </w:tc>
        <w:tc>
          <w:tcPr>
            <w:tcW w:type="dxa" w:w="3456"/>
            <w:shd w:fill="F2F2F2" w:val="clear"/>
          </w:tcPr>
          <w:p>
            <w:pPr>
              <w:jc w:val="left"/>
            </w:pPr>
            <w:r/>
            <w:r>
              <w:rPr>
                <w:rFonts w:ascii="Calibri" w:hAnsi="Calibri"/>
                <w:b w:val="0"/>
                <w:color w:val="000000"/>
                <w:sz w:val="16"/>
              </w:rPr>
              <w:t>4.5% of RWA (PS1/26 SS34/15 Ch.1)</w:t>
            </w:r>
          </w:p>
        </w:tc>
        <w:tc>
          <w:tcPr>
            <w:tcW w:type="dxa" w:w="3456"/>
            <w:shd w:fill="F2F2F2" w:val="clear"/>
          </w:tcPr>
          <w:p>
            <w:pPr>
              <w:jc w:val="left"/>
            </w:pPr>
            <w:r/>
            <w:r>
              <w:rPr>
                <w:rFonts w:ascii="Calibri" w:hAnsi="Calibri"/>
                <w:b w:val="0"/>
                <w:color w:val="000000"/>
                <w:sz w:val="16"/>
              </w:rPr>
              <w:t>4.5% of RWA (CRR3 Art 92(1)(a))</w:t>
            </w:r>
          </w:p>
        </w:tc>
      </w:tr>
      <w:tr>
        <w:tc>
          <w:tcPr>
            <w:tcW w:type="dxa" w:w="3456"/>
            <w:shd w:fill="FFFFFF" w:val="clear"/>
          </w:tcPr>
          <w:p>
            <w:pPr>
              <w:jc w:val="left"/>
            </w:pPr>
            <w:r/>
            <w:r>
              <w:rPr>
                <w:rFonts w:ascii="Calibri" w:hAnsi="Calibri"/>
                <w:b/>
                <w:color w:val="000000"/>
                <w:sz w:val="16"/>
              </w:rPr>
              <w:t>Tier 1 Minimum</w:t>
            </w:r>
          </w:p>
        </w:tc>
        <w:tc>
          <w:tcPr>
            <w:tcW w:type="dxa" w:w="3456"/>
            <w:shd w:fill="FFFFFF" w:val="clear"/>
          </w:tcPr>
          <w:p>
            <w:pPr>
              <w:jc w:val="left"/>
            </w:pPr>
            <w:r/>
            <w:r>
              <w:rPr>
                <w:rFonts w:ascii="Calibri" w:hAnsi="Calibri"/>
                <w:b w:val="0"/>
                <w:color w:val="000000"/>
                <w:sz w:val="16"/>
              </w:rPr>
              <w:t>6.0% of RWA (12 CFR 217.10(a)(2))</w:t>
            </w:r>
          </w:p>
        </w:tc>
        <w:tc>
          <w:tcPr>
            <w:tcW w:type="dxa" w:w="3456"/>
            <w:shd w:fill="FFFFFF" w:val="clear"/>
          </w:tcPr>
          <w:p>
            <w:pPr>
              <w:jc w:val="left"/>
            </w:pPr>
            <w:r/>
            <w:r>
              <w:rPr>
                <w:rFonts w:ascii="Calibri" w:hAnsi="Calibri"/>
                <w:b w:val="0"/>
                <w:color w:val="000000"/>
                <w:sz w:val="16"/>
              </w:rPr>
              <w:t>6.0% of RWA (PS1/26 SS34/15 Ch.1)</w:t>
            </w:r>
          </w:p>
        </w:tc>
        <w:tc>
          <w:tcPr>
            <w:tcW w:type="dxa" w:w="3456"/>
            <w:shd w:fill="FFFFFF" w:val="clear"/>
          </w:tcPr>
          <w:p>
            <w:pPr>
              <w:jc w:val="left"/>
            </w:pPr>
            <w:r/>
            <w:r>
              <w:rPr>
                <w:rFonts w:ascii="Calibri" w:hAnsi="Calibri"/>
                <w:b w:val="0"/>
                <w:color w:val="000000"/>
                <w:sz w:val="16"/>
              </w:rPr>
              <w:t>6.0% of RWA (CRR3 Art 92(1)(b))</w:t>
            </w:r>
          </w:p>
        </w:tc>
      </w:tr>
      <w:tr>
        <w:tc>
          <w:tcPr>
            <w:tcW w:type="dxa" w:w="3456"/>
            <w:shd w:fill="F2F2F2" w:val="clear"/>
          </w:tcPr>
          <w:p>
            <w:pPr>
              <w:jc w:val="left"/>
            </w:pPr>
            <w:r/>
            <w:r>
              <w:rPr>
                <w:rFonts w:ascii="Calibri" w:hAnsi="Calibri"/>
                <w:b/>
                <w:color w:val="000000"/>
                <w:sz w:val="16"/>
              </w:rPr>
              <w:t>Total Capital Minimum</w:t>
            </w:r>
          </w:p>
        </w:tc>
        <w:tc>
          <w:tcPr>
            <w:tcW w:type="dxa" w:w="3456"/>
            <w:shd w:fill="F2F2F2" w:val="clear"/>
          </w:tcPr>
          <w:p>
            <w:pPr>
              <w:jc w:val="left"/>
            </w:pPr>
            <w:r/>
            <w:r>
              <w:rPr>
                <w:rFonts w:ascii="Calibri" w:hAnsi="Calibri"/>
                <w:b w:val="0"/>
                <w:color w:val="000000"/>
                <w:sz w:val="16"/>
              </w:rPr>
              <w:t>8.0% of RWA (12 CFR 217.10(a)(3))</w:t>
            </w:r>
          </w:p>
        </w:tc>
        <w:tc>
          <w:tcPr>
            <w:tcW w:type="dxa" w:w="3456"/>
            <w:shd w:fill="F2F2F2" w:val="clear"/>
          </w:tcPr>
          <w:p>
            <w:pPr>
              <w:jc w:val="left"/>
            </w:pPr>
            <w:r/>
            <w:r>
              <w:rPr>
                <w:rFonts w:ascii="Calibri" w:hAnsi="Calibri"/>
                <w:b w:val="0"/>
                <w:color w:val="000000"/>
                <w:sz w:val="16"/>
              </w:rPr>
              <w:t>8.0% of RWA (PS1/26 SS34/15 Ch.1)</w:t>
            </w:r>
          </w:p>
        </w:tc>
        <w:tc>
          <w:tcPr>
            <w:tcW w:type="dxa" w:w="3456"/>
            <w:shd w:fill="F2F2F2" w:val="clear"/>
          </w:tcPr>
          <w:p>
            <w:pPr>
              <w:jc w:val="left"/>
            </w:pPr>
            <w:r/>
            <w:r>
              <w:rPr>
                <w:rFonts w:ascii="Calibri" w:hAnsi="Calibri"/>
                <w:b w:val="0"/>
                <w:color w:val="000000"/>
                <w:sz w:val="16"/>
              </w:rPr>
              <w:t>8.0% of RWA (CRR3 Art 92(1)(c))</w:t>
            </w:r>
          </w:p>
        </w:tc>
      </w:tr>
      <w:tr>
        <w:tc>
          <w:tcPr>
            <w:tcW w:type="dxa" w:w="3456"/>
            <w:shd w:fill="FFFFFF" w:val="clear"/>
          </w:tcPr>
          <w:p>
            <w:pPr>
              <w:jc w:val="left"/>
            </w:pPr>
            <w:r/>
            <w:r>
              <w:rPr>
                <w:rFonts w:ascii="Calibri" w:hAnsi="Calibri"/>
                <w:b/>
                <w:color w:val="000000"/>
                <w:sz w:val="16"/>
              </w:rPr>
              <w:t>Leverage Ratio (SLR)</w:t>
            </w:r>
          </w:p>
        </w:tc>
        <w:tc>
          <w:tcPr>
            <w:tcW w:type="dxa" w:w="3456"/>
            <w:shd w:fill="FFFFFF" w:val="clear"/>
          </w:tcPr>
          <w:p>
            <w:pPr>
              <w:jc w:val="left"/>
            </w:pPr>
            <w:r/>
            <w:r>
              <w:rPr>
                <w:rFonts w:ascii="Calibri" w:hAnsi="Calibri"/>
                <w:b w:val="0"/>
                <w:color w:val="000000"/>
                <w:sz w:val="16"/>
              </w:rPr>
              <w:t>3% SLR minimum for Cat I-III (ERBA NPR §__.10(a)(1)(v)); eSLR buffer for G-SIBs per separate Nov 2025 final rule (90 FR 55248), previously 2% (5% total) - not changed by the ERBA NPR</w:t>
            </w:r>
          </w:p>
        </w:tc>
        <w:tc>
          <w:tcPr>
            <w:tcW w:type="dxa" w:w="3456"/>
            <w:shd w:fill="FFFFFF" w:val="clear"/>
          </w:tcPr>
          <w:p>
            <w:pPr>
              <w:jc w:val="left"/>
            </w:pPr>
            <w:r/>
            <w:r>
              <w:rPr>
                <w:rFonts w:ascii="Calibri" w:hAnsi="Calibri"/>
                <w:b w:val="0"/>
                <w:color w:val="000000"/>
                <w:sz w:val="16"/>
              </w:rPr>
              <w:t>3.25% + countercyclical leverage buffer (PS1/26 SS34/15 Ch.1.2)</w:t>
            </w:r>
          </w:p>
        </w:tc>
        <w:tc>
          <w:tcPr>
            <w:tcW w:type="dxa" w:w="3456"/>
            <w:shd w:fill="FFFFFF" w:val="clear"/>
          </w:tcPr>
          <w:p>
            <w:pPr>
              <w:jc w:val="left"/>
            </w:pPr>
            <w:r/>
            <w:r>
              <w:rPr>
                <w:rFonts w:ascii="Calibri" w:hAnsi="Calibri"/>
                <w:b w:val="0"/>
                <w:color w:val="000000"/>
                <w:sz w:val="16"/>
              </w:rPr>
              <w:t>3% + G-SIB add-on = 50% of G-SIB buffer rate (CRR3 Art 92(1)(d))</w:t>
            </w:r>
          </w:p>
        </w:tc>
      </w:tr>
    </w:tbl>
    <w:p>
      <w:r>
        <w:br w:type="page"/>
      </w:r>
    </w:p>
    <w:p>
      <w:r>
        <w:rPr>
          <w:rFonts w:ascii="Calibri" w:hAnsi="Calibri"/>
          <w:b/>
          <w:color w:val="C8962E"/>
          <w:sz w:val="28"/>
        </w:rPr>
        <w:t>SECTION 3</w:t>
      </w:r>
    </w:p>
    <w:p>
      <w:r>
        <w:rPr>
          <w:rFonts w:ascii="Calibri" w:hAnsi="Calibri"/>
          <w:b/>
          <w:color w:val="002060"/>
          <w:sz w:val="32"/>
        </w:rPr>
        <w:t>Capital Buffers: G-SIB, SCB, CCyB, Combined Buffer</w:t>
      </w:r>
    </w:p>
    <w:p>
      <w:r>
        <w:rPr>
          <w:color w:val="C8962E"/>
          <w:sz w:val="12"/>
        </w:rPr>
        <w:t>________________________________________________________________________________________________________________________</w:t>
      </w:r>
    </w:p>
    <w:p>
      <w:r>
        <w:rPr>
          <w:rFonts w:ascii="Calibri" w:hAnsi="Calibri"/>
          <w:color w:val="000000"/>
          <w:sz w:val="18"/>
        </w:rPr>
        <w:t>Comprehensive comparison of all capital buffer requirements including G-SIB surcharge calculation methods, SCB formula, CCyB by jurisdiction, and combined buffer interaction mechanics.</w:t>
      </w:r>
    </w:p>
    <w:p>
      <w:r>
        <w:rPr>
          <w:rFonts w:ascii="Calibri" w:hAnsi="Calibri"/>
          <w:b/>
          <w:color w:val="002060"/>
          <w:sz w:val="22"/>
        </w:rPr>
        <w:t>3.1 G-SIB Surcharge Methodology</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G-SIB Methodology</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Applicable Methods</w:t>
            </w:r>
          </w:p>
        </w:tc>
        <w:tc>
          <w:tcPr>
            <w:tcW w:type="dxa" w:w="3456"/>
            <w:shd w:fill="FFFFFF" w:val="clear"/>
          </w:tcPr>
          <w:p>
            <w:pPr>
              <w:jc w:val="left"/>
            </w:pPr>
            <w:r/>
            <w:r>
              <w:rPr>
                <w:rFonts w:ascii="Calibri" w:hAnsi="Calibri"/>
                <w:b w:val="0"/>
                <w:color w:val="000000"/>
                <w:sz w:val="16"/>
              </w:rPr>
              <w:t>Higher of Method 1 and Method 2 (12 CFR 217.403)</w:t>
            </w:r>
          </w:p>
        </w:tc>
        <w:tc>
          <w:tcPr>
            <w:tcW w:type="dxa" w:w="3456"/>
            <w:shd w:fill="FFFFFF" w:val="clear"/>
          </w:tcPr>
          <w:p>
            <w:pPr>
              <w:jc w:val="left"/>
            </w:pPr>
            <w:r/>
            <w:r>
              <w:rPr>
                <w:rFonts w:ascii="Calibri" w:hAnsi="Calibri"/>
                <w:b w:val="0"/>
                <w:color w:val="000000"/>
                <w:sz w:val="16"/>
              </w:rPr>
              <w:t>Method 1 only (systemic importance via BoE buffer) (PS1/26 Ch.17)</w:t>
            </w:r>
          </w:p>
        </w:tc>
        <w:tc>
          <w:tcPr>
            <w:tcW w:type="dxa" w:w="3456"/>
            <w:shd w:fill="FFFFFF" w:val="clear"/>
          </w:tcPr>
          <w:p>
            <w:pPr>
              <w:jc w:val="left"/>
            </w:pPr>
            <w:r/>
            <w:r>
              <w:rPr>
                <w:rFonts w:ascii="Calibri" w:hAnsi="Calibri"/>
                <w:b w:val="0"/>
                <w:color w:val="000000"/>
                <w:sz w:val="16"/>
              </w:rPr>
              <w:t>Higher of Method 1 and Method 2 (CRD6 Art 131)</w:t>
            </w:r>
          </w:p>
        </w:tc>
      </w:tr>
      <w:tr>
        <w:tc>
          <w:tcPr>
            <w:tcW w:type="dxa" w:w="3456"/>
            <w:shd w:fill="F2F2F2" w:val="clear"/>
          </w:tcPr>
          <w:p>
            <w:pPr>
              <w:jc w:val="left"/>
            </w:pPr>
            <w:r/>
            <w:r>
              <w:rPr>
                <w:rFonts w:ascii="Calibri" w:hAnsi="Calibri"/>
                <w:b/>
                <w:color w:val="000000"/>
                <w:sz w:val="16"/>
              </w:rPr>
              <w:t>Method 1 (BCBS)</w:t>
            </w:r>
          </w:p>
        </w:tc>
        <w:tc>
          <w:tcPr>
            <w:tcW w:type="dxa" w:w="3456"/>
            <w:shd w:fill="F2F2F2" w:val="clear"/>
          </w:tcPr>
          <w:p>
            <w:pPr>
              <w:jc w:val="left"/>
            </w:pPr>
            <w:r/>
            <w:r>
              <w:rPr>
                <w:rFonts w:ascii="Calibri" w:hAnsi="Calibri"/>
                <w:b w:val="0"/>
                <w:color w:val="000000"/>
                <w:sz w:val="16"/>
              </w:rPr>
              <w:t>12 indicators across 5 categories. Score = sum of (bank indicator / aggregate indicator) * 10000. Buckets: 130-229=1%, 230-329=1.5%, etc. (12 CFR 217.404)</w:t>
            </w:r>
          </w:p>
        </w:tc>
        <w:tc>
          <w:tcPr>
            <w:tcW w:type="dxa" w:w="3456"/>
            <w:shd w:fill="F2F2F2" w:val="clear"/>
          </w:tcPr>
          <w:p>
            <w:pPr>
              <w:jc w:val="left"/>
            </w:pPr>
            <w:r/>
            <w:r>
              <w:rPr>
                <w:rFonts w:ascii="Calibri" w:hAnsi="Calibri"/>
                <w:b w:val="0"/>
                <w:color w:val="000000"/>
                <w:sz w:val="16"/>
              </w:rPr>
              <w:t>12 indicators, BoE systemic buffer framework (PS1/26 Ch.17.1)</w:t>
            </w:r>
          </w:p>
        </w:tc>
        <w:tc>
          <w:tcPr>
            <w:tcW w:type="dxa" w:w="3456"/>
            <w:shd w:fill="F2F2F2" w:val="clear"/>
          </w:tcPr>
          <w:p>
            <w:pPr>
              <w:jc w:val="left"/>
            </w:pPr>
            <w:r/>
            <w:r>
              <w:rPr>
                <w:rFonts w:ascii="Calibri" w:hAnsi="Calibri"/>
                <w:b w:val="0"/>
                <w:color w:val="000000"/>
                <w:sz w:val="16"/>
              </w:rPr>
              <w:t>12 indicators, same BCBS methodology (CRD6 Art 131(2))</w:t>
            </w:r>
          </w:p>
        </w:tc>
      </w:tr>
      <w:tr>
        <w:tc>
          <w:tcPr>
            <w:tcW w:type="dxa" w:w="3456"/>
            <w:shd w:fill="FFFFFF" w:val="clear"/>
          </w:tcPr>
          <w:p>
            <w:pPr>
              <w:jc w:val="left"/>
            </w:pPr>
            <w:r/>
            <w:r>
              <w:rPr>
                <w:rFonts w:ascii="Calibri" w:hAnsi="Calibri"/>
                <w:b/>
                <w:color w:val="000000"/>
                <w:sz w:val="16"/>
              </w:rPr>
              <w:t>Method 2 (US-Specific)</w:t>
            </w:r>
          </w:p>
        </w:tc>
        <w:tc>
          <w:tcPr>
            <w:tcW w:type="dxa" w:w="3456"/>
            <w:shd w:fill="FFFFFF" w:val="clear"/>
          </w:tcPr>
          <w:p>
            <w:pPr>
              <w:jc w:val="left"/>
            </w:pPr>
            <w:r/>
            <w:r>
              <w:rPr>
                <w:rFonts w:ascii="Calibri" w:hAnsi="Calibri"/>
                <w:b w:val="0"/>
                <w:color w:val="000000"/>
                <w:sz w:val="16"/>
              </w:rPr>
              <w:t>Substitution approach: replaces substitutability category with short-term wholesale funding (STWF). 1.2x downward coefficient adjustment and 20bp bands / 0.1% increments are per the SEPARATE Board G-SIB surcharge NPR (cross-referenced at ERBA NPR P.21) - model assumptions, not verified in this review</w:t>
            </w:r>
          </w:p>
        </w:tc>
        <w:tc>
          <w:tcPr>
            <w:tcW w:type="dxa" w:w="3456"/>
            <w:shd w:fill="FFFFFF" w:val="clear"/>
          </w:tcPr>
          <w:p>
            <w:pPr>
              <w:jc w:val="left"/>
            </w:pPr>
            <w:r/>
            <w:r>
              <w:rPr>
                <w:rFonts w:ascii="Calibri" w:hAnsi="Calibri"/>
                <w:b w:val="0"/>
                <w:color w:val="000000"/>
                <w:sz w:val="16"/>
              </w:rPr>
              <w:t>N/A - Method 2 not used in UK</w:t>
            </w:r>
          </w:p>
        </w:tc>
        <w:tc>
          <w:tcPr>
            <w:tcW w:type="dxa" w:w="3456"/>
            <w:shd w:fill="FFFFFF" w:val="clear"/>
          </w:tcPr>
          <w:p>
            <w:pPr>
              <w:jc w:val="left"/>
            </w:pPr>
            <w:r/>
            <w:r>
              <w:rPr>
                <w:rFonts w:ascii="Calibri" w:hAnsi="Calibri"/>
                <w:b w:val="0"/>
                <w:color w:val="000000"/>
                <w:sz w:val="16"/>
              </w:rPr>
              <w:t>Method 2 available per CRD6 Art 131(2a) but coefficients not adjusted</w:t>
            </w:r>
          </w:p>
        </w:tc>
      </w:tr>
      <w:tr>
        <w:tc>
          <w:tcPr>
            <w:tcW w:type="dxa" w:w="3456"/>
            <w:shd w:fill="F2F2F2" w:val="clear"/>
          </w:tcPr>
          <w:p>
            <w:pPr>
              <w:jc w:val="left"/>
            </w:pPr>
            <w:r/>
            <w:r>
              <w:rPr>
                <w:rFonts w:ascii="Calibri" w:hAnsi="Calibri"/>
                <w:b/>
                <w:color w:val="000000"/>
                <w:sz w:val="16"/>
              </w:rPr>
              <w:t>1.2x Downward Factor</w:t>
            </w:r>
          </w:p>
        </w:tc>
        <w:tc>
          <w:tcPr>
            <w:tcW w:type="dxa" w:w="3456"/>
            <w:shd w:fill="F2F2F2" w:val="clear"/>
          </w:tcPr>
          <w:p>
            <w:pPr>
              <w:jc w:val="left"/>
            </w:pPr>
            <w:r/>
            <w:r>
              <w:rPr>
                <w:rFonts w:ascii="Calibri" w:hAnsi="Calibri"/>
                <w:b w:val="0"/>
                <w:color w:val="000000"/>
                <w:sz w:val="16"/>
              </w:rPr>
              <w:t>Applied to Method 2 coefficients to recalibrate surcharge lower (separate G-SIB surcharge NPR; not verified). Effect: reduces Method 2 scores by ~17%</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N/A - no adjustment factor applied</w:t>
            </w:r>
          </w:p>
        </w:tc>
      </w:tr>
      <w:tr>
        <w:tc>
          <w:tcPr>
            <w:tcW w:type="dxa" w:w="3456"/>
            <w:shd w:fill="FFFFFF" w:val="clear"/>
          </w:tcPr>
          <w:p>
            <w:pPr>
              <w:jc w:val="left"/>
            </w:pPr>
            <w:r/>
            <w:r>
              <w:rPr>
                <w:rFonts w:ascii="Calibri" w:hAnsi="Calibri"/>
                <w:b/>
                <w:color w:val="000000"/>
                <w:sz w:val="16"/>
              </w:rPr>
              <w:t>STWF in Method 2</w:t>
            </w:r>
          </w:p>
        </w:tc>
        <w:tc>
          <w:tcPr>
            <w:tcW w:type="dxa" w:w="3456"/>
            <w:shd w:fill="FFFFFF" w:val="clear"/>
          </w:tcPr>
          <w:p>
            <w:pPr>
              <w:jc w:val="left"/>
            </w:pPr>
            <w:r/>
            <w:r>
              <w:rPr>
                <w:rFonts w:ascii="Calibri" w:hAnsi="Calibri"/>
                <w:b w:val="0"/>
                <w:color w:val="000000"/>
                <w:sz w:val="16"/>
              </w:rPr>
              <w:t>20% weighting in Method 2 (replaces substitutability) (separate G-SIB surcharge NPR; not verified). ERBA NPR impact analysis uses an STWF scaling factor of 350 (P.552)</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STWF not substituted; uses original substitutability category</w:t>
            </w:r>
          </w:p>
        </w:tc>
      </w:tr>
      <w:tr>
        <w:tc>
          <w:tcPr>
            <w:tcW w:type="dxa" w:w="3456"/>
            <w:shd w:fill="F2F2F2" w:val="clear"/>
          </w:tcPr>
          <w:p>
            <w:pPr>
              <w:jc w:val="left"/>
            </w:pPr>
            <w:r/>
            <w:r>
              <w:rPr>
                <w:rFonts w:ascii="Calibri" w:hAnsi="Calibri"/>
                <w:b/>
                <w:color w:val="000000"/>
                <w:sz w:val="16"/>
              </w:rPr>
              <w:t>Score Bands</w:t>
            </w:r>
          </w:p>
        </w:tc>
        <w:tc>
          <w:tcPr>
            <w:tcW w:type="dxa" w:w="3456"/>
            <w:shd w:fill="F2F2F2" w:val="clear"/>
          </w:tcPr>
          <w:p>
            <w:pPr>
              <w:jc w:val="left"/>
            </w:pPr>
            <w:r/>
            <w:r>
              <w:rPr>
                <w:rFonts w:ascii="Calibri" w:hAnsi="Calibri"/>
                <w:b w:val="0"/>
                <w:color w:val="000000"/>
                <w:sz w:val="16"/>
              </w:rPr>
              <w:t>20bp score ranges / 0.1% surcharge increments (separate G-SIB surcharge NPR; not verified). ERBA NPR impact analysis linearizes the surcharge as 0.01 + 0.00005 x max(0, score - 180) (P.552). Finer granularity than BCBS 100bp/0.5%</w:t>
            </w:r>
          </w:p>
        </w:tc>
        <w:tc>
          <w:tcPr>
            <w:tcW w:type="dxa" w:w="3456"/>
            <w:shd w:fill="F2F2F2" w:val="clear"/>
          </w:tcPr>
          <w:p>
            <w:pPr>
              <w:jc w:val="left"/>
            </w:pPr>
            <w:r/>
            <w:r>
              <w:rPr>
                <w:rFonts w:ascii="Calibri" w:hAnsi="Calibri"/>
                <w:b w:val="0"/>
                <w:color w:val="000000"/>
                <w:sz w:val="16"/>
              </w:rPr>
              <w:t>Systemic buffer set by FPC: 0/1/1.5/2/2.5/3% (PS1/26 Ch.17.2)</w:t>
            </w:r>
          </w:p>
        </w:tc>
        <w:tc>
          <w:tcPr>
            <w:tcW w:type="dxa" w:w="3456"/>
            <w:shd w:fill="F2F2F2" w:val="clear"/>
          </w:tcPr>
          <w:p>
            <w:pPr>
              <w:jc w:val="left"/>
            </w:pPr>
            <w:r/>
            <w:r>
              <w:rPr>
                <w:rFonts w:ascii="Calibri" w:hAnsi="Calibri"/>
                <w:b w:val="0"/>
                <w:color w:val="000000"/>
                <w:sz w:val="16"/>
              </w:rPr>
              <w:t>100bp score ranges / 0.5% surcharge increments per BCBS (CRD6 Art 131(9))</w:t>
            </w:r>
          </w:p>
        </w:tc>
      </w:tr>
      <w:tr>
        <w:tc>
          <w:tcPr>
            <w:tcW w:type="dxa" w:w="3456"/>
            <w:shd w:fill="FFFFFF" w:val="clear"/>
          </w:tcPr>
          <w:p>
            <w:pPr>
              <w:jc w:val="left"/>
            </w:pPr>
            <w:r/>
            <w:r>
              <w:rPr>
                <w:rFonts w:ascii="Calibri" w:hAnsi="Calibri"/>
                <w:b/>
                <w:color w:val="000000"/>
                <w:sz w:val="16"/>
              </w:rPr>
              <w:t>Empty Top Bucket</w:t>
            </w:r>
          </w:p>
        </w:tc>
        <w:tc>
          <w:tcPr>
            <w:tcW w:type="dxa" w:w="3456"/>
            <w:shd w:fill="FFFFFF" w:val="clear"/>
          </w:tcPr>
          <w:p>
            <w:pPr>
              <w:jc w:val="left"/>
            </w:pPr>
            <w:r/>
            <w:r>
              <w:rPr>
                <w:rFonts w:ascii="Calibri" w:hAnsi="Calibri"/>
                <w:b w:val="0"/>
                <w:color w:val="000000"/>
                <w:sz w:val="16"/>
              </w:rPr>
              <w:t>Yes - 1% empty top bucket to discourage systemic growth (12 CFR 217.404(c))</w:t>
            </w:r>
          </w:p>
        </w:tc>
        <w:tc>
          <w:tcPr>
            <w:tcW w:type="dxa" w:w="3456"/>
            <w:shd w:fill="FFFFFF" w:val="clear"/>
          </w:tcPr>
          <w:p>
            <w:pPr>
              <w:jc w:val="left"/>
            </w:pPr>
            <w:r/>
            <w:r>
              <w:rPr>
                <w:rFonts w:ascii="Calibri" w:hAnsi="Calibri"/>
                <w:b w:val="0"/>
                <w:color w:val="000000"/>
                <w:sz w:val="16"/>
              </w:rPr>
              <w:t>Yes (PS1/26 Ch.17.2)</w:t>
            </w:r>
          </w:p>
        </w:tc>
        <w:tc>
          <w:tcPr>
            <w:tcW w:type="dxa" w:w="3456"/>
            <w:shd w:fill="FFFFFF" w:val="clear"/>
          </w:tcPr>
          <w:p>
            <w:pPr>
              <w:jc w:val="left"/>
            </w:pPr>
            <w:r/>
            <w:r>
              <w:rPr>
                <w:rFonts w:ascii="Calibri" w:hAnsi="Calibri"/>
                <w:b w:val="0"/>
                <w:color w:val="000000"/>
                <w:sz w:val="16"/>
              </w:rPr>
              <w:t>Yes (CRD6 Art 131(9))</w:t>
            </w:r>
          </w:p>
        </w:tc>
      </w:tr>
      <w:tr>
        <w:tc>
          <w:tcPr>
            <w:tcW w:type="dxa" w:w="3456"/>
            <w:shd w:fill="F2F2F2" w:val="clear"/>
          </w:tcPr>
          <w:p>
            <w:pPr>
              <w:jc w:val="left"/>
            </w:pPr>
            <w:r/>
            <w:r>
              <w:rPr>
                <w:rFonts w:ascii="Calibri" w:hAnsi="Calibri"/>
                <w:b/>
                <w:color w:val="000000"/>
                <w:sz w:val="16"/>
              </w:rPr>
              <w:t>Current US G-SIB Rates</w:t>
            </w:r>
          </w:p>
        </w:tc>
        <w:tc>
          <w:tcPr>
            <w:tcW w:type="dxa" w:w="3456"/>
            <w:shd w:fill="F2F2F2" w:val="clear"/>
          </w:tcPr>
          <w:p>
            <w:pPr>
              <w:jc w:val="left"/>
            </w:pPr>
            <w:r/>
            <w:r>
              <w:rPr>
                <w:rFonts w:ascii="Calibri" w:hAnsi="Calibri"/>
                <w:b w:val="0"/>
                <w:color w:val="000000"/>
                <w:sz w:val="16"/>
              </w:rPr>
              <w:t>JPM 4.0%, GS 2.5%, MS 3.0%, BAC 2.5%, C 3.0%, WFC 1.5%, BK 1.0%, STT 1.0% (2024 scores)</w:t>
            </w:r>
          </w:p>
        </w:tc>
        <w:tc>
          <w:tcPr>
            <w:tcW w:type="dxa" w:w="3456"/>
            <w:shd w:fill="F2F2F2" w:val="clear"/>
          </w:tcPr>
          <w:p>
            <w:pPr>
              <w:jc w:val="left"/>
            </w:pPr>
            <w:r/>
            <w:r>
              <w:rPr>
                <w:rFonts w:ascii="Calibri" w:hAnsi="Calibri"/>
                <w:b w:val="0"/>
                <w:color w:val="000000"/>
                <w:sz w:val="16"/>
              </w:rPr>
              <w:t>N/A (US-specific)</w:t>
            </w:r>
          </w:p>
        </w:tc>
        <w:tc>
          <w:tcPr>
            <w:tcW w:type="dxa" w:w="3456"/>
            <w:shd w:fill="F2F2F2" w:val="clear"/>
          </w:tcPr>
          <w:p>
            <w:pPr>
              <w:jc w:val="left"/>
            </w:pPr>
            <w:r/>
            <w:r>
              <w:rPr>
                <w:rFonts w:ascii="Calibri" w:hAnsi="Calibri"/>
                <w:b w:val="0"/>
                <w:color w:val="000000"/>
                <w:sz w:val="16"/>
              </w:rPr>
              <w:t>N/A (US-specific)</w:t>
            </w:r>
          </w:p>
        </w:tc>
      </w:tr>
      <w:tr>
        <w:tc>
          <w:tcPr>
            <w:tcW w:type="dxa" w:w="3456"/>
            <w:shd w:fill="FFFFFF" w:val="clear"/>
          </w:tcPr>
          <w:p>
            <w:pPr>
              <w:jc w:val="left"/>
            </w:pPr>
            <w:r/>
            <w:r>
              <w:rPr>
                <w:rFonts w:ascii="Calibri" w:hAnsi="Calibri"/>
                <w:b/>
                <w:color w:val="000000"/>
                <w:sz w:val="16"/>
              </w:rPr>
              <w:t>Review Frequency</w:t>
            </w:r>
          </w:p>
        </w:tc>
        <w:tc>
          <w:tcPr>
            <w:tcW w:type="dxa" w:w="3456"/>
            <w:shd w:fill="FFFFFF" w:val="clear"/>
          </w:tcPr>
          <w:p>
            <w:pPr>
              <w:jc w:val="left"/>
            </w:pPr>
            <w:r/>
            <w:r>
              <w:rPr>
                <w:rFonts w:ascii="Calibri" w:hAnsi="Calibri"/>
                <w:b w:val="0"/>
                <w:color w:val="000000"/>
                <w:sz w:val="16"/>
              </w:rPr>
              <w:t>Annual (FR Y-15 filing) (12 CFR 217.404(d))</w:t>
            </w:r>
          </w:p>
        </w:tc>
        <w:tc>
          <w:tcPr>
            <w:tcW w:type="dxa" w:w="3456"/>
            <w:shd w:fill="FFFFFF" w:val="clear"/>
          </w:tcPr>
          <w:p>
            <w:pPr>
              <w:jc w:val="left"/>
            </w:pPr>
            <w:r/>
            <w:r>
              <w:rPr>
                <w:rFonts w:ascii="Calibri" w:hAnsi="Calibri"/>
                <w:b w:val="0"/>
                <w:color w:val="000000"/>
                <w:sz w:val="16"/>
              </w:rPr>
              <w:t>Annual review by FPC (PS1/26 Ch.17.3)</w:t>
            </w:r>
          </w:p>
        </w:tc>
        <w:tc>
          <w:tcPr>
            <w:tcW w:type="dxa" w:w="3456"/>
            <w:shd w:fill="FFFFFF" w:val="clear"/>
          </w:tcPr>
          <w:p>
            <w:pPr>
              <w:jc w:val="left"/>
            </w:pPr>
            <w:r/>
            <w:r>
              <w:rPr>
                <w:rFonts w:ascii="Calibri" w:hAnsi="Calibri"/>
                <w:b w:val="0"/>
                <w:color w:val="000000"/>
                <w:sz w:val="16"/>
              </w:rPr>
              <w:t>Annual review by EBA/NCA (CRD6 Art 131(11))</w:t>
            </w:r>
          </w:p>
        </w:tc>
      </w:tr>
    </w:tbl>
    <w:p>
      <w:r>
        <w:rPr>
          <w:rFonts w:ascii="Calibri" w:hAnsi="Calibri"/>
          <w:b/>
          <w:color w:val="002060"/>
          <w:sz w:val="22"/>
        </w:rPr>
        <w:t>3.2 Stress Capital Buffer (SCB)</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SCB Applicability</w:t>
            </w:r>
          </w:p>
        </w:tc>
        <w:tc>
          <w:tcPr>
            <w:tcW w:type="dxa" w:w="3456"/>
            <w:shd w:fill="F2F2F2" w:val="clear"/>
          </w:tcPr>
          <w:p>
            <w:pPr>
              <w:jc w:val="left"/>
            </w:pPr>
            <w:r/>
            <w:r>
              <w:rPr>
                <w:rFonts w:ascii="Calibri" w:hAnsi="Calibri"/>
                <w:b w:val="0"/>
                <w:color w:val="000000"/>
                <w:sz w:val="16"/>
              </w:rPr>
              <w:t>US Cat I-IV BHCs only (12 CFR 225.8(d))</w:t>
            </w:r>
          </w:p>
        </w:tc>
        <w:tc>
          <w:tcPr>
            <w:tcW w:type="dxa" w:w="3456"/>
            <w:shd w:fill="F2F2F2" w:val="clear"/>
          </w:tcPr>
          <w:p>
            <w:pPr>
              <w:jc w:val="left"/>
            </w:pPr>
            <w:r/>
            <w:r>
              <w:rPr>
                <w:rFonts w:ascii="Calibri" w:hAnsi="Calibri"/>
                <w:b w:val="0"/>
                <w:color w:val="000000"/>
                <w:sz w:val="16"/>
              </w:rPr>
              <w:t>Not applicable - uses PRA buffer instead (PS1/26 Ch.17.4)</w:t>
            </w:r>
          </w:p>
        </w:tc>
        <w:tc>
          <w:tcPr>
            <w:tcW w:type="dxa" w:w="3456"/>
            <w:shd w:fill="F2F2F2" w:val="clear"/>
          </w:tcPr>
          <w:p>
            <w:pPr>
              <w:jc w:val="left"/>
            </w:pPr>
            <w:r/>
            <w:r>
              <w:rPr>
                <w:rFonts w:ascii="Calibri" w:hAnsi="Calibri"/>
                <w:b w:val="0"/>
                <w:color w:val="000000"/>
                <w:sz w:val="16"/>
              </w:rPr>
              <w:t>Not applicable - uses P2G instead (CRD5 Art 104b)</w:t>
            </w:r>
          </w:p>
        </w:tc>
      </w:tr>
      <w:tr>
        <w:tc>
          <w:tcPr>
            <w:tcW w:type="dxa" w:w="3456"/>
            <w:shd w:fill="FFFFFF" w:val="clear"/>
          </w:tcPr>
          <w:p>
            <w:pPr>
              <w:jc w:val="left"/>
            </w:pPr>
            <w:r/>
            <w:r>
              <w:rPr>
                <w:rFonts w:ascii="Calibri" w:hAnsi="Calibri"/>
                <w:b/>
                <w:color w:val="000000"/>
                <w:sz w:val="16"/>
              </w:rPr>
              <w:t>SCB Formula</w:t>
            </w:r>
          </w:p>
        </w:tc>
        <w:tc>
          <w:tcPr>
            <w:tcW w:type="dxa" w:w="3456"/>
            <w:shd w:fill="FFFFFF" w:val="clear"/>
          </w:tcPr>
          <w:p>
            <w:pPr>
              <w:jc w:val="left"/>
            </w:pPr>
            <w:r/>
            <w:r>
              <w:rPr>
                <w:rFonts w:ascii="Calibri" w:hAnsi="Calibri"/>
                <w:b w:val="0"/>
                <w:color w:val="000000"/>
                <w:sz w:val="16"/>
              </w:rPr>
              <w:t>SCB = max(2.5%, (Starting CET1 - Trough CET1 under severely adverse) + 4Q planned dividends) (12 CFR 225.8(d)(3))</w:t>
            </w:r>
          </w:p>
        </w:tc>
        <w:tc>
          <w:tcPr>
            <w:tcW w:type="dxa" w:w="3456"/>
            <w:shd w:fill="FFFFFF" w:val="clear"/>
          </w:tcPr>
          <w:p>
            <w:pPr>
              <w:jc w:val="left"/>
            </w:pPr>
            <w:r/>
            <w:r>
              <w:rPr>
                <w:rFonts w:ascii="Calibri" w:hAnsi="Calibri"/>
                <w:b w:val="0"/>
                <w:color w:val="000000"/>
                <w:sz w:val="16"/>
              </w:rPr>
              <w:t>PRA buffer = supervisory assessment of stress impact (PS1/26 Ch.17.4)</w:t>
            </w:r>
          </w:p>
        </w:tc>
        <w:tc>
          <w:tcPr>
            <w:tcW w:type="dxa" w:w="3456"/>
            <w:shd w:fill="FFFFFF" w:val="clear"/>
          </w:tcPr>
          <w:p>
            <w:pPr>
              <w:jc w:val="left"/>
            </w:pPr>
            <w:r/>
            <w:r>
              <w:rPr>
                <w:rFonts w:ascii="Calibri" w:hAnsi="Calibri"/>
                <w:b w:val="0"/>
                <w:color w:val="000000"/>
                <w:sz w:val="16"/>
              </w:rPr>
              <w:t>P2G = supervisory SREP assessment, not legally binding (CRD5 Art 104b)</w:t>
            </w:r>
          </w:p>
        </w:tc>
      </w:tr>
      <w:tr>
        <w:tc>
          <w:tcPr>
            <w:tcW w:type="dxa" w:w="3456"/>
            <w:shd w:fill="F2F2F2" w:val="clear"/>
          </w:tcPr>
          <w:p>
            <w:pPr>
              <w:jc w:val="left"/>
            </w:pPr>
            <w:r/>
            <w:r>
              <w:rPr>
                <w:rFonts w:ascii="Calibri" w:hAnsi="Calibri"/>
                <w:b/>
                <w:color w:val="000000"/>
                <w:sz w:val="16"/>
              </w:rPr>
              <w:t>SCB Floor</w:t>
            </w:r>
          </w:p>
        </w:tc>
        <w:tc>
          <w:tcPr>
            <w:tcW w:type="dxa" w:w="3456"/>
            <w:shd w:fill="F2F2F2" w:val="clear"/>
          </w:tcPr>
          <w:p>
            <w:pPr>
              <w:jc w:val="left"/>
            </w:pPr>
            <w:r/>
            <w:r>
              <w:rPr>
                <w:rFonts w:ascii="Calibri" w:hAnsi="Calibri"/>
                <w:b w:val="0"/>
                <w:color w:val="000000"/>
                <w:sz w:val="16"/>
              </w:rPr>
              <w:t>2.5% minimum (replaces CCB for US firms) (12 CFR 225.8(d)(3)(ii))</w:t>
            </w:r>
          </w:p>
        </w:tc>
        <w:tc>
          <w:tcPr>
            <w:tcW w:type="dxa" w:w="3456"/>
            <w:shd w:fill="F2F2F2" w:val="clear"/>
          </w:tcPr>
          <w:p>
            <w:pPr>
              <w:jc w:val="left"/>
            </w:pPr>
            <w:r/>
            <w:r>
              <w:rPr>
                <w:rFonts w:ascii="Calibri" w:hAnsi="Calibri"/>
                <w:b w:val="0"/>
                <w:color w:val="000000"/>
                <w:sz w:val="16"/>
              </w:rPr>
              <w:t>No explicit floor for PRA buffer</w:t>
            </w:r>
          </w:p>
        </w:tc>
        <w:tc>
          <w:tcPr>
            <w:tcW w:type="dxa" w:w="3456"/>
            <w:shd w:fill="F2F2F2" w:val="clear"/>
          </w:tcPr>
          <w:p>
            <w:pPr>
              <w:jc w:val="left"/>
            </w:pPr>
            <w:r/>
            <w:r>
              <w:rPr>
                <w:rFonts w:ascii="Calibri" w:hAnsi="Calibri"/>
                <w:b w:val="0"/>
                <w:color w:val="000000"/>
                <w:sz w:val="16"/>
              </w:rPr>
              <w:t>No explicit floor for P2G</w:t>
            </w:r>
          </w:p>
        </w:tc>
      </w:tr>
      <w:tr>
        <w:tc>
          <w:tcPr>
            <w:tcW w:type="dxa" w:w="3456"/>
            <w:shd w:fill="FFFFFF" w:val="clear"/>
          </w:tcPr>
          <w:p>
            <w:pPr>
              <w:jc w:val="left"/>
            </w:pPr>
            <w:r/>
            <w:r>
              <w:rPr>
                <w:rFonts w:ascii="Calibri" w:hAnsi="Calibri"/>
                <w:b/>
                <w:color w:val="000000"/>
                <w:sz w:val="16"/>
              </w:rPr>
              <w:t>SCB Frequency</w:t>
            </w:r>
          </w:p>
        </w:tc>
        <w:tc>
          <w:tcPr>
            <w:tcW w:type="dxa" w:w="3456"/>
            <w:shd w:fill="FFFFFF" w:val="clear"/>
          </w:tcPr>
          <w:p>
            <w:pPr>
              <w:jc w:val="left"/>
            </w:pPr>
            <w:r/>
            <w:r>
              <w:rPr>
                <w:rFonts w:ascii="Calibri" w:hAnsi="Calibri"/>
                <w:b w:val="0"/>
                <w:color w:val="000000"/>
                <w:sz w:val="16"/>
              </w:rPr>
              <w:t>Annual - set after CCAR/DFAST (12 CFR 225.8(d)(4))</w:t>
            </w:r>
          </w:p>
        </w:tc>
        <w:tc>
          <w:tcPr>
            <w:tcW w:type="dxa" w:w="3456"/>
            <w:shd w:fill="FFFFFF" w:val="clear"/>
          </w:tcPr>
          <w:p>
            <w:pPr>
              <w:jc w:val="left"/>
            </w:pPr>
            <w:r/>
            <w:r>
              <w:rPr>
                <w:rFonts w:ascii="Calibri" w:hAnsi="Calibri"/>
                <w:b w:val="0"/>
                <w:color w:val="000000"/>
                <w:sz w:val="16"/>
              </w:rPr>
              <w:t>Annual via ICAAP/SREP process (PS1/26 Ch.17.4)</w:t>
            </w:r>
          </w:p>
        </w:tc>
        <w:tc>
          <w:tcPr>
            <w:tcW w:type="dxa" w:w="3456"/>
            <w:shd w:fill="FFFFFF" w:val="clear"/>
          </w:tcPr>
          <w:p>
            <w:pPr>
              <w:jc w:val="left"/>
            </w:pPr>
            <w:r/>
            <w:r>
              <w:rPr>
                <w:rFonts w:ascii="Calibri" w:hAnsi="Calibri"/>
                <w:b w:val="0"/>
                <w:color w:val="000000"/>
                <w:sz w:val="16"/>
              </w:rPr>
              <w:t>Annual via SREP (CRD5 Art 97)</w:t>
            </w:r>
          </w:p>
        </w:tc>
      </w:tr>
      <w:tr>
        <w:tc>
          <w:tcPr>
            <w:tcW w:type="dxa" w:w="3456"/>
            <w:shd w:fill="F2F2F2" w:val="clear"/>
          </w:tcPr>
          <w:p>
            <w:pPr>
              <w:jc w:val="left"/>
            </w:pPr>
            <w:r/>
            <w:r>
              <w:rPr>
                <w:rFonts w:ascii="Calibri" w:hAnsi="Calibri"/>
                <w:b/>
                <w:color w:val="000000"/>
                <w:sz w:val="16"/>
              </w:rPr>
              <w:t>SCB vs CCB</w:t>
            </w:r>
          </w:p>
        </w:tc>
        <w:tc>
          <w:tcPr>
            <w:tcW w:type="dxa" w:w="3456"/>
            <w:shd w:fill="F2F2F2" w:val="clear"/>
          </w:tcPr>
          <w:p>
            <w:pPr>
              <w:jc w:val="left"/>
            </w:pPr>
            <w:r/>
            <w:r>
              <w:rPr>
                <w:rFonts w:ascii="Calibri" w:hAnsi="Calibri"/>
                <w:b w:val="0"/>
                <w:color w:val="000000"/>
                <w:sz w:val="16"/>
              </w:rPr>
              <w:t>SCB replaces the 2.5% CCB for Category I/II holding companies (buffer = SCB + CCyB + G-SIB surcharge); subsidiary DIs keep the 2.5% CCB (ERBA NPR P.25). Cannot be lower than 2.5%</w:t>
            </w:r>
          </w:p>
        </w:tc>
        <w:tc>
          <w:tcPr>
            <w:tcW w:type="dxa" w:w="3456"/>
            <w:shd w:fill="F2F2F2" w:val="clear"/>
          </w:tcPr>
          <w:p>
            <w:pPr>
              <w:jc w:val="left"/>
            </w:pPr>
            <w:r/>
            <w:r>
              <w:rPr>
                <w:rFonts w:ascii="Calibri" w:hAnsi="Calibri"/>
                <w:b w:val="0"/>
                <w:color w:val="000000"/>
                <w:sz w:val="16"/>
              </w:rPr>
              <w:t>CCB = 2.5% (separate from PRA buffer) (PS1/26 Ch.17.5)</w:t>
            </w:r>
          </w:p>
        </w:tc>
        <w:tc>
          <w:tcPr>
            <w:tcW w:type="dxa" w:w="3456"/>
            <w:shd w:fill="F2F2F2" w:val="clear"/>
          </w:tcPr>
          <w:p>
            <w:pPr>
              <w:jc w:val="left"/>
            </w:pPr>
            <w:r/>
            <w:r>
              <w:rPr>
                <w:rFonts w:ascii="Calibri" w:hAnsi="Calibri"/>
                <w:b w:val="0"/>
                <w:color w:val="000000"/>
                <w:sz w:val="16"/>
              </w:rPr>
              <w:t>CCB = 2.5% (CRD6 Art 129)</w:t>
            </w:r>
          </w:p>
        </w:tc>
      </w:tr>
    </w:tbl>
    <w:p>
      <w:r>
        <w:rPr>
          <w:rFonts w:ascii="Calibri" w:hAnsi="Calibri"/>
          <w:b/>
          <w:color w:val="002060"/>
          <w:sz w:val="22"/>
        </w:rPr>
        <w:t>3.3 Countercyclical Capital Buffer (CCyB)</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CCyB Authority</w:t>
            </w:r>
          </w:p>
        </w:tc>
        <w:tc>
          <w:tcPr>
            <w:tcW w:type="dxa" w:w="3456"/>
            <w:shd w:fill="F2F2F2" w:val="clear"/>
          </w:tcPr>
          <w:p>
            <w:pPr>
              <w:jc w:val="left"/>
            </w:pPr>
            <w:r/>
            <w:r>
              <w:rPr>
                <w:rFonts w:ascii="Calibri" w:hAnsi="Calibri"/>
                <w:b w:val="0"/>
                <w:color w:val="000000"/>
                <w:sz w:val="16"/>
              </w:rPr>
              <w:t>Federal Reserve (12 CFR 217.11(b))</w:t>
            </w:r>
          </w:p>
        </w:tc>
        <w:tc>
          <w:tcPr>
            <w:tcW w:type="dxa" w:w="3456"/>
            <w:shd w:fill="F2F2F2" w:val="clear"/>
          </w:tcPr>
          <w:p>
            <w:pPr>
              <w:jc w:val="left"/>
            </w:pPr>
            <w:r/>
            <w:r>
              <w:rPr>
                <w:rFonts w:ascii="Calibri" w:hAnsi="Calibri"/>
                <w:b w:val="0"/>
                <w:color w:val="000000"/>
                <w:sz w:val="16"/>
              </w:rPr>
              <w:t>Financial Policy Committee (FPC) (PS1/26 Ch.17.6)</w:t>
            </w:r>
          </w:p>
        </w:tc>
        <w:tc>
          <w:tcPr>
            <w:tcW w:type="dxa" w:w="3456"/>
            <w:shd w:fill="F2F2F2" w:val="clear"/>
          </w:tcPr>
          <w:p>
            <w:pPr>
              <w:jc w:val="left"/>
            </w:pPr>
            <w:r/>
            <w:r>
              <w:rPr>
                <w:rFonts w:ascii="Calibri" w:hAnsi="Calibri"/>
                <w:b w:val="0"/>
                <w:color w:val="000000"/>
                <w:sz w:val="16"/>
              </w:rPr>
              <w:t>National designated authorities per Member State (CRD6 Art 130)</w:t>
            </w:r>
          </w:p>
        </w:tc>
      </w:tr>
      <w:tr>
        <w:tc>
          <w:tcPr>
            <w:tcW w:type="dxa" w:w="3456"/>
            <w:shd w:fill="FFFFFF" w:val="clear"/>
          </w:tcPr>
          <w:p>
            <w:pPr>
              <w:jc w:val="left"/>
            </w:pPr>
            <w:r/>
            <w:r>
              <w:rPr>
                <w:rFonts w:ascii="Calibri" w:hAnsi="Calibri"/>
                <w:b/>
                <w:color w:val="000000"/>
                <w:sz w:val="16"/>
              </w:rPr>
              <w:t>CCyB Range</w:t>
            </w:r>
          </w:p>
        </w:tc>
        <w:tc>
          <w:tcPr>
            <w:tcW w:type="dxa" w:w="3456"/>
            <w:shd w:fill="FFFFFF" w:val="clear"/>
          </w:tcPr>
          <w:p>
            <w:pPr>
              <w:jc w:val="left"/>
            </w:pPr>
            <w:r/>
            <w:r>
              <w:rPr>
                <w:rFonts w:ascii="Calibri" w:hAnsi="Calibri"/>
                <w:b w:val="0"/>
                <w:color w:val="000000"/>
                <w:sz w:val="16"/>
              </w:rPr>
              <w:t>0-2.5% (12 CFR 217.11(b)(2))</w:t>
            </w:r>
          </w:p>
        </w:tc>
        <w:tc>
          <w:tcPr>
            <w:tcW w:type="dxa" w:w="3456"/>
            <w:shd w:fill="FFFFFF" w:val="clear"/>
          </w:tcPr>
          <w:p>
            <w:pPr>
              <w:jc w:val="left"/>
            </w:pPr>
            <w:r/>
            <w:r>
              <w:rPr>
                <w:rFonts w:ascii="Calibri" w:hAnsi="Calibri"/>
                <w:b w:val="0"/>
                <w:color w:val="000000"/>
                <w:sz w:val="16"/>
              </w:rPr>
              <w:t>0-2.5% standard; can exceed 2.5% (PS1/26 Ch.17.6)</w:t>
            </w:r>
          </w:p>
        </w:tc>
        <w:tc>
          <w:tcPr>
            <w:tcW w:type="dxa" w:w="3456"/>
            <w:shd w:fill="FFFFFF" w:val="clear"/>
          </w:tcPr>
          <w:p>
            <w:pPr>
              <w:jc w:val="left"/>
            </w:pPr>
            <w:r/>
            <w:r>
              <w:rPr>
                <w:rFonts w:ascii="Calibri" w:hAnsi="Calibri"/>
                <w:b w:val="0"/>
                <w:color w:val="000000"/>
                <w:sz w:val="16"/>
              </w:rPr>
              <w:t>0-2.5% standard; can exceed 2.5% via Art 458 (CRD6 Art 130(5))</w:t>
            </w:r>
          </w:p>
        </w:tc>
      </w:tr>
      <w:tr>
        <w:tc>
          <w:tcPr>
            <w:tcW w:type="dxa" w:w="3456"/>
            <w:shd w:fill="F2F2F2" w:val="clear"/>
          </w:tcPr>
          <w:p>
            <w:pPr>
              <w:jc w:val="left"/>
            </w:pPr>
            <w:r/>
            <w:r>
              <w:rPr>
                <w:rFonts w:ascii="Calibri" w:hAnsi="Calibri"/>
                <w:b/>
                <w:color w:val="000000"/>
                <w:sz w:val="16"/>
              </w:rPr>
              <w:t>Current Rate (US)</w:t>
            </w:r>
          </w:p>
        </w:tc>
        <w:tc>
          <w:tcPr>
            <w:tcW w:type="dxa" w:w="3456"/>
            <w:shd w:fill="F2F2F2" w:val="clear"/>
          </w:tcPr>
          <w:p>
            <w:pPr>
              <w:jc w:val="left"/>
            </w:pPr>
            <w:r/>
            <w:r>
              <w:rPr>
                <w:rFonts w:ascii="Calibri" w:hAnsi="Calibri"/>
                <w:b w:val="0"/>
                <w:color w:val="000000"/>
                <w:sz w:val="16"/>
              </w:rPr>
              <w:t>0% (as of 2024)</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N/A</w:t>
            </w:r>
          </w:p>
        </w:tc>
      </w:tr>
      <w:tr>
        <w:tc>
          <w:tcPr>
            <w:tcW w:type="dxa" w:w="3456"/>
            <w:shd w:fill="FFFFFF" w:val="clear"/>
          </w:tcPr>
          <w:p>
            <w:pPr>
              <w:jc w:val="left"/>
            </w:pPr>
            <w:r/>
            <w:r>
              <w:rPr>
                <w:rFonts w:ascii="Calibri" w:hAnsi="Calibri"/>
                <w:b/>
                <w:color w:val="000000"/>
                <w:sz w:val="16"/>
              </w:rPr>
              <w:t>Current Rate (UK)</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2% (as of Q1 2024, set by FPC Nov 2023)</w:t>
            </w:r>
          </w:p>
        </w:tc>
        <w:tc>
          <w:tcPr>
            <w:tcW w:type="dxa" w:w="3456"/>
            <w:shd w:fill="FFFFFF" w:val="clear"/>
          </w:tcPr>
          <w:p>
            <w:pPr>
              <w:jc w:val="left"/>
            </w:pPr>
            <w:r/>
            <w:r>
              <w:rPr>
                <w:rFonts w:ascii="Calibri" w:hAnsi="Calibri"/>
                <w:b w:val="0"/>
                <w:color w:val="000000"/>
                <w:sz w:val="16"/>
              </w:rPr>
              <w:t>N/A</w:t>
            </w:r>
          </w:p>
        </w:tc>
      </w:tr>
      <w:tr>
        <w:tc>
          <w:tcPr>
            <w:tcW w:type="dxa" w:w="3456"/>
            <w:shd w:fill="F2F2F2" w:val="clear"/>
          </w:tcPr>
          <w:p>
            <w:pPr>
              <w:jc w:val="left"/>
            </w:pPr>
            <w:r/>
            <w:r>
              <w:rPr>
                <w:rFonts w:ascii="Calibri" w:hAnsi="Calibri"/>
                <w:b/>
                <w:color w:val="000000"/>
                <w:sz w:val="16"/>
              </w:rPr>
              <w:t>Reciprocity</w:t>
            </w:r>
          </w:p>
        </w:tc>
        <w:tc>
          <w:tcPr>
            <w:tcW w:type="dxa" w:w="3456"/>
            <w:shd w:fill="F2F2F2" w:val="clear"/>
          </w:tcPr>
          <w:p>
            <w:pPr>
              <w:jc w:val="left"/>
            </w:pPr>
            <w:r/>
            <w:r>
              <w:rPr>
                <w:rFonts w:ascii="Calibri" w:hAnsi="Calibri"/>
                <w:b w:val="0"/>
                <w:color w:val="000000"/>
                <w:sz w:val="16"/>
              </w:rPr>
              <w:t>Mandatory recognition of foreign CCyB rates (12 CFR 217.11(b)(3))</w:t>
            </w:r>
          </w:p>
        </w:tc>
        <w:tc>
          <w:tcPr>
            <w:tcW w:type="dxa" w:w="3456"/>
            <w:shd w:fill="F2F2F2" w:val="clear"/>
          </w:tcPr>
          <w:p>
            <w:pPr>
              <w:jc w:val="left"/>
            </w:pPr>
            <w:r/>
            <w:r>
              <w:rPr>
                <w:rFonts w:ascii="Calibri" w:hAnsi="Calibri"/>
                <w:b w:val="0"/>
                <w:color w:val="000000"/>
                <w:sz w:val="16"/>
              </w:rPr>
              <w:t>Mandatory recognition up to 2.5% (PS1/26 Ch.17.7)</w:t>
            </w:r>
          </w:p>
        </w:tc>
        <w:tc>
          <w:tcPr>
            <w:tcW w:type="dxa" w:w="3456"/>
            <w:shd w:fill="F2F2F2" w:val="clear"/>
          </w:tcPr>
          <w:p>
            <w:pPr>
              <w:jc w:val="left"/>
            </w:pPr>
            <w:r/>
            <w:r>
              <w:rPr>
                <w:rFonts w:ascii="Calibri" w:hAnsi="Calibri"/>
                <w:b w:val="0"/>
                <w:color w:val="000000"/>
                <w:sz w:val="16"/>
              </w:rPr>
              <w:t>Mandatory recognition up to 2.5%; voluntary above (CRD6 Art 137)</w:t>
            </w:r>
          </w:p>
        </w:tc>
      </w:tr>
      <w:tr>
        <w:tc>
          <w:tcPr>
            <w:tcW w:type="dxa" w:w="3456"/>
            <w:shd w:fill="FFFFFF" w:val="clear"/>
          </w:tcPr>
          <w:p>
            <w:pPr>
              <w:jc w:val="left"/>
            </w:pPr>
            <w:r/>
            <w:r>
              <w:rPr>
                <w:rFonts w:ascii="Calibri" w:hAnsi="Calibri"/>
                <w:b/>
                <w:color w:val="000000"/>
                <w:sz w:val="16"/>
              </w:rPr>
              <w:t>Geographic Weighting</w:t>
            </w:r>
          </w:p>
        </w:tc>
        <w:tc>
          <w:tcPr>
            <w:tcW w:type="dxa" w:w="3456"/>
            <w:shd w:fill="FFFFFF" w:val="clear"/>
          </w:tcPr>
          <w:p>
            <w:pPr>
              <w:jc w:val="left"/>
            </w:pPr>
            <w:r/>
            <w:r>
              <w:rPr>
                <w:rFonts w:ascii="Calibri" w:hAnsi="Calibri"/>
                <w:b w:val="0"/>
                <w:color w:val="000000"/>
                <w:sz w:val="16"/>
              </w:rPr>
              <w:t>Weighted by credit exposures in each jurisdiction (12 CFR 217.11(b)(3))</w:t>
            </w:r>
          </w:p>
        </w:tc>
        <w:tc>
          <w:tcPr>
            <w:tcW w:type="dxa" w:w="3456"/>
            <w:shd w:fill="FFFFFF" w:val="clear"/>
          </w:tcPr>
          <w:p>
            <w:pPr>
              <w:jc w:val="left"/>
            </w:pPr>
            <w:r/>
            <w:r>
              <w:rPr>
                <w:rFonts w:ascii="Calibri" w:hAnsi="Calibri"/>
                <w:b w:val="0"/>
                <w:color w:val="000000"/>
                <w:sz w:val="16"/>
              </w:rPr>
              <w:t>Weighted by UK-relevant exposures (PS1/26 Ch.17.7)</w:t>
            </w:r>
          </w:p>
        </w:tc>
        <w:tc>
          <w:tcPr>
            <w:tcW w:type="dxa" w:w="3456"/>
            <w:shd w:fill="FFFFFF" w:val="clear"/>
          </w:tcPr>
          <w:p>
            <w:pPr>
              <w:jc w:val="left"/>
            </w:pPr>
            <w:r/>
            <w:r>
              <w:rPr>
                <w:rFonts w:ascii="Calibri" w:hAnsi="Calibri"/>
                <w:b w:val="0"/>
                <w:color w:val="000000"/>
                <w:sz w:val="16"/>
              </w:rPr>
              <w:t>Weighted by credit exposures in each EU MS (CRD6 Art 140)</w:t>
            </w:r>
          </w:p>
        </w:tc>
      </w:tr>
    </w:tbl>
    <w:p>
      <w:r>
        <w:rPr>
          <w:rFonts w:ascii="Calibri" w:hAnsi="Calibri"/>
          <w:b/>
          <w:color w:val="002060"/>
          <w:sz w:val="22"/>
        </w:rPr>
        <w:t>3.4 Combined Buffer &amp; Worked Example</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Combined Buffer Formula</w:t>
            </w:r>
          </w:p>
        </w:tc>
        <w:tc>
          <w:tcPr>
            <w:tcW w:type="dxa" w:w="3456"/>
            <w:shd w:fill="F2F2F2" w:val="clear"/>
          </w:tcPr>
          <w:p>
            <w:pPr>
              <w:jc w:val="left"/>
            </w:pPr>
            <w:r/>
            <w:r>
              <w:rPr>
                <w:rFonts w:ascii="Calibri" w:hAnsi="Calibri"/>
                <w:b w:val="0"/>
                <w:color w:val="000000"/>
                <w:sz w:val="16"/>
              </w:rPr>
              <w:t>SCB + G-SIB + CCyB (12 CFR 217.11(a)(4)). Note: SCB subsumes CCB</w:t>
            </w:r>
          </w:p>
        </w:tc>
        <w:tc>
          <w:tcPr>
            <w:tcW w:type="dxa" w:w="3456"/>
            <w:shd w:fill="F2F2F2" w:val="clear"/>
          </w:tcPr>
          <w:p>
            <w:pPr>
              <w:jc w:val="left"/>
            </w:pPr>
            <w:r/>
            <w:r>
              <w:rPr>
                <w:rFonts w:ascii="Calibri" w:hAnsi="Calibri"/>
                <w:b w:val="0"/>
                <w:color w:val="000000"/>
                <w:sz w:val="16"/>
              </w:rPr>
              <w:t>CCB + G-SII/O-SII + Systemic Risk + CCyB (PS1/26 Ch.17.8)</w:t>
            </w:r>
          </w:p>
        </w:tc>
        <w:tc>
          <w:tcPr>
            <w:tcW w:type="dxa" w:w="3456"/>
            <w:shd w:fill="F2F2F2" w:val="clear"/>
          </w:tcPr>
          <w:p>
            <w:pPr>
              <w:jc w:val="left"/>
            </w:pPr>
            <w:r/>
            <w:r>
              <w:rPr>
                <w:rFonts w:ascii="Calibri" w:hAnsi="Calibri"/>
                <w:b w:val="0"/>
                <w:color w:val="000000"/>
                <w:sz w:val="16"/>
              </w:rPr>
              <w:t>CCB + G-SII/O-SII + Systemic Risk + CCyB (CRD6 Art 128)</w:t>
            </w:r>
          </w:p>
        </w:tc>
      </w:tr>
      <w:tr>
        <w:tc>
          <w:tcPr>
            <w:tcW w:type="dxa" w:w="3456"/>
            <w:shd w:fill="FFFFFF" w:val="clear"/>
          </w:tcPr>
          <w:p>
            <w:pPr>
              <w:jc w:val="left"/>
            </w:pPr>
            <w:r/>
            <w:r>
              <w:rPr>
                <w:rFonts w:ascii="Calibri" w:hAnsi="Calibri"/>
                <w:b/>
                <w:color w:val="000000"/>
                <w:sz w:val="16"/>
              </w:rPr>
              <w:t>Worked Example: JPM-like</w:t>
            </w:r>
          </w:p>
        </w:tc>
        <w:tc>
          <w:tcPr>
            <w:tcW w:type="dxa" w:w="3456"/>
            <w:shd w:fill="FFFFFF" w:val="clear"/>
          </w:tcPr>
          <w:p>
            <w:pPr>
              <w:jc w:val="left"/>
            </w:pPr>
            <w:r/>
            <w:r>
              <w:rPr>
                <w:rFonts w:ascii="Calibri" w:hAnsi="Calibri"/>
                <w:b w:val="0"/>
                <w:color w:val="000000"/>
                <w:sz w:val="16"/>
              </w:rPr>
              <w:t>SCB 3.2% + G-SIB 4.0% + CCyB 0% = 7.2%. Total CET1 req: 4.5% + 7.2% = 11.7%</w:t>
            </w:r>
          </w:p>
        </w:tc>
        <w:tc>
          <w:tcPr>
            <w:tcW w:type="dxa" w:w="3456"/>
            <w:shd w:fill="FFFFFF" w:val="clear"/>
          </w:tcPr>
          <w:p>
            <w:pPr>
              <w:jc w:val="left"/>
            </w:pPr>
            <w:r/>
            <w:r>
              <w:rPr>
                <w:rFonts w:ascii="Calibri" w:hAnsi="Calibri"/>
                <w:b w:val="0"/>
                <w:color w:val="000000"/>
                <w:sz w:val="16"/>
              </w:rPr>
              <w:t>CCB 2.5% + Systemic 3.0% + CCyB 2.0% = 7.5%. Total CET1: 4.5% + 7.5% + PRA buffer = 12.0%+</w:t>
            </w:r>
          </w:p>
        </w:tc>
        <w:tc>
          <w:tcPr>
            <w:tcW w:type="dxa" w:w="3456"/>
            <w:shd w:fill="FFFFFF" w:val="clear"/>
          </w:tcPr>
          <w:p>
            <w:pPr>
              <w:jc w:val="left"/>
            </w:pPr>
            <w:r/>
            <w:r>
              <w:rPr>
                <w:rFonts w:ascii="Calibri" w:hAnsi="Calibri"/>
                <w:b w:val="0"/>
                <w:color w:val="000000"/>
                <w:sz w:val="16"/>
              </w:rPr>
              <w:t>CCB 2.5% + G-SIB 2.0% + SyRB 0-3% + CCyB ~1% = 5.5-8.5%. Total CET1: 10.0-13.0%</w:t>
            </w:r>
          </w:p>
        </w:tc>
      </w:tr>
      <w:tr>
        <w:tc>
          <w:tcPr>
            <w:tcW w:type="dxa" w:w="3456"/>
            <w:shd w:fill="F2F2F2" w:val="clear"/>
          </w:tcPr>
          <w:p>
            <w:pPr>
              <w:jc w:val="left"/>
            </w:pPr>
            <w:r/>
            <w:r>
              <w:rPr>
                <w:rFonts w:ascii="Calibri" w:hAnsi="Calibri"/>
                <w:b/>
                <w:color w:val="000000"/>
                <w:sz w:val="16"/>
              </w:rPr>
              <w:t>MDA Trigger</w:t>
            </w:r>
          </w:p>
        </w:tc>
        <w:tc>
          <w:tcPr>
            <w:tcW w:type="dxa" w:w="3456"/>
            <w:shd w:fill="F2F2F2" w:val="clear"/>
          </w:tcPr>
          <w:p>
            <w:pPr>
              <w:jc w:val="left"/>
            </w:pPr>
            <w:r/>
            <w:r>
              <w:rPr>
                <w:rFonts w:ascii="Calibri" w:hAnsi="Calibri"/>
                <w:b w:val="0"/>
                <w:color w:val="000000"/>
                <w:sz w:val="16"/>
              </w:rPr>
              <w:t>CET1 &lt; 4.5% + combined buffer = distribution restrictions (12 CFR 217.11(a)(4)(iv))</w:t>
            </w:r>
          </w:p>
        </w:tc>
        <w:tc>
          <w:tcPr>
            <w:tcW w:type="dxa" w:w="3456"/>
            <w:shd w:fill="F2F2F2" w:val="clear"/>
          </w:tcPr>
          <w:p>
            <w:pPr>
              <w:jc w:val="left"/>
            </w:pPr>
            <w:r/>
            <w:r>
              <w:rPr>
                <w:rFonts w:ascii="Calibri" w:hAnsi="Calibri"/>
                <w:b w:val="0"/>
                <w:color w:val="000000"/>
                <w:sz w:val="16"/>
              </w:rPr>
              <w:t>CET1 &lt; combined buffer = automatic restrictions (PS1/26 Ch.17.9)</w:t>
            </w:r>
          </w:p>
        </w:tc>
        <w:tc>
          <w:tcPr>
            <w:tcW w:type="dxa" w:w="3456"/>
            <w:shd w:fill="F2F2F2" w:val="clear"/>
          </w:tcPr>
          <w:p>
            <w:pPr>
              <w:jc w:val="left"/>
            </w:pPr>
            <w:r/>
            <w:r>
              <w:rPr>
                <w:rFonts w:ascii="Calibri" w:hAnsi="Calibri"/>
                <w:b w:val="0"/>
                <w:color w:val="000000"/>
                <w:sz w:val="16"/>
              </w:rPr>
              <w:t>CET1 &lt; combined buffer = MDA restrictions (CRD6 Art 141)</w:t>
            </w:r>
          </w:p>
        </w:tc>
      </w:tr>
      <w:tr>
        <w:tc>
          <w:tcPr>
            <w:tcW w:type="dxa" w:w="3456"/>
            <w:shd w:fill="FFFFFF" w:val="clear"/>
          </w:tcPr>
          <w:p>
            <w:pPr>
              <w:jc w:val="left"/>
            </w:pPr>
            <w:r/>
            <w:r>
              <w:rPr>
                <w:rFonts w:ascii="Calibri" w:hAnsi="Calibri"/>
                <w:b/>
                <w:color w:val="000000"/>
                <w:sz w:val="16"/>
              </w:rPr>
              <w:t>MDA Calculation</w:t>
            </w:r>
          </w:p>
        </w:tc>
        <w:tc>
          <w:tcPr>
            <w:tcW w:type="dxa" w:w="3456"/>
            <w:shd w:fill="FFFFFF" w:val="clear"/>
          </w:tcPr>
          <w:p>
            <w:pPr>
              <w:jc w:val="left"/>
            </w:pPr>
            <w:r/>
            <w:r>
              <w:rPr>
                <w:rFonts w:ascii="Calibri" w:hAnsi="Calibri"/>
                <w:b w:val="0"/>
                <w:color w:val="000000"/>
                <w:sz w:val="16"/>
              </w:rPr>
              <w:t>Tiered: if shortfall 0-25% of buffer, max 60% payout; 25-50%, 40%; 50-75%, 20%; &gt;75%, 0% (12 CFR 217.11(a)(4)(iv))</w:t>
            </w:r>
          </w:p>
        </w:tc>
        <w:tc>
          <w:tcPr>
            <w:tcW w:type="dxa" w:w="3456"/>
            <w:shd w:fill="FFFFFF" w:val="clear"/>
          </w:tcPr>
          <w:p>
            <w:pPr>
              <w:jc w:val="left"/>
            </w:pPr>
            <w:r/>
            <w:r>
              <w:rPr>
                <w:rFonts w:ascii="Calibri" w:hAnsi="Calibri"/>
                <w:b w:val="0"/>
                <w:color w:val="000000"/>
                <w:sz w:val="16"/>
              </w:rPr>
              <w:t>Same tiered approach (PS1/26 Ch.17.9)</w:t>
            </w:r>
          </w:p>
        </w:tc>
        <w:tc>
          <w:tcPr>
            <w:tcW w:type="dxa" w:w="3456"/>
            <w:shd w:fill="FFFFFF" w:val="clear"/>
          </w:tcPr>
          <w:p>
            <w:pPr>
              <w:jc w:val="left"/>
            </w:pPr>
            <w:r/>
            <w:r>
              <w:rPr>
                <w:rFonts w:ascii="Calibri" w:hAnsi="Calibri"/>
                <w:b w:val="0"/>
                <w:color w:val="000000"/>
                <w:sz w:val="16"/>
              </w:rPr>
              <w:t>Same tiered approach (CRD6 Art 141(5))</w:t>
            </w:r>
          </w:p>
        </w:tc>
      </w:tr>
      <w:tr>
        <w:tc>
          <w:tcPr>
            <w:tcW w:type="dxa" w:w="3456"/>
            <w:shd w:fill="F2F2F2" w:val="clear"/>
          </w:tcPr>
          <w:p>
            <w:pPr>
              <w:jc w:val="left"/>
            </w:pPr>
            <w:r/>
            <w:r>
              <w:rPr>
                <w:rFonts w:ascii="Calibri" w:hAnsi="Calibri"/>
                <w:b/>
                <w:color w:val="000000"/>
                <w:sz w:val="16"/>
              </w:rPr>
              <w:t>P2R (Pillar 2 Req)</w:t>
            </w:r>
          </w:p>
        </w:tc>
        <w:tc>
          <w:tcPr>
            <w:tcW w:type="dxa" w:w="3456"/>
            <w:shd w:fill="F2F2F2" w:val="clear"/>
          </w:tcPr>
          <w:p>
            <w:pPr>
              <w:jc w:val="left"/>
            </w:pPr>
            <w:r/>
            <w:r>
              <w:rPr>
                <w:rFonts w:ascii="Calibri" w:hAnsi="Calibri"/>
                <w:b w:val="0"/>
                <w:color w:val="000000"/>
                <w:sz w:val="16"/>
              </w:rPr>
              <w:t>Included in CCAR stress test implicitly (no explicit P2R)</w:t>
            </w:r>
          </w:p>
        </w:tc>
        <w:tc>
          <w:tcPr>
            <w:tcW w:type="dxa" w:w="3456"/>
            <w:shd w:fill="F2F2F2" w:val="clear"/>
          </w:tcPr>
          <w:p>
            <w:pPr>
              <w:jc w:val="left"/>
            </w:pPr>
            <w:r/>
            <w:r>
              <w:rPr>
                <w:rFonts w:ascii="Calibri" w:hAnsi="Calibri"/>
                <w:b w:val="0"/>
                <w:color w:val="000000"/>
                <w:sz w:val="16"/>
              </w:rPr>
              <w:t>P2A set by PRA via ICAAP (PS1/26 Ch.17.10). Typically 1-3% CET1</w:t>
            </w:r>
          </w:p>
        </w:tc>
        <w:tc>
          <w:tcPr>
            <w:tcW w:type="dxa" w:w="3456"/>
            <w:shd w:fill="F2F2F2" w:val="clear"/>
          </w:tcPr>
          <w:p>
            <w:pPr>
              <w:jc w:val="left"/>
            </w:pPr>
            <w:r/>
            <w:r>
              <w:rPr>
                <w:rFonts w:ascii="Calibri" w:hAnsi="Calibri"/>
                <w:b w:val="0"/>
                <w:color w:val="000000"/>
                <w:sz w:val="16"/>
              </w:rPr>
              <w:t>P2R set by NCA via SREP (CRD6 Art 104a). Must be met 56.25% CET1</w:t>
            </w:r>
          </w:p>
        </w:tc>
      </w:tr>
    </w:tbl>
    <w:p>
      <w:r>
        <w:br w:type="page"/>
      </w:r>
    </w:p>
    <w:p>
      <w:r>
        <w:rPr>
          <w:rFonts w:ascii="Calibri" w:hAnsi="Calibri"/>
          <w:b/>
          <w:color w:val="C8962E"/>
          <w:sz w:val="28"/>
        </w:rPr>
        <w:t>SECTION 4</w:t>
      </w:r>
    </w:p>
    <w:p>
      <w:r>
        <w:rPr>
          <w:rFonts w:ascii="Calibri" w:hAnsi="Calibri"/>
          <w:b/>
          <w:color w:val="002060"/>
          <w:sz w:val="32"/>
        </w:rPr>
        <w:t>Credit Risk SA: Sovereigns, Banks, Corporates, SME, Project Finance</w:t>
      </w:r>
    </w:p>
    <w:p>
      <w:r>
        <w:rPr>
          <w:color w:val="C8962E"/>
          <w:sz w:val="12"/>
        </w:rPr>
        <w:t>________________________________________________________________________________________________________________________</w:t>
      </w:r>
    </w:p>
    <w:p>
      <w:r>
        <w:rPr>
          <w:rFonts w:ascii="Calibri" w:hAnsi="Calibri"/>
          <w:color w:val="000000"/>
          <w:sz w:val="18"/>
        </w:rPr>
        <w:t>Every risk weight across all major exposure classes with full regulatory article references. The US approach under Dodd-Frank section 939A prohibits use of external credit ratings for risk-weighting, creating fundamental divergence from UK/EU approaches.</w:t>
      </w:r>
    </w:p>
    <w:p>
      <w:r>
        <w:rPr>
          <w:rFonts w:ascii="Calibri" w:hAnsi="Calibri"/>
          <w:b/>
          <w:color w:val="002060"/>
          <w:sz w:val="22"/>
        </w:rPr>
        <w:t>4.1 Sovereign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Sovereign Risk Weights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US Government</w:t>
            </w:r>
          </w:p>
        </w:tc>
        <w:tc>
          <w:tcPr>
            <w:tcW w:type="dxa" w:w="3456"/>
            <w:shd w:fill="FFFFFF" w:val="clear"/>
          </w:tcPr>
          <w:p>
            <w:pPr>
              <w:jc w:val="left"/>
            </w:pPr>
            <w:r/>
            <w:r>
              <w:rPr>
                <w:rFonts w:ascii="Calibri" w:hAnsi="Calibri"/>
                <w:b w:val="0"/>
                <w:color w:val="000000"/>
                <w:sz w:val="16"/>
              </w:rPr>
              <w:t>0% (12 CFR 217.32(a)(1))</w:t>
            </w:r>
          </w:p>
        </w:tc>
        <w:tc>
          <w:tcPr>
            <w:tcW w:type="dxa" w:w="3456"/>
            <w:shd w:fill="FFFFFF" w:val="clear"/>
          </w:tcPr>
          <w:p>
            <w:pPr>
              <w:jc w:val="left"/>
            </w:pPr>
            <w:r/>
            <w:r>
              <w:rPr>
                <w:rFonts w:ascii="Calibri" w:hAnsi="Calibri"/>
                <w:b w:val="0"/>
                <w:color w:val="000000"/>
                <w:sz w:val="16"/>
              </w:rPr>
              <w:t>0% - CQS 1 (PS1/26 Ch.3 Table 3.1)</w:t>
            </w:r>
          </w:p>
        </w:tc>
        <w:tc>
          <w:tcPr>
            <w:tcW w:type="dxa" w:w="3456"/>
            <w:shd w:fill="FFFFFF" w:val="clear"/>
          </w:tcPr>
          <w:p>
            <w:pPr>
              <w:jc w:val="left"/>
            </w:pPr>
            <w:r/>
            <w:r>
              <w:rPr>
                <w:rFonts w:ascii="Calibri" w:hAnsi="Calibri"/>
                <w:b w:val="0"/>
                <w:color w:val="000000"/>
                <w:sz w:val="16"/>
              </w:rPr>
              <w:t>0% - CQS 1 (CRR3 Art 114(2))</w:t>
            </w:r>
          </w:p>
        </w:tc>
      </w:tr>
      <w:tr>
        <w:tc>
          <w:tcPr>
            <w:tcW w:type="dxa" w:w="3456"/>
            <w:shd w:fill="F2F2F2" w:val="clear"/>
          </w:tcPr>
          <w:p>
            <w:pPr>
              <w:jc w:val="left"/>
            </w:pPr>
            <w:r/>
            <w:r>
              <w:rPr>
                <w:rFonts w:ascii="Calibri" w:hAnsi="Calibri"/>
                <w:b/>
                <w:color w:val="000000"/>
                <w:sz w:val="16"/>
              </w:rPr>
              <w:t>CRC 0-1 / CQS 1</w:t>
            </w:r>
          </w:p>
        </w:tc>
        <w:tc>
          <w:tcPr>
            <w:tcW w:type="dxa" w:w="3456"/>
            <w:shd w:fill="F2F2F2" w:val="clear"/>
          </w:tcPr>
          <w:p>
            <w:pPr>
              <w:jc w:val="left"/>
            </w:pPr>
            <w:r/>
            <w:r>
              <w:rPr>
                <w:rFonts w:ascii="Calibri" w:hAnsi="Calibri"/>
                <w:b w:val="0"/>
                <w:color w:val="000000"/>
                <w:sz w:val="16"/>
              </w:rPr>
              <w:t>0% (OECD CRC mapping; Table 1 to §__.111, identical to current §__.32 Table 1) (ERBA NPR P.54 fn 80)</w:t>
            </w:r>
          </w:p>
        </w:tc>
        <w:tc>
          <w:tcPr>
            <w:tcW w:type="dxa" w:w="3456"/>
            <w:shd w:fill="F2F2F2" w:val="clear"/>
          </w:tcPr>
          <w:p>
            <w:pPr>
              <w:jc w:val="left"/>
            </w:pPr>
            <w:r/>
            <w:r>
              <w:rPr>
                <w:rFonts w:ascii="Calibri" w:hAnsi="Calibri"/>
                <w:b w:val="0"/>
                <w:color w:val="000000"/>
                <w:sz w:val="16"/>
              </w:rPr>
              <w:t>0% (S&amp;P AAA to AA-) (PS1/26 Ch.3 Table 3.1)</w:t>
            </w:r>
          </w:p>
        </w:tc>
        <w:tc>
          <w:tcPr>
            <w:tcW w:type="dxa" w:w="3456"/>
            <w:shd w:fill="F2F2F2" w:val="clear"/>
          </w:tcPr>
          <w:p>
            <w:pPr>
              <w:jc w:val="left"/>
            </w:pPr>
            <w:r/>
            <w:r>
              <w:rPr>
                <w:rFonts w:ascii="Calibri" w:hAnsi="Calibri"/>
                <w:b w:val="0"/>
                <w:color w:val="000000"/>
                <w:sz w:val="16"/>
              </w:rPr>
              <w:t>0% (CRR3 Art 114(2))</w:t>
            </w:r>
          </w:p>
        </w:tc>
      </w:tr>
      <w:tr>
        <w:tc>
          <w:tcPr>
            <w:tcW w:type="dxa" w:w="3456"/>
            <w:shd w:fill="FFFFFF" w:val="clear"/>
          </w:tcPr>
          <w:p>
            <w:pPr>
              <w:jc w:val="left"/>
            </w:pPr>
            <w:r/>
            <w:r>
              <w:rPr>
                <w:rFonts w:ascii="Calibri" w:hAnsi="Calibri"/>
                <w:b/>
                <w:color w:val="000000"/>
                <w:sz w:val="16"/>
              </w:rPr>
              <w:t>CRC 2 / CQS 2</w:t>
            </w:r>
          </w:p>
        </w:tc>
        <w:tc>
          <w:tcPr>
            <w:tcW w:type="dxa" w:w="3456"/>
            <w:shd w:fill="FFFFFF" w:val="clear"/>
          </w:tcPr>
          <w:p>
            <w:pPr>
              <w:jc w:val="left"/>
            </w:pPr>
            <w:r/>
            <w:r>
              <w:rPr>
                <w:rFonts w:ascii="Calibri" w:hAnsi="Calibri"/>
                <w:b w:val="0"/>
                <w:color w:val="000000"/>
                <w:sz w:val="16"/>
              </w:rPr>
              <w:t>20% (Table 1 to §__.111)</w:t>
            </w:r>
          </w:p>
        </w:tc>
        <w:tc>
          <w:tcPr>
            <w:tcW w:type="dxa" w:w="3456"/>
            <w:shd w:fill="FFFFFF" w:val="clear"/>
          </w:tcPr>
          <w:p>
            <w:pPr>
              <w:jc w:val="left"/>
            </w:pPr>
            <w:r/>
            <w:r>
              <w:rPr>
                <w:rFonts w:ascii="Calibri" w:hAnsi="Calibri"/>
                <w:b w:val="0"/>
                <w:color w:val="000000"/>
                <w:sz w:val="16"/>
              </w:rPr>
              <w:t>20% (S&amp;P A+ to A-) (PS1/26 Ch.3 Table 3.1)</w:t>
            </w:r>
          </w:p>
        </w:tc>
        <w:tc>
          <w:tcPr>
            <w:tcW w:type="dxa" w:w="3456"/>
            <w:shd w:fill="FFFFFF" w:val="clear"/>
          </w:tcPr>
          <w:p>
            <w:pPr>
              <w:jc w:val="left"/>
            </w:pPr>
            <w:r/>
            <w:r>
              <w:rPr>
                <w:rFonts w:ascii="Calibri" w:hAnsi="Calibri"/>
                <w:b w:val="0"/>
                <w:color w:val="000000"/>
                <w:sz w:val="16"/>
              </w:rPr>
              <w:t>20% (CRR3 Art 114(2))</w:t>
            </w:r>
          </w:p>
        </w:tc>
      </w:tr>
      <w:tr>
        <w:tc>
          <w:tcPr>
            <w:tcW w:type="dxa" w:w="3456"/>
            <w:shd w:fill="F2F2F2" w:val="clear"/>
          </w:tcPr>
          <w:p>
            <w:pPr>
              <w:jc w:val="left"/>
            </w:pPr>
            <w:r/>
            <w:r>
              <w:rPr>
                <w:rFonts w:ascii="Calibri" w:hAnsi="Calibri"/>
                <w:b/>
                <w:color w:val="000000"/>
                <w:sz w:val="16"/>
              </w:rPr>
              <w:t>CRC 3 / CQS 3</w:t>
            </w:r>
          </w:p>
        </w:tc>
        <w:tc>
          <w:tcPr>
            <w:tcW w:type="dxa" w:w="3456"/>
            <w:shd w:fill="F2F2F2" w:val="clear"/>
          </w:tcPr>
          <w:p>
            <w:pPr>
              <w:jc w:val="left"/>
            </w:pPr>
            <w:r/>
            <w:r>
              <w:rPr>
                <w:rFonts w:ascii="Calibri" w:hAnsi="Calibri"/>
                <w:b w:val="0"/>
                <w:color w:val="000000"/>
                <w:sz w:val="16"/>
              </w:rPr>
              <w:t>50% (Table 1 to §__.111)</w:t>
            </w:r>
          </w:p>
        </w:tc>
        <w:tc>
          <w:tcPr>
            <w:tcW w:type="dxa" w:w="3456"/>
            <w:shd w:fill="F2F2F2" w:val="clear"/>
          </w:tcPr>
          <w:p>
            <w:pPr>
              <w:jc w:val="left"/>
            </w:pPr>
            <w:r/>
            <w:r>
              <w:rPr>
                <w:rFonts w:ascii="Calibri" w:hAnsi="Calibri"/>
                <w:b w:val="0"/>
                <w:color w:val="000000"/>
                <w:sz w:val="16"/>
              </w:rPr>
              <w:t>50% (S&amp;P BBB+ to BBB-) (PS1/26 Ch.3 Table 3.1)</w:t>
            </w:r>
          </w:p>
        </w:tc>
        <w:tc>
          <w:tcPr>
            <w:tcW w:type="dxa" w:w="3456"/>
            <w:shd w:fill="F2F2F2" w:val="clear"/>
          </w:tcPr>
          <w:p>
            <w:pPr>
              <w:jc w:val="left"/>
            </w:pPr>
            <w:r/>
            <w:r>
              <w:rPr>
                <w:rFonts w:ascii="Calibri" w:hAnsi="Calibri"/>
                <w:b w:val="0"/>
                <w:color w:val="000000"/>
                <w:sz w:val="16"/>
              </w:rPr>
              <w:t>50% (CRR3 Art 114(2))</w:t>
            </w:r>
          </w:p>
        </w:tc>
      </w:tr>
      <w:tr>
        <w:tc>
          <w:tcPr>
            <w:tcW w:type="dxa" w:w="3456"/>
            <w:shd w:fill="FFFFFF" w:val="clear"/>
          </w:tcPr>
          <w:p>
            <w:pPr>
              <w:jc w:val="left"/>
            </w:pPr>
            <w:r/>
            <w:r>
              <w:rPr>
                <w:rFonts w:ascii="Calibri" w:hAnsi="Calibri"/>
                <w:b/>
                <w:color w:val="000000"/>
                <w:sz w:val="16"/>
              </w:rPr>
              <w:t>CRC 4-6 / CQS 4</w:t>
            </w:r>
          </w:p>
        </w:tc>
        <w:tc>
          <w:tcPr>
            <w:tcW w:type="dxa" w:w="3456"/>
            <w:shd w:fill="FFFFFF" w:val="clear"/>
          </w:tcPr>
          <w:p>
            <w:pPr>
              <w:jc w:val="left"/>
            </w:pPr>
            <w:r/>
            <w:r>
              <w:rPr>
                <w:rFonts w:ascii="Calibri" w:hAnsi="Calibri"/>
                <w:b w:val="0"/>
                <w:color w:val="000000"/>
                <w:sz w:val="16"/>
              </w:rPr>
              <w:t>100% (CRC 4, 5 and 6) (Table 1 to §__.111)</w:t>
            </w:r>
          </w:p>
        </w:tc>
        <w:tc>
          <w:tcPr>
            <w:tcW w:type="dxa" w:w="3456"/>
            <w:shd w:fill="FFFFFF" w:val="clear"/>
          </w:tcPr>
          <w:p>
            <w:pPr>
              <w:jc w:val="left"/>
            </w:pPr>
            <w:r/>
            <w:r>
              <w:rPr>
                <w:rFonts w:ascii="Calibri" w:hAnsi="Calibri"/>
                <w:b w:val="0"/>
                <w:color w:val="000000"/>
                <w:sz w:val="16"/>
              </w:rPr>
              <w:t>100% (S&amp;P BB+ to B-) (PS1/26 Ch.3 Table 3.1)</w:t>
            </w:r>
          </w:p>
        </w:tc>
        <w:tc>
          <w:tcPr>
            <w:tcW w:type="dxa" w:w="3456"/>
            <w:shd w:fill="FFFFFF" w:val="clear"/>
          </w:tcPr>
          <w:p>
            <w:pPr>
              <w:jc w:val="left"/>
            </w:pPr>
            <w:r/>
            <w:r>
              <w:rPr>
                <w:rFonts w:ascii="Calibri" w:hAnsi="Calibri"/>
                <w:b w:val="0"/>
                <w:color w:val="000000"/>
                <w:sz w:val="16"/>
              </w:rPr>
              <w:t>100% (CRR3 Art 114(2))</w:t>
            </w:r>
          </w:p>
        </w:tc>
      </w:tr>
      <w:tr>
        <w:tc>
          <w:tcPr>
            <w:tcW w:type="dxa" w:w="3456"/>
            <w:shd w:fill="F2F2F2" w:val="clear"/>
          </w:tcPr>
          <w:p>
            <w:pPr>
              <w:jc w:val="left"/>
            </w:pPr>
            <w:r/>
            <w:r>
              <w:rPr>
                <w:rFonts w:ascii="Calibri" w:hAnsi="Calibri"/>
                <w:b/>
                <w:color w:val="000000"/>
                <w:sz w:val="16"/>
              </w:rPr>
              <w:t>CRC 6 / CQS 5</w:t>
            </w:r>
          </w:p>
        </w:tc>
        <w:tc>
          <w:tcPr>
            <w:tcW w:type="dxa" w:w="3456"/>
            <w:shd w:fill="F2F2F2" w:val="clear"/>
          </w:tcPr>
          <w:p>
            <w:pPr>
              <w:jc w:val="left"/>
            </w:pPr>
            <w:r/>
            <w:r>
              <w:rPr>
                <w:rFonts w:ascii="Calibri" w:hAnsi="Calibri"/>
                <w:b w:val="0"/>
                <w:color w:val="000000"/>
                <w:sz w:val="16"/>
              </w:rPr>
              <w:t>100% (Table 1 to §__.111)</w:t>
            </w:r>
          </w:p>
        </w:tc>
        <w:tc>
          <w:tcPr>
            <w:tcW w:type="dxa" w:w="3456"/>
            <w:shd w:fill="F2F2F2" w:val="clear"/>
          </w:tcPr>
          <w:p>
            <w:pPr>
              <w:jc w:val="left"/>
            </w:pPr>
            <w:r/>
            <w:r>
              <w:rPr>
                <w:rFonts w:ascii="Calibri" w:hAnsi="Calibri"/>
                <w:b w:val="0"/>
                <w:color w:val="000000"/>
                <w:sz w:val="16"/>
              </w:rPr>
              <w:t>100% (S&amp;P BB+ to B-) (PS1/26 Ch.3 Table 3.1)</w:t>
            </w:r>
          </w:p>
        </w:tc>
        <w:tc>
          <w:tcPr>
            <w:tcW w:type="dxa" w:w="3456"/>
            <w:shd w:fill="F2F2F2" w:val="clear"/>
          </w:tcPr>
          <w:p>
            <w:pPr>
              <w:jc w:val="left"/>
            </w:pPr>
            <w:r/>
            <w:r>
              <w:rPr>
                <w:rFonts w:ascii="Calibri" w:hAnsi="Calibri"/>
                <w:b w:val="0"/>
                <w:color w:val="000000"/>
                <w:sz w:val="16"/>
              </w:rPr>
              <w:t>100% (CRR3 Art 114(2))</w:t>
            </w:r>
          </w:p>
        </w:tc>
      </w:tr>
      <w:tr>
        <w:tc>
          <w:tcPr>
            <w:tcW w:type="dxa" w:w="3456"/>
            <w:shd w:fill="FFFFFF" w:val="clear"/>
          </w:tcPr>
          <w:p>
            <w:pPr>
              <w:jc w:val="left"/>
            </w:pPr>
            <w:r/>
            <w:r>
              <w:rPr>
                <w:rFonts w:ascii="Calibri" w:hAnsi="Calibri"/>
                <w:b/>
                <w:color w:val="000000"/>
                <w:sz w:val="16"/>
              </w:rPr>
              <w:t>CRC 7 / CQS 6</w:t>
            </w:r>
          </w:p>
        </w:tc>
        <w:tc>
          <w:tcPr>
            <w:tcW w:type="dxa" w:w="3456"/>
            <w:shd w:fill="FFFFFF" w:val="clear"/>
          </w:tcPr>
          <w:p>
            <w:pPr>
              <w:jc w:val="left"/>
            </w:pPr>
            <w:r/>
            <w:r>
              <w:rPr>
                <w:rFonts w:ascii="Calibri" w:hAnsi="Calibri"/>
                <w:b w:val="0"/>
                <w:color w:val="000000"/>
                <w:sz w:val="16"/>
              </w:rPr>
              <w:t>150% (also 150% for sovereign in default) (Table 1 to §__.111)</w:t>
            </w:r>
          </w:p>
        </w:tc>
        <w:tc>
          <w:tcPr>
            <w:tcW w:type="dxa" w:w="3456"/>
            <w:shd w:fill="FFFFFF" w:val="clear"/>
          </w:tcPr>
          <w:p>
            <w:pPr>
              <w:jc w:val="left"/>
            </w:pPr>
            <w:r/>
            <w:r>
              <w:rPr>
                <w:rFonts w:ascii="Calibri" w:hAnsi="Calibri"/>
                <w:b w:val="0"/>
                <w:color w:val="000000"/>
                <w:sz w:val="16"/>
              </w:rPr>
              <w:t>150% (S&amp;P below B-) (PS1/26 Ch.3 Table 3.1)</w:t>
            </w:r>
          </w:p>
        </w:tc>
        <w:tc>
          <w:tcPr>
            <w:tcW w:type="dxa" w:w="3456"/>
            <w:shd w:fill="FFFFFF" w:val="clear"/>
          </w:tcPr>
          <w:p>
            <w:pPr>
              <w:jc w:val="left"/>
            </w:pPr>
            <w:r/>
            <w:r>
              <w:rPr>
                <w:rFonts w:ascii="Calibri" w:hAnsi="Calibri"/>
                <w:b w:val="0"/>
                <w:color w:val="000000"/>
                <w:sz w:val="16"/>
              </w:rPr>
              <w:t>150% (CRR3 Art 114(2))</w:t>
            </w:r>
          </w:p>
        </w:tc>
      </w:tr>
      <w:tr>
        <w:tc>
          <w:tcPr>
            <w:tcW w:type="dxa" w:w="3456"/>
            <w:shd w:fill="F2F2F2" w:val="clear"/>
          </w:tcPr>
          <w:p>
            <w:pPr>
              <w:jc w:val="left"/>
            </w:pPr>
            <w:r/>
            <w:r>
              <w:rPr>
                <w:rFonts w:ascii="Calibri" w:hAnsi="Calibri"/>
                <w:b/>
                <w:color w:val="000000"/>
                <w:sz w:val="16"/>
              </w:rPr>
              <w:t>Unrated Sovereigns</w:t>
            </w:r>
          </w:p>
        </w:tc>
        <w:tc>
          <w:tcPr>
            <w:tcW w:type="dxa" w:w="3456"/>
            <w:shd w:fill="F2F2F2" w:val="clear"/>
          </w:tcPr>
          <w:p>
            <w:pPr>
              <w:jc w:val="left"/>
            </w:pPr>
            <w:r/>
            <w:r>
              <w:rPr>
                <w:rFonts w:ascii="Calibri" w:hAnsi="Calibri"/>
                <w:b w:val="0"/>
                <w:color w:val="000000"/>
                <w:sz w:val="16"/>
              </w:rPr>
              <w:t>OECD member with no CRC: 0%; non-OECD with no CRC: 100% (Table 1 to §__.111)</w:t>
            </w:r>
          </w:p>
        </w:tc>
        <w:tc>
          <w:tcPr>
            <w:tcW w:type="dxa" w:w="3456"/>
            <w:shd w:fill="F2F2F2" w:val="clear"/>
          </w:tcPr>
          <w:p>
            <w:pPr>
              <w:jc w:val="left"/>
            </w:pPr>
            <w:r/>
            <w:r>
              <w:rPr>
                <w:rFonts w:ascii="Calibri" w:hAnsi="Calibri"/>
                <w:b w:val="0"/>
                <w:color w:val="000000"/>
                <w:sz w:val="16"/>
              </w:rPr>
              <w:t>100% (PS1/26 Ch.3 Table 3.1)</w:t>
            </w:r>
          </w:p>
        </w:tc>
        <w:tc>
          <w:tcPr>
            <w:tcW w:type="dxa" w:w="3456"/>
            <w:shd w:fill="F2F2F2" w:val="clear"/>
          </w:tcPr>
          <w:p>
            <w:pPr>
              <w:jc w:val="left"/>
            </w:pPr>
            <w:r/>
            <w:r>
              <w:rPr>
                <w:rFonts w:ascii="Calibri" w:hAnsi="Calibri"/>
                <w:b w:val="0"/>
                <w:color w:val="000000"/>
                <w:sz w:val="16"/>
              </w:rPr>
              <w:t>100% (CRR3 Art 114(5))</w:t>
            </w:r>
          </w:p>
        </w:tc>
      </w:tr>
      <w:tr>
        <w:tc>
          <w:tcPr>
            <w:tcW w:type="dxa" w:w="3456"/>
            <w:shd w:fill="FFFFFF" w:val="clear"/>
          </w:tcPr>
          <w:p>
            <w:pPr>
              <w:jc w:val="left"/>
            </w:pPr>
            <w:r/>
            <w:r>
              <w:rPr>
                <w:rFonts w:ascii="Calibri" w:hAnsi="Calibri"/>
                <w:b/>
                <w:color w:val="000000"/>
                <w:sz w:val="16"/>
              </w:rPr>
              <w:t>Domestic Currency</w:t>
            </w:r>
          </w:p>
        </w:tc>
        <w:tc>
          <w:tcPr>
            <w:tcW w:type="dxa" w:w="3456"/>
            <w:shd w:fill="FFFFFF" w:val="clear"/>
          </w:tcPr>
          <w:p>
            <w:pPr>
              <w:jc w:val="left"/>
            </w:pPr>
            <w:r/>
            <w:r>
              <w:rPr>
                <w:rFonts w:ascii="Calibri" w:hAnsi="Calibri"/>
                <w:b w:val="0"/>
                <w:color w:val="000000"/>
                <w:sz w:val="16"/>
              </w:rPr>
              <w:t>0% for US government obligations; 20% for conditional US guarantees; PPP loans 0% (ERBA NPR §__.111(a))</w:t>
            </w:r>
          </w:p>
        </w:tc>
        <w:tc>
          <w:tcPr>
            <w:tcW w:type="dxa" w:w="3456"/>
            <w:shd w:fill="FFFFFF" w:val="clear"/>
          </w:tcPr>
          <w:p>
            <w:pPr>
              <w:jc w:val="left"/>
            </w:pPr>
            <w:r/>
            <w:r>
              <w:rPr>
                <w:rFonts w:ascii="Calibri" w:hAnsi="Calibri"/>
                <w:b w:val="0"/>
                <w:color w:val="000000"/>
                <w:sz w:val="16"/>
              </w:rPr>
              <w:t>0% for UK sovereign in GBP (PS1/26 Ch.3.1)</w:t>
            </w:r>
          </w:p>
        </w:tc>
        <w:tc>
          <w:tcPr>
            <w:tcW w:type="dxa" w:w="3456"/>
            <w:shd w:fill="FFFFFF" w:val="clear"/>
          </w:tcPr>
          <w:p>
            <w:pPr>
              <w:jc w:val="left"/>
            </w:pPr>
            <w:r/>
            <w:r>
              <w:rPr>
                <w:rFonts w:ascii="Calibri" w:hAnsi="Calibri"/>
                <w:b w:val="0"/>
                <w:color w:val="000000"/>
                <w:sz w:val="16"/>
              </w:rPr>
              <w:t>0% floor option for MS in domestic currency (CRR3 Art 114(4))</w:t>
            </w:r>
          </w:p>
        </w:tc>
      </w:tr>
      <w:tr>
        <w:tc>
          <w:tcPr>
            <w:tcW w:type="dxa" w:w="3456"/>
            <w:shd w:fill="F2F2F2" w:val="clear"/>
          </w:tcPr>
          <w:p>
            <w:pPr>
              <w:jc w:val="left"/>
            </w:pPr>
            <w:r/>
            <w:r>
              <w:rPr>
                <w:rFonts w:ascii="Calibri" w:hAnsi="Calibri"/>
                <w:b/>
                <w:color w:val="000000"/>
                <w:sz w:val="16"/>
              </w:rPr>
              <w:t>PSE (Government)</w:t>
            </w:r>
          </w:p>
        </w:tc>
        <w:tc>
          <w:tcPr>
            <w:tcW w:type="dxa" w:w="3456"/>
            <w:shd w:fill="F2F2F2" w:val="clear"/>
          </w:tcPr>
          <w:p>
            <w:pPr>
              <w:jc w:val="left"/>
            </w:pPr>
            <w:r/>
            <w:r>
              <w:rPr>
                <w:rFonts w:ascii="Calibri" w:hAnsi="Calibri"/>
                <w:b w:val="0"/>
                <w:color w:val="000000"/>
                <w:sz w:val="16"/>
              </w:rPr>
              <w:t>US GSE senior/guaranteed 20%; GSE subordinated 150% (FHLB/Farmer Mac subordinated and equity 20%) (ERBA NPR §__.111(b)-(c), P.49-50)</w:t>
            </w:r>
          </w:p>
        </w:tc>
        <w:tc>
          <w:tcPr>
            <w:tcW w:type="dxa" w:w="3456"/>
            <w:shd w:fill="F2F2F2" w:val="clear"/>
          </w:tcPr>
          <w:p>
            <w:pPr>
              <w:jc w:val="left"/>
            </w:pPr>
            <w:r/>
            <w:r>
              <w:rPr>
                <w:rFonts w:ascii="Calibri" w:hAnsi="Calibri"/>
                <w:b w:val="0"/>
                <w:color w:val="000000"/>
                <w:sz w:val="16"/>
              </w:rPr>
              <w:t>Same as sovereign for central govt PSEs (PS1/26 Ch.3.2)</w:t>
            </w:r>
          </w:p>
        </w:tc>
        <w:tc>
          <w:tcPr>
            <w:tcW w:type="dxa" w:w="3456"/>
            <w:shd w:fill="F2F2F2" w:val="clear"/>
          </w:tcPr>
          <w:p>
            <w:pPr>
              <w:jc w:val="left"/>
            </w:pPr>
            <w:r/>
            <w:r>
              <w:rPr>
                <w:rFonts w:ascii="Calibri" w:hAnsi="Calibri"/>
                <w:b w:val="0"/>
                <w:color w:val="000000"/>
                <w:sz w:val="16"/>
              </w:rPr>
              <w:t>Same as sovereign (CRR3 Art 115-116)</w:t>
            </w:r>
          </w:p>
        </w:tc>
      </w:tr>
      <w:tr>
        <w:tc>
          <w:tcPr>
            <w:tcW w:type="dxa" w:w="3456"/>
            <w:shd w:fill="FFFFFF" w:val="clear"/>
          </w:tcPr>
          <w:p>
            <w:pPr>
              <w:jc w:val="left"/>
            </w:pPr>
            <w:r/>
            <w:r>
              <w:rPr>
                <w:rFonts w:ascii="Calibri" w:hAnsi="Calibri"/>
                <w:b/>
                <w:color w:val="000000"/>
                <w:sz w:val="16"/>
              </w:rPr>
              <w:t>PSE (Sub-Sovereign)</w:t>
            </w:r>
          </w:p>
        </w:tc>
        <w:tc>
          <w:tcPr>
            <w:tcW w:type="dxa" w:w="3456"/>
            <w:shd w:fill="FFFFFF" w:val="clear"/>
          </w:tcPr>
          <w:p>
            <w:pPr>
              <w:jc w:val="left"/>
            </w:pPr>
            <w:r/>
            <w:r>
              <w:rPr>
                <w:rFonts w:ascii="Calibri" w:hAnsi="Calibri"/>
                <w:b w:val="0"/>
                <w:color w:val="000000"/>
                <w:sz w:val="16"/>
              </w:rPr>
              <w:t>US PSE general obligation 20% / revenue obligation 50%; foreign PSE by home CRC: GO 20/50/100/150%, revenue 50/100/150% (Tables 3-4 to §__.111)</w:t>
            </w:r>
          </w:p>
        </w:tc>
        <w:tc>
          <w:tcPr>
            <w:tcW w:type="dxa" w:w="3456"/>
            <w:shd w:fill="FFFFFF" w:val="clear"/>
          </w:tcPr>
          <w:p>
            <w:pPr>
              <w:jc w:val="left"/>
            </w:pPr>
            <w:r/>
            <w:r>
              <w:rPr>
                <w:rFonts w:ascii="Calibri" w:hAnsi="Calibri"/>
                <w:b w:val="0"/>
                <w:color w:val="000000"/>
                <w:sz w:val="16"/>
              </w:rPr>
              <w:t>One step below sovereign CQS (PS1/26 Ch.3.2)</w:t>
            </w:r>
          </w:p>
        </w:tc>
        <w:tc>
          <w:tcPr>
            <w:tcW w:type="dxa" w:w="3456"/>
            <w:shd w:fill="FFFFFF" w:val="clear"/>
          </w:tcPr>
          <w:p>
            <w:pPr>
              <w:jc w:val="left"/>
            </w:pPr>
            <w:r/>
            <w:r>
              <w:rPr>
                <w:rFonts w:ascii="Calibri" w:hAnsi="Calibri"/>
                <w:b w:val="0"/>
                <w:color w:val="000000"/>
                <w:sz w:val="16"/>
              </w:rPr>
              <w:t>One step below sovereign CQS (CRR3 Art 115(2))</w:t>
            </w:r>
          </w:p>
        </w:tc>
      </w:tr>
      <w:tr>
        <w:tc>
          <w:tcPr>
            <w:tcW w:type="dxa" w:w="3456"/>
            <w:shd w:fill="F2F2F2" w:val="clear"/>
          </w:tcPr>
          <w:p>
            <w:pPr>
              <w:jc w:val="left"/>
            </w:pPr>
            <w:r/>
            <w:r>
              <w:rPr>
                <w:rFonts w:ascii="Calibri" w:hAnsi="Calibri"/>
                <w:b/>
                <w:color w:val="000000"/>
                <w:sz w:val="16"/>
              </w:rPr>
              <w:t>MDB Risk Weight</w:t>
            </w:r>
          </w:p>
        </w:tc>
        <w:tc>
          <w:tcPr>
            <w:tcW w:type="dxa" w:w="3456"/>
            <w:shd w:fill="F2F2F2" w:val="clear"/>
          </w:tcPr>
          <w:p>
            <w:pPr>
              <w:jc w:val="left"/>
            </w:pPr>
            <w:r/>
            <w:r>
              <w:rPr>
                <w:rFonts w:ascii="Calibri" w:hAnsi="Calibri"/>
                <w:b w:val="0"/>
                <w:color w:val="000000"/>
                <w:sz w:val="16"/>
              </w:rPr>
              <w:t>0% for qualifying MDBs and specified supranationals (IBRD, IFC, ADB, BIS, ECB, IMF, ESM etc) (ERBA NPR P.47 fn 65-66)</w:t>
            </w:r>
          </w:p>
        </w:tc>
        <w:tc>
          <w:tcPr>
            <w:tcW w:type="dxa" w:w="3456"/>
            <w:shd w:fill="F2F2F2" w:val="clear"/>
          </w:tcPr>
          <w:p>
            <w:pPr>
              <w:jc w:val="left"/>
            </w:pPr>
            <w:r/>
            <w:r>
              <w:rPr>
                <w:rFonts w:ascii="Calibri" w:hAnsi="Calibri"/>
                <w:b w:val="0"/>
                <w:color w:val="000000"/>
                <w:sz w:val="16"/>
              </w:rPr>
              <w:t>0% for qualifying MDBs (PS1/26 Ch.3.3)</w:t>
            </w:r>
          </w:p>
        </w:tc>
        <w:tc>
          <w:tcPr>
            <w:tcW w:type="dxa" w:w="3456"/>
            <w:shd w:fill="F2F2F2" w:val="clear"/>
          </w:tcPr>
          <w:p>
            <w:pPr>
              <w:jc w:val="left"/>
            </w:pPr>
            <w:r/>
            <w:r>
              <w:rPr>
                <w:rFonts w:ascii="Calibri" w:hAnsi="Calibri"/>
                <w:b w:val="0"/>
                <w:color w:val="000000"/>
                <w:sz w:val="16"/>
              </w:rPr>
              <w:t>0% for qualifying MDBs (CRR3 Art 117(2)), rated MDBs per CQS</w:t>
            </w:r>
          </w:p>
        </w:tc>
      </w:tr>
    </w:tbl>
    <w:p>
      <w:r>
        <w:rPr>
          <w:rFonts w:ascii="Calibri" w:hAnsi="Calibri"/>
          <w:b/>
          <w:color w:val="002060"/>
          <w:sz w:val="22"/>
        </w:rPr>
        <w:t>4.2 Bank Exposures</w:t>
      </w:r>
    </w:p>
    <w:p>
      <w:r>
        <w:rPr>
          <w:rFonts w:ascii="Calibri" w:hAnsi="Calibri"/>
          <w:color w:val="000000"/>
          <w:sz w:val="18"/>
        </w:rPr>
        <w:t>CRITICAL DIVERGENCE: The US uses a capital-adequacy-based grading system (Grade A meeting §__.111(d)(2), Grade A, Grade B, Grade C) per Dodd-Frank 939A, while UK/EU use external credit ratings (CQS 1-6) or SCRA for unrated banks.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Bank Risk Weights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Top Grade (AAA-AA)</w:t>
            </w:r>
          </w:p>
        </w:tc>
        <w:tc>
          <w:tcPr>
            <w:tcW w:type="dxa" w:w="3456"/>
            <w:shd w:fill="FFFFFF" w:val="clear"/>
          </w:tcPr>
          <w:p>
            <w:pPr>
              <w:jc w:val="left"/>
            </w:pPr>
            <w:r/>
            <w:r>
              <w:rPr>
                <w:rFonts w:ascii="Calibri" w:hAnsi="Calibri"/>
                <w:b w:val="0"/>
                <w:color w:val="000000"/>
                <w:sz w:val="16"/>
              </w:rPr>
              <w:t>Grade A meeting §__.111(d)(2) (CET1 &gt;= 14% AND SLR/leverage ratio &gt;= 5%, or CBLR bank): 30%; all other Grade A: 40% (Table 2 to §__.111; ERBA NPR P.51-55). Based on capital adequacy, not ratings</w:t>
            </w:r>
          </w:p>
        </w:tc>
        <w:tc>
          <w:tcPr>
            <w:tcW w:type="dxa" w:w="3456"/>
            <w:shd w:fill="FFFFFF" w:val="clear"/>
          </w:tcPr>
          <w:p>
            <w:pPr>
              <w:jc w:val="left"/>
            </w:pPr>
            <w:r/>
            <w:r>
              <w:rPr>
                <w:rFonts w:ascii="Calibri" w:hAnsi="Calibri"/>
                <w:b w:val="0"/>
                <w:color w:val="000000"/>
                <w:sz w:val="16"/>
              </w:rPr>
              <w:t>CQS 1 (AAA to AA-): 20% (PS1/26 Ch.3 Table 3.3)</w:t>
            </w:r>
          </w:p>
        </w:tc>
        <w:tc>
          <w:tcPr>
            <w:tcW w:type="dxa" w:w="3456"/>
            <w:shd w:fill="FFFFFF" w:val="clear"/>
          </w:tcPr>
          <w:p>
            <w:pPr>
              <w:jc w:val="left"/>
            </w:pPr>
            <w:r/>
            <w:r>
              <w:rPr>
                <w:rFonts w:ascii="Calibri" w:hAnsi="Calibri"/>
                <w:b w:val="0"/>
                <w:color w:val="000000"/>
                <w:sz w:val="16"/>
              </w:rPr>
              <w:t>CQS 1 (AAA to AA-): 20% (CRR3 Art 120(2))</w:t>
            </w:r>
          </w:p>
        </w:tc>
      </w:tr>
      <w:tr>
        <w:tc>
          <w:tcPr>
            <w:tcW w:type="dxa" w:w="3456"/>
            <w:shd w:fill="F2F2F2" w:val="clear"/>
          </w:tcPr>
          <w:p>
            <w:pPr>
              <w:jc w:val="left"/>
            </w:pPr>
            <w:r/>
            <w:r>
              <w:rPr>
                <w:rFonts w:ascii="Calibri" w:hAnsi="Calibri"/>
                <w:b/>
                <w:color w:val="000000"/>
                <w:sz w:val="16"/>
              </w:rPr>
              <w:t>High Grade (A)</w:t>
            </w:r>
          </w:p>
        </w:tc>
        <w:tc>
          <w:tcPr>
            <w:tcW w:type="dxa" w:w="3456"/>
            <w:shd w:fill="F2F2F2" w:val="clear"/>
          </w:tcPr>
          <w:p>
            <w:pPr>
              <w:jc w:val="left"/>
            </w:pPr>
            <w:r/>
            <w:r>
              <w:rPr>
                <w:rFonts w:ascii="Calibri" w:hAnsi="Calibri"/>
                <w:b w:val="0"/>
                <w:color w:val="000000"/>
                <w:sz w:val="16"/>
              </w:rPr>
              <w:t>Grade A: 40% (30% only if §__.111(d)(2) criteria met) (Table 2 to §__.111)</w:t>
            </w:r>
          </w:p>
        </w:tc>
        <w:tc>
          <w:tcPr>
            <w:tcW w:type="dxa" w:w="3456"/>
            <w:shd w:fill="F2F2F2" w:val="clear"/>
          </w:tcPr>
          <w:p>
            <w:pPr>
              <w:jc w:val="left"/>
            </w:pPr>
            <w:r/>
            <w:r>
              <w:rPr>
                <w:rFonts w:ascii="Calibri" w:hAnsi="Calibri"/>
                <w:b w:val="0"/>
                <w:color w:val="000000"/>
                <w:sz w:val="16"/>
              </w:rPr>
              <w:t>CQS 2 (A+ to A-): 30% (PS1/26 Ch.3 Table 3.3)</w:t>
            </w:r>
          </w:p>
        </w:tc>
        <w:tc>
          <w:tcPr>
            <w:tcW w:type="dxa" w:w="3456"/>
            <w:shd w:fill="F2F2F2" w:val="clear"/>
          </w:tcPr>
          <w:p>
            <w:pPr>
              <w:jc w:val="left"/>
            </w:pPr>
            <w:r/>
            <w:r>
              <w:rPr>
                <w:rFonts w:ascii="Calibri" w:hAnsi="Calibri"/>
                <w:b w:val="0"/>
                <w:color w:val="000000"/>
                <w:sz w:val="16"/>
              </w:rPr>
              <w:t>CQS 2 (A+ to A-): 30% (CRR3 Art 120(2))</w:t>
            </w:r>
          </w:p>
        </w:tc>
      </w:tr>
      <w:tr>
        <w:tc>
          <w:tcPr>
            <w:tcW w:type="dxa" w:w="3456"/>
            <w:shd w:fill="FFFFFF" w:val="clear"/>
          </w:tcPr>
          <w:p>
            <w:pPr>
              <w:jc w:val="left"/>
            </w:pPr>
            <w:r/>
            <w:r>
              <w:rPr>
                <w:rFonts w:ascii="Calibri" w:hAnsi="Calibri"/>
                <w:b/>
                <w:color w:val="000000"/>
                <w:sz w:val="16"/>
              </w:rPr>
              <w:t>Upper Medium (BBB)</w:t>
            </w:r>
          </w:p>
        </w:tc>
        <w:tc>
          <w:tcPr>
            <w:tcW w:type="dxa" w:w="3456"/>
            <w:shd w:fill="FFFFFF" w:val="clear"/>
          </w:tcPr>
          <w:p>
            <w:pPr>
              <w:jc w:val="left"/>
            </w:pPr>
            <w:r/>
            <w:r>
              <w:rPr>
                <w:rFonts w:ascii="Calibri" w:hAnsi="Calibri"/>
                <w:b w:val="0"/>
                <w:color w:val="000000"/>
                <w:sz w:val="16"/>
              </w:rPr>
              <w:t>Grade B: 75% (Table 2 to §__.111; ERBA NPR P.53). Criteria: speculative grade or IG with disclosed capital ratios &gt;= higher of minimums / adequately-capitalized</w:t>
            </w:r>
          </w:p>
        </w:tc>
        <w:tc>
          <w:tcPr>
            <w:tcW w:type="dxa" w:w="3456"/>
            <w:shd w:fill="FFFFFF" w:val="clear"/>
          </w:tcPr>
          <w:p>
            <w:pPr>
              <w:jc w:val="left"/>
            </w:pPr>
            <w:r/>
            <w:r>
              <w:rPr>
                <w:rFonts w:ascii="Calibri" w:hAnsi="Calibri"/>
                <w:b w:val="0"/>
                <w:color w:val="000000"/>
                <w:sz w:val="16"/>
              </w:rPr>
              <w:t>CQS 3 (BBB+ to BBB-): 50% (PS1/26 Ch.3 Table 3.3)</w:t>
            </w:r>
          </w:p>
        </w:tc>
        <w:tc>
          <w:tcPr>
            <w:tcW w:type="dxa" w:w="3456"/>
            <w:shd w:fill="FFFFFF" w:val="clear"/>
          </w:tcPr>
          <w:p>
            <w:pPr>
              <w:jc w:val="left"/>
            </w:pPr>
            <w:r/>
            <w:r>
              <w:rPr>
                <w:rFonts w:ascii="Calibri" w:hAnsi="Calibri"/>
                <w:b w:val="0"/>
                <w:color w:val="000000"/>
                <w:sz w:val="16"/>
              </w:rPr>
              <w:t>CQS 3 (BBB+ to BBB-): 50% (CRR3 Art 120(2))</w:t>
            </w:r>
          </w:p>
        </w:tc>
      </w:tr>
      <w:tr>
        <w:tc>
          <w:tcPr>
            <w:tcW w:type="dxa" w:w="3456"/>
            <w:shd w:fill="F2F2F2" w:val="clear"/>
          </w:tcPr>
          <w:p>
            <w:pPr>
              <w:jc w:val="left"/>
            </w:pPr>
            <w:r/>
            <w:r>
              <w:rPr>
                <w:rFonts w:ascii="Calibri" w:hAnsi="Calibri"/>
                <w:b/>
                <w:color w:val="000000"/>
                <w:sz w:val="16"/>
              </w:rPr>
              <w:t>Lower Medium (BB)</w:t>
            </w:r>
          </w:p>
        </w:tc>
        <w:tc>
          <w:tcPr>
            <w:tcW w:type="dxa" w:w="3456"/>
            <w:shd w:fill="F2F2F2" w:val="clear"/>
          </w:tcPr>
          <w:p>
            <w:pPr>
              <w:jc w:val="left"/>
            </w:pPr>
            <w:r/>
            <w:r>
              <w:rPr>
                <w:rFonts w:ascii="Calibri" w:hAnsi="Calibri"/>
                <w:b w:val="0"/>
                <w:color w:val="000000"/>
                <w:sz w:val="16"/>
              </w:rPr>
              <w:t>Grade B: 75% (Table 2 to §__.111)</w:t>
            </w:r>
          </w:p>
        </w:tc>
        <w:tc>
          <w:tcPr>
            <w:tcW w:type="dxa" w:w="3456"/>
            <w:shd w:fill="F2F2F2" w:val="clear"/>
          </w:tcPr>
          <w:p>
            <w:pPr>
              <w:jc w:val="left"/>
            </w:pPr>
            <w:r/>
            <w:r>
              <w:rPr>
                <w:rFonts w:ascii="Calibri" w:hAnsi="Calibri"/>
                <w:b w:val="0"/>
                <w:color w:val="000000"/>
                <w:sz w:val="16"/>
              </w:rPr>
              <w:t>CQS 4 (BB+ to BB-): 100% (PS1/26 Ch.3 Table 3.3)</w:t>
            </w:r>
          </w:p>
        </w:tc>
        <w:tc>
          <w:tcPr>
            <w:tcW w:type="dxa" w:w="3456"/>
            <w:shd w:fill="F2F2F2" w:val="clear"/>
          </w:tcPr>
          <w:p>
            <w:pPr>
              <w:jc w:val="left"/>
            </w:pPr>
            <w:r/>
            <w:r>
              <w:rPr>
                <w:rFonts w:ascii="Calibri" w:hAnsi="Calibri"/>
                <w:b w:val="0"/>
                <w:color w:val="000000"/>
                <w:sz w:val="16"/>
              </w:rPr>
              <w:t>CQS 4 (BB+ to BB-): 100% (CRR3 Art 120(2))</w:t>
            </w:r>
          </w:p>
        </w:tc>
      </w:tr>
      <w:tr>
        <w:tc>
          <w:tcPr>
            <w:tcW w:type="dxa" w:w="3456"/>
            <w:shd w:fill="FFFFFF" w:val="clear"/>
          </w:tcPr>
          <w:p>
            <w:pPr>
              <w:jc w:val="left"/>
            </w:pPr>
            <w:r/>
            <w:r>
              <w:rPr>
                <w:rFonts w:ascii="Calibri" w:hAnsi="Calibri"/>
                <w:b/>
                <w:color w:val="000000"/>
                <w:sz w:val="16"/>
              </w:rPr>
              <w:t>Speculative (B-CCC)</w:t>
            </w:r>
          </w:p>
        </w:tc>
        <w:tc>
          <w:tcPr>
            <w:tcW w:type="dxa" w:w="3456"/>
            <w:shd w:fill="FFFFFF" w:val="clear"/>
          </w:tcPr>
          <w:p>
            <w:pPr>
              <w:jc w:val="left"/>
            </w:pPr>
            <w:r/>
            <w:r>
              <w:rPr>
                <w:rFonts w:ascii="Calibri" w:hAnsi="Calibri"/>
                <w:b w:val="0"/>
                <w:color w:val="000000"/>
                <w:sz w:val="16"/>
              </w:rPr>
              <w:t>Grade C: 150% (Table 2 to §__.111; ERBA NPR P.54). Any bank not qualifying as Grade A or B (incl. ratios not disclosed within 6 months, adverse audit opinion within 12 months)</w:t>
            </w:r>
          </w:p>
        </w:tc>
        <w:tc>
          <w:tcPr>
            <w:tcW w:type="dxa" w:w="3456"/>
            <w:shd w:fill="FFFFFF" w:val="clear"/>
          </w:tcPr>
          <w:p>
            <w:pPr>
              <w:jc w:val="left"/>
            </w:pPr>
            <w:r/>
            <w:r>
              <w:rPr>
                <w:rFonts w:ascii="Calibri" w:hAnsi="Calibri"/>
                <w:b w:val="0"/>
                <w:color w:val="000000"/>
                <w:sz w:val="16"/>
              </w:rPr>
              <w:t>CQS 5 (B+ to B-): 100% (PS1/26 Ch.3 Table 3.3)</w:t>
            </w:r>
          </w:p>
        </w:tc>
        <w:tc>
          <w:tcPr>
            <w:tcW w:type="dxa" w:w="3456"/>
            <w:shd w:fill="FFFFFF" w:val="clear"/>
          </w:tcPr>
          <w:p>
            <w:pPr>
              <w:jc w:val="left"/>
            </w:pPr>
            <w:r/>
            <w:r>
              <w:rPr>
                <w:rFonts w:ascii="Calibri" w:hAnsi="Calibri"/>
                <w:b w:val="0"/>
                <w:color w:val="000000"/>
                <w:sz w:val="16"/>
              </w:rPr>
              <w:t>CQS 5 (B+ to B-): 100% (CRR3 Art 120(2))</w:t>
            </w:r>
          </w:p>
        </w:tc>
      </w:tr>
      <w:tr>
        <w:tc>
          <w:tcPr>
            <w:tcW w:type="dxa" w:w="3456"/>
            <w:shd w:fill="F2F2F2" w:val="clear"/>
          </w:tcPr>
          <w:p>
            <w:pPr>
              <w:jc w:val="left"/>
            </w:pPr>
            <w:r/>
            <w:r>
              <w:rPr>
                <w:rFonts w:ascii="Calibri" w:hAnsi="Calibri"/>
                <w:b/>
                <w:color w:val="000000"/>
                <w:sz w:val="16"/>
              </w:rPr>
              <w:t>Default/Junk</w:t>
            </w:r>
          </w:p>
        </w:tc>
        <w:tc>
          <w:tcPr>
            <w:tcW w:type="dxa" w:w="3456"/>
            <w:shd w:fill="F2F2F2" w:val="clear"/>
          </w:tcPr>
          <w:p>
            <w:pPr>
              <w:jc w:val="left"/>
            </w:pPr>
            <w:r/>
            <w:r>
              <w:rPr>
                <w:rFonts w:ascii="Calibri" w:hAnsi="Calibri"/>
                <w:b w:val="0"/>
                <w:color w:val="000000"/>
                <w:sz w:val="16"/>
              </w:rPr>
              <w:t>Grade C: 150% (Table 2 to §__.111)</w:t>
            </w:r>
          </w:p>
        </w:tc>
        <w:tc>
          <w:tcPr>
            <w:tcW w:type="dxa" w:w="3456"/>
            <w:shd w:fill="F2F2F2" w:val="clear"/>
          </w:tcPr>
          <w:p>
            <w:pPr>
              <w:jc w:val="left"/>
            </w:pPr>
            <w:r/>
            <w:r>
              <w:rPr>
                <w:rFonts w:ascii="Calibri" w:hAnsi="Calibri"/>
                <w:b w:val="0"/>
                <w:color w:val="000000"/>
                <w:sz w:val="16"/>
              </w:rPr>
              <w:t>CQS 6 (CCC+ and below): 150% (PS1/26 Ch.3 Table 3.3)</w:t>
            </w:r>
          </w:p>
        </w:tc>
        <w:tc>
          <w:tcPr>
            <w:tcW w:type="dxa" w:w="3456"/>
            <w:shd w:fill="F2F2F2" w:val="clear"/>
          </w:tcPr>
          <w:p>
            <w:pPr>
              <w:jc w:val="left"/>
            </w:pPr>
            <w:r/>
            <w:r>
              <w:rPr>
                <w:rFonts w:ascii="Calibri" w:hAnsi="Calibri"/>
                <w:b w:val="0"/>
                <w:color w:val="000000"/>
                <w:sz w:val="16"/>
              </w:rPr>
              <w:t>CQS 6 (CCC+ and below): 150% (CRR3 Art 120(2))</w:t>
            </w:r>
          </w:p>
        </w:tc>
      </w:tr>
      <w:tr>
        <w:tc>
          <w:tcPr>
            <w:tcW w:type="dxa" w:w="3456"/>
            <w:shd w:fill="FFFFFF" w:val="clear"/>
          </w:tcPr>
          <w:p>
            <w:pPr>
              <w:jc w:val="left"/>
            </w:pPr>
            <w:r/>
            <w:r>
              <w:rPr>
                <w:rFonts w:ascii="Calibri" w:hAnsi="Calibri"/>
                <w:b/>
                <w:color w:val="000000"/>
                <w:sz w:val="16"/>
              </w:rPr>
              <w:t>Unrated Banks</w:t>
            </w:r>
          </w:p>
        </w:tc>
        <w:tc>
          <w:tcPr>
            <w:tcW w:type="dxa" w:w="3456"/>
            <w:shd w:fill="FFFFFF" w:val="clear"/>
          </w:tcPr>
          <w:p>
            <w:pPr>
              <w:jc w:val="left"/>
            </w:pPr>
            <w:r/>
            <w:r>
              <w:rPr>
                <w:rFonts w:ascii="Calibri" w:hAnsi="Calibri"/>
                <w:b w:val="0"/>
                <w:color w:val="000000"/>
                <w:sz w:val="16"/>
              </w:rPr>
              <w:t>All banks graded per IG status and publicly disclosed capital ratios; foreign banks floored at home-sovereign RW unless local-currency exposure (ERBA NPR P.51-55)</w:t>
            </w:r>
          </w:p>
        </w:tc>
        <w:tc>
          <w:tcPr>
            <w:tcW w:type="dxa" w:w="3456"/>
            <w:shd w:fill="FFFFFF" w:val="clear"/>
          </w:tcPr>
          <w:p>
            <w:pPr>
              <w:jc w:val="left"/>
            </w:pPr>
            <w:r/>
            <w:r>
              <w:rPr>
                <w:rFonts w:ascii="Calibri" w:hAnsi="Calibri"/>
                <w:b w:val="0"/>
                <w:color w:val="000000"/>
                <w:sz w:val="16"/>
              </w:rPr>
              <w:t>SCRA approach: Grade A 30%/40%, Grade B 50%/75%, Grade C 150% (PS1/26 Ch.3 Table 3.4)</w:t>
            </w:r>
          </w:p>
        </w:tc>
        <w:tc>
          <w:tcPr>
            <w:tcW w:type="dxa" w:w="3456"/>
            <w:shd w:fill="FFFFFF" w:val="clear"/>
          </w:tcPr>
          <w:p>
            <w:pPr>
              <w:jc w:val="left"/>
            </w:pPr>
            <w:r/>
            <w:r>
              <w:rPr>
                <w:rFonts w:ascii="Calibri" w:hAnsi="Calibri"/>
                <w:b w:val="0"/>
                <w:color w:val="000000"/>
                <w:sz w:val="16"/>
              </w:rPr>
              <w:t>SCRA approach: Grade A 30%/40%, Grade B 50%/75%, Grade C 150% (CRR3 Art 121)</w:t>
            </w:r>
          </w:p>
        </w:tc>
      </w:tr>
      <w:tr>
        <w:tc>
          <w:tcPr>
            <w:tcW w:type="dxa" w:w="3456"/>
            <w:shd w:fill="F2F2F2" w:val="clear"/>
          </w:tcPr>
          <w:p>
            <w:pPr>
              <w:jc w:val="left"/>
            </w:pPr>
            <w:r/>
            <w:r>
              <w:rPr>
                <w:rFonts w:ascii="Calibri" w:hAnsi="Calibri"/>
                <w:b/>
                <w:color w:val="000000"/>
                <w:sz w:val="16"/>
              </w:rPr>
              <w:t>Short-Term Claims &lt;3M</w:t>
            </w:r>
          </w:p>
        </w:tc>
        <w:tc>
          <w:tcPr>
            <w:tcW w:type="dxa" w:w="3456"/>
            <w:shd w:fill="F2F2F2" w:val="clear"/>
          </w:tcPr>
          <w:p>
            <w:pPr>
              <w:jc w:val="left"/>
            </w:pPr>
            <w:r/>
            <w:r>
              <w:rPr>
                <w:rFonts w:ascii="Calibri" w:hAnsi="Calibri"/>
                <w:b w:val="0"/>
                <w:color w:val="000000"/>
                <w:sz w:val="16"/>
              </w:rPr>
              <w:t>NO general short-term preference. Only self-liquidating trade-related contingent items to FOREIGN banks with maturity &lt;= 3 months: 20% (Grade A) / 50% (Grade B) / 150% (Grade C) (Table 2 to §__.111; ERBA NPR P.54)</w:t>
            </w:r>
          </w:p>
        </w:tc>
        <w:tc>
          <w:tcPr>
            <w:tcW w:type="dxa" w:w="3456"/>
            <w:shd w:fill="F2F2F2" w:val="clear"/>
          </w:tcPr>
          <w:p>
            <w:pPr>
              <w:jc w:val="left"/>
            </w:pPr>
            <w:r/>
            <w:r>
              <w:rPr>
                <w:rFonts w:ascii="Calibri" w:hAnsi="Calibri"/>
                <w:b w:val="0"/>
                <w:color w:val="000000"/>
                <w:sz w:val="16"/>
              </w:rPr>
              <w:t>CQS-based: 20%/20%/20%/50%/50%/150% (PS1/26 Ch.3 Table 3.5)</w:t>
            </w:r>
          </w:p>
        </w:tc>
        <w:tc>
          <w:tcPr>
            <w:tcW w:type="dxa" w:w="3456"/>
            <w:shd w:fill="F2F2F2" w:val="clear"/>
          </w:tcPr>
          <w:p>
            <w:pPr>
              <w:jc w:val="left"/>
            </w:pPr>
            <w:r/>
            <w:r>
              <w:rPr>
                <w:rFonts w:ascii="Calibri" w:hAnsi="Calibri"/>
                <w:b w:val="0"/>
                <w:color w:val="000000"/>
                <w:sz w:val="16"/>
              </w:rPr>
              <w:t>CQS-based: 20%/20%/20%/50%/50%/150% (CRR3 Art 120(3))</w:t>
            </w:r>
          </w:p>
        </w:tc>
      </w:tr>
      <w:tr>
        <w:tc>
          <w:tcPr>
            <w:tcW w:type="dxa" w:w="3456"/>
            <w:shd w:fill="FFFFFF" w:val="clear"/>
          </w:tcPr>
          <w:p>
            <w:pPr>
              <w:jc w:val="left"/>
            </w:pPr>
            <w:r/>
            <w:r>
              <w:rPr>
                <w:rFonts w:ascii="Calibri" w:hAnsi="Calibri"/>
                <w:b/>
                <w:color w:val="000000"/>
                <w:sz w:val="16"/>
              </w:rPr>
              <w:t>Grade A Criteria (US)</w:t>
            </w:r>
          </w:p>
        </w:tc>
        <w:tc>
          <w:tcPr>
            <w:tcW w:type="dxa" w:w="3456"/>
            <w:shd w:fill="FFFFFF" w:val="clear"/>
          </w:tcPr>
          <w:p>
            <w:pPr>
              <w:jc w:val="left"/>
            </w:pPr>
            <w:r/>
            <w:r>
              <w:rPr>
                <w:rFonts w:ascii="Calibri" w:hAnsi="Calibri"/>
                <w:b w:val="0"/>
                <w:color w:val="000000"/>
                <w:sz w:val="16"/>
              </w:rPr>
              <w:t>Investment grade AND most recent publicly disclosed capital ratios &gt;= higher of (minimum + buffers to avoid distribution limits) and well-capitalized PCA thresholds; CBLR banks qualify (ERBA NPR P.51). 30% tier: CET1 &gt;= 14% and SLR &gt;= 5% (Cat I-III) / tier 1 leverage &gt;= 5% (others) / credit union net worth &gt;= 9%; 68.3% of US DIs qualify (P.52)</w:t>
            </w:r>
          </w:p>
        </w:tc>
        <w:tc>
          <w:tcPr>
            <w:tcW w:type="dxa" w:w="3456"/>
            <w:shd w:fill="FFFFFF" w:val="clear"/>
          </w:tcPr>
          <w:p>
            <w:pPr>
              <w:jc w:val="left"/>
            </w:pPr>
            <w:r/>
            <w:r>
              <w:rPr>
                <w:rFonts w:ascii="Calibri" w:hAnsi="Calibri"/>
                <w:b w:val="0"/>
                <w:color w:val="000000"/>
                <w:sz w:val="16"/>
              </w:rPr>
              <w:t>N/A (rating-based)</w:t>
            </w:r>
          </w:p>
        </w:tc>
        <w:tc>
          <w:tcPr>
            <w:tcW w:type="dxa" w:w="3456"/>
            <w:shd w:fill="FFFFFF" w:val="clear"/>
          </w:tcPr>
          <w:p>
            <w:pPr>
              <w:jc w:val="left"/>
            </w:pPr>
            <w:r/>
            <w:r>
              <w:rPr>
                <w:rFonts w:ascii="Calibri" w:hAnsi="Calibri"/>
                <w:b w:val="0"/>
                <w:color w:val="000000"/>
                <w:sz w:val="16"/>
              </w:rPr>
              <w:t>N/A (rating-based)</w:t>
            </w:r>
          </w:p>
        </w:tc>
      </w:tr>
      <w:tr>
        <w:tc>
          <w:tcPr>
            <w:tcW w:type="dxa" w:w="3456"/>
            <w:shd w:fill="F2F2F2" w:val="clear"/>
          </w:tcPr>
          <w:p>
            <w:pPr>
              <w:jc w:val="left"/>
            </w:pPr>
            <w:r/>
            <w:r>
              <w:rPr>
                <w:rFonts w:ascii="Calibri" w:hAnsi="Calibri"/>
                <w:b/>
                <w:color w:val="000000"/>
                <w:sz w:val="16"/>
              </w:rPr>
              <w:t>Subordinated Bank Debt / TLAC</w:t>
            </w:r>
          </w:p>
        </w:tc>
        <w:tc>
          <w:tcPr>
            <w:tcW w:type="dxa" w:w="3456"/>
            <w:shd w:fill="F2F2F2" w:val="clear"/>
          </w:tcPr>
          <w:p>
            <w:pPr>
              <w:jc w:val="left"/>
            </w:pPr>
            <w:r/>
            <w:r>
              <w:rPr>
                <w:rFonts w:ascii="Calibri" w:hAnsi="Calibri"/>
                <w:b w:val="0"/>
                <w:color w:val="000000"/>
                <w:sz w:val="16"/>
              </w:rPr>
              <w:t>150% for subordinated bank exposures and covered debt instruments not deducted (ERBA NPR P.50 fn 71)</w:t>
            </w:r>
          </w:p>
        </w:tc>
        <w:tc>
          <w:tcPr>
            <w:tcW w:type="dxa" w:w="3456"/>
            <w:shd w:fill="F2F2F2" w:val="clear"/>
          </w:tcPr>
          <w:p>
            <w:pPr>
              <w:jc w:val="left"/>
            </w:pPr>
            <w:r/>
            <w:r>
              <w:rPr>
                <w:rFonts w:ascii="Calibri" w:hAnsi="Calibri"/>
                <w:b w:val="0"/>
                <w:color w:val="000000"/>
                <w:sz w:val="16"/>
              </w:rPr>
              <w:t>Per CQS / CRR treatment (PS1/26)</w:t>
            </w:r>
          </w:p>
        </w:tc>
        <w:tc>
          <w:tcPr>
            <w:tcW w:type="dxa" w:w="3456"/>
            <w:shd w:fill="F2F2F2" w:val="clear"/>
          </w:tcPr>
          <w:p>
            <w:pPr>
              <w:jc w:val="left"/>
            </w:pPr>
            <w:r/>
            <w:r>
              <w:rPr>
                <w:rFonts w:ascii="Calibri" w:hAnsi="Calibri"/>
                <w:b w:val="0"/>
                <w:color w:val="000000"/>
                <w:sz w:val="16"/>
              </w:rPr>
              <w:t>150% subordinated (CRR3 Art 128)</w:t>
            </w:r>
          </w:p>
        </w:tc>
      </w:tr>
      <w:tr>
        <w:tc>
          <w:tcPr>
            <w:tcW w:type="dxa" w:w="3456"/>
            <w:shd w:fill="FFFFFF" w:val="clear"/>
          </w:tcPr>
          <w:p>
            <w:pPr>
              <w:jc w:val="left"/>
            </w:pPr>
            <w:r/>
            <w:r>
              <w:rPr>
                <w:rFonts w:ascii="Calibri" w:hAnsi="Calibri"/>
                <w:b/>
                <w:color w:val="000000"/>
                <w:sz w:val="16"/>
              </w:rPr>
              <w:t>Covered Bond from Bank</w:t>
            </w:r>
          </w:p>
        </w:tc>
        <w:tc>
          <w:tcPr>
            <w:tcW w:type="dxa" w:w="3456"/>
            <w:shd w:fill="FFFFFF" w:val="clear"/>
          </w:tcPr>
          <w:p>
            <w:pPr>
              <w:jc w:val="left"/>
            </w:pPr>
            <w:r/>
            <w:r>
              <w:rPr>
                <w:rFonts w:ascii="Calibri" w:hAnsi="Calibri"/>
                <w:b w:val="0"/>
                <w:color w:val="000000"/>
                <w:sz w:val="16"/>
              </w:rPr>
              <w:t>No covered-bond carve-out in credit risk SA: risk-weighted as a bank exposure by Grade (30/40/75/150%); 'covered bond' defined only for market risk (ERBA NPR §__.111, §__.202)</w:t>
            </w:r>
          </w:p>
        </w:tc>
        <w:tc>
          <w:tcPr>
            <w:tcW w:type="dxa" w:w="3456"/>
            <w:shd w:fill="FFFFFF" w:val="clear"/>
          </w:tcPr>
          <w:p>
            <w:pPr>
              <w:jc w:val="left"/>
            </w:pPr>
            <w:r/>
            <w:r>
              <w:rPr>
                <w:rFonts w:ascii="Calibri" w:hAnsi="Calibri"/>
                <w:b w:val="0"/>
                <w:color w:val="000000"/>
                <w:sz w:val="16"/>
              </w:rPr>
              <w:t>CQS 1: 10%, CQS 2: 20%, CQS 3: 20%, CQS 4-5: 50%, CQS 6: 100% (PS1/26 Ch.3 Table 3.6)</w:t>
            </w:r>
          </w:p>
        </w:tc>
        <w:tc>
          <w:tcPr>
            <w:tcW w:type="dxa" w:w="3456"/>
            <w:shd w:fill="FFFFFF" w:val="clear"/>
          </w:tcPr>
          <w:p>
            <w:pPr>
              <w:jc w:val="left"/>
            </w:pPr>
            <w:r/>
            <w:r>
              <w:rPr>
                <w:rFonts w:ascii="Calibri" w:hAnsi="Calibri"/>
                <w:b w:val="0"/>
                <w:color w:val="000000"/>
                <w:sz w:val="16"/>
              </w:rPr>
              <w:t>CQS 1: 10%, CQS 2: 20%, CQS 3: 20%, CQS 4-5: 50%, CQS 6: 100% (CRR3 Art 129)</w:t>
            </w:r>
          </w:p>
        </w:tc>
      </w:tr>
    </w:tbl>
    <w:p>
      <w:r>
        <w:rPr>
          <w:rFonts w:ascii="Calibri" w:hAnsi="Calibri"/>
          <w:b/>
          <w:color w:val="002060"/>
          <w:sz w:val="22"/>
        </w:rPr>
        <w:t>4.3 Corporate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Corporate Risk Weights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Investment Grade</w:t>
            </w:r>
          </w:p>
        </w:tc>
        <w:tc>
          <w:tcPr>
            <w:tcW w:type="dxa" w:w="3456"/>
            <w:shd w:fill="FFFFFF" w:val="clear"/>
          </w:tcPr>
          <w:p>
            <w:pPr>
              <w:jc w:val="left"/>
            </w:pPr>
            <w:r/>
            <w:r>
              <w:rPr>
                <w:rFonts w:ascii="Calibri" w:hAnsi="Calibri"/>
                <w:b w:val="0"/>
                <w:color w:val="000000"/>
                <w:sz w:val="16"/>
              </w:rPr>
              <w:t>65% - self-assessed IG criteria (ERBA P.84-86). Criteria: adequate capacity to meet financial commitments; not speculative. No external ratings per Dodd-Frank 939A</w:t>
            </w:r>
          </w:p>
        </w:tc>
        <w:tc>
          <w:tcPr>
            <w:tcW w:type="dxa" w:w="3456"/>
            <w:shd w:fill="FFFFFF" w:val="clear"/>
          </w:tcPr>
          <w:p>
            <w:pPr>
              <w:jc w:val="left"/>
            </w:pPr>
            <w:r/>
            <w:r>
              <w:rPr>
                <w:rFonts w:ascii="Calibri" w:hAnsi="Calibri"/>
                <w:b w:val="0"/>
                <w:color w:val="000000"/>
                <w:sz w:val="16"/>
              </w:rPr>
              <w:t>20% CQS 1, 50% CQS 2-3 (PS1/26 Ch.3 Table 3.7)</w:t>
            </w:r>
          </w:p>
        </w:tc>
        <w:tc>
          <w:tcPr>
            <w:tcW w:type="dxa" w:w="3456"/>
            <w:shd w:fill="FFFFFF" w:val="clear"/>
          </w:tcPr>
          <w:p>
            <w:pPr>
              <w:jc w:val="left"/>
            </w:pPr>
            <w:r/>
            <w:r>
              <w:rPr>
                <w:rFonts w:ascii="Calibri" w:hAnsi="Calibri"/>
                <w:b w:val="0"/>
                <w:color w:val="000000"/>
                <w:sz w:val="16"/>
              </w:rPr>
              <w:t>20% CQS 1, 50% CQS 2-3 (CRR3 Art 122(2))</w:t>
            </w:r>
          </w:p>
        </w:tc>
      </w:tr>
      <w:tr>
        <w:tc>
          <w:tcPr>
            <w:tcW w:type="dxa" w:w="3456"/>
            <w:shd w:fill="F2F2F2" w:val="clear"/>
          </w:tcPr>
          <w:p>
            <w:pPr>
              <w:jc w:val="left"/>
            </w:pPr>
            <w:r/>
            <w:r>
              <w:rPr>
                <w:rFonts w:ascii="Calibri" w:hAnsi="Calibri"/>
                <w:b/>
                <w:color w:val="000000"/>
                <w:sz w:val="16"/>
              </w:rPr>
              <w:t>Non-IG / Unrated</w:t>
            </w:r>
          </w:p>
        </w:tc>
        <w:tc>
          <w:tcPr>
            <w:tcW w:type="dxa" w:w="3456"/>
            <w:shd w:fill="F2F2F2" w:val="clear"/>
          </w:tcPr>
          <w:p>
            <w:pPr>
              <w:jc w:val="left"/>
            </w:pPr>
            <w:r/>
            <w:r>
              <w:rPr>
                <w:rFonts w:ascii="Calibri" w:hAnsi="Calibri"/>
                <w:b w:val="0"/>
                <w:color w:val="000000"/>
                <w:sz w:val="16"/>
              </w:rPr>
              <w:t>100% (ERBA P.88)</w:t>
            </w:r>
          </w:p>
        </w:tc>
        <w:tc>
          <w:tcPr>
            <w:tcW w:type="dxa" w:w="3456"/>
            <w:shd w:fill="F2F2F2" w:val="clear"/>
          </w:tcPr>
          <w:p>
            <w:pPr>
              <w:jc w:val="left"/>
            </w:pPr>
            <w:r/>
            <w:r>
              <w:rPr>
                <w:rFonts w:ascii="Calibri" w:hAnsi="Calibri"/>
                <w:b w:val="0"/>
                <w:color w:val="000000"/>
                <w:sz w:val="16"/>
              </w:rPr>
              <w:t>100% unrated or CQS 4 (PS1/26 Ch.3 Table 3.7)</w:t>
            </w:r>
          </w:p>
        </w:tc>
        <w:tc>
          <w:tcPr>
            <w:tcW w:type="dxa" w:w="3456"/>
            <w:shd w:fill="F2F2F2" w:val="clear"/>
          </w:tcPr>
          <w:p>
            <w:pPr>
              <w:jc w:val="left"/>
            </w:pPr>
            <w:r/>
            <w:r>
              <w:rPr>
                <w:rFonts w:ascii="Calibri" w:hAnsi="Calibri"/>
                <w:b w:val="0"/>
                <w:color w:val="000000"/>
                <w:sz w:val="16"/>
              </w:rPr>
              <w:t>100% unrated (CRR3 Art 122(2)); EU transitional: 65% if PD&lt;=0.5% (CRR3 Art 465(4))</w:t>
            </w:r>
          </w:p>
        </w:tc>
      </w:tr>
      <w:tr>
        <w:tc>
          <w:tcPr>
            <w:tcW w:type="dxa" w:w="3456"/>
            <w:shd w:fill="FFFFFF" w:val="clear"/>
          </w:tcPr>
          <w:p>
            <w:pPr>
              <w:jc w:val="left"/>
            </w:pPr>
            <w:r/>
            <w:r>
              <w:rPr>
                <w:rFonts w:ascii="Calibri" w:hAnsi="Calibri"/>
                <w:b/>
                <w:color w:val="000000"/>
                <w:sz w:val="16"/>
              </w:rPr>
              <w:t>EU Transitional PD&lt;=0.5%</w:t>
            </w:r>
          </w:p>
        </w:tc>
        <w:tc>
          <w:tcPr>
            <w:tcW w:type="dxa" w:w="3456"/>
            <w:shd w:fill="FFFFFF" w:val="clear"/>
          </w:tcPr>
          <w:p>
            <w:pPr>
              <w:jc w:val="left"/>
            </w:pPr>
            <w:r/>
            <w:r>
              <w:rPr>
                <w:rFonts w:ascii="Calibri" w:hAnsi="Calibri"/>
                <w:b w:val="0"/>
                <w:color w:val="000000"/>
                <w:sz w:val="16"/>
              </w:rPr>
              <w:t>N/A (US does not use PD-based assessment for SA)</w:t>
            </w:r>
          </w:p>
        </w:tc>
        <w:tc>
          <w:tcPr>
            <w:tcW w:type="dxa" w:w="3456"/>
            <w:shd w:fill="FFFFFF" w:val="clear"/>
          </w:tcPr>
          <w:p>
            <w:pPr>
              <w:jc w:val="left"/>
            </w:pPr>
            <w:r/>
            <w:r>
              <w:rPr>
                <w:rFonts w:ascii="Calibri" w:hAnsi="Calibri"/>
                <w:b w:val="0"/>
                <w:color w:val="000000"/>
                <w:sz w:val="16"/>
              </w:rPr>
              <w:t>N/A (UK does not adopt EU transitional)</w:t>
            </w:r>
          </w:p>
        </w:tc>
        <w:tc>
          <w:tcPr>
            <w:tcW w:type="dxa" w:w="3456"/>
            <w:shd w:fill="FFFFFF" w:val="clear"/>
          </w:tcPr>
          <w:p>
            <w:pPr>
              <w:jc w:val="left"/>
            </w:pPr>
            <w:r/>
            <w:r>
              <w:rPr>
                <w:rFonts w:ascii="Calibri" w:hAnsi="Calibri"/>
                <w:b w:val="0"/>
                <w:color w:val="000000"/>
                <w:sz w:val="16"/>
              </w:rPr>
              <w:t>65% for corporates with PD&lt;=0.5% per IRB model. Phase-out by 2032 (CRR3 Art 465(4))</w:t>
            </w:r>
          </w:p>
        </w:tc>
      </w:tr>
      <w:tr>
        <w:tc>
          <w:tcPr>
            <w:tcW w:type="dxa" w:w="3456"/>
            <w:shd w:fill="F2F2F2" w:val="clear"/>
          </w:tcPr>
          <w:p>
            <w:pPr>
              <w:jc w:val="left"/>
            </w:pPr>
            <w:r/>
            <w:r>
              <w:rPr>
                <w:rFonts w:ascii="Calibri" w:hAnsi="Calibri"/>
                <w:b/>
                <w:color w:val="000000"/>
                <w:sz w:val="16"/>
              </w:rPr>
              <w:t>Speculative Grade</w:t>
            </w:r>
          </w:p>
        </w:tc>
        <w:tc>
          <w:tcPr>
            <w:tcW w:type="dxa" w:w="3456"/>
            <w:shd w:fill="F2F2F2" w:val="clear"/>
          </w:tcPr>
          <w:p>
            <w:pPr>
              <w:jc w:val="left"/>
            </w:pPr>
            <w:r/>
            <w:r>
              <w:rPr>
                <w:rFonts w:ascii="Calibri" w:hAnsi="Calibri"/>
                <w:b w:val="0"/>
                <w:color w:val="000000"/>
                <w:sz w:val="16"/>
              </w:rPr>
              <w:t>100% (same as unrated under US approach) (ERBA P.88)</w:t>
            </w:r>
          </w:p>
        </w:tc>
        <w:tc>
          <w:tcPr>
            <w:tcW w:type="dxa" w:w="3456"/>
            <w:shd w:fill="F2F2F2" w:val="clear"/>
          </w:tcPr>
          <w:p>
            <w:pPr>
              <w:jc w:val="left"/>
            </w:pPr>
            <w:r/>
            <w:r>
              <w:rPr>
                <w:rFonts w:ascii="Calibri" w:hAnsi="Calibri"/>
                <w:b w:val="0"/>
                <w:color w:val="000000"/>
                <w:sz w:val="16"/>
              </w:rPr>
              <w:t>100% CQS 4, 150% CQS 5-6 (PS1/26 Ch.3 Table 3.7)</w:t>
            </w:r>
          </w:p>
        </w:tc>
        <w:tc>
          <w:tcPr>
            <w:tcW w:type="dxa" w:w="3456"/>
            <w:shd w:fill="F2F2F2" w:val="clear"/>
          </w:tcPr>
          <w:p>
            <w:pPr>
              <w:jc w:val="left"/>
            </w:pPr>
            <w:r/>
            <w:r>
              <w:rPr>
                <w:rFonts w:ascii="Calibri" w:hAnsi="Calibri"/>
                <w:b w:val="0"/>
                <w:color w:val="000000"/>
                <w:sz w:val="16"/>
              </w:rPr>
              <w:t>100% CQS 4, 150% CQS 5-6 (CRR3 Art 122(2))</w:t>
            </w:r>
          </w:p>
        </w:tc>
      </w:tr>
      <w:tr>
        <w:tc>
          <w:tcPr>
            <w:tcW w:type="dxa" w:w="3456"/>
            <w:shd w:fill="FFFFFF" w:val="clear"/>
          </w:tcPr>
          <w:p>
            <w:pPr>
              <w:jc w:val="left"/>
            </w:pPr>
            <w:r/>
            <w:r>
              <w:rPr>
                <w:rFonts w:ascii="Calibri" w:hAnsi="Calibri"/>
                <w:b/>
                <w:color w:val="000000"/>
                <w:sz w:val="16"/>
              </w:rPr>
              <w:t>High-Yield (BB-)</w:t>
            </w:r>
          </w:p>
        </w:tc>
        <w:tc>
          <w:tcPr>
            <w:tcW w:type="dxa" w:w="3456"/>
            <w:shd w:fill="FFFFFF" w:val="clear"/>
          </w:tcPr>
          <w:p>
            <w:pPr>
              <w:jc w:val="left"/>
            </w:pPr>
            <w:r/>
            <w:r>
              <w:rPr>
                <w:rFonts w:ascii="Calibri" w:hAnsi="Calibri"/>
                <w:b w:val="0"/>
                <w:color w:val="000000"/>
                <w:sz w:val="16"/>
              </w:rPr>
              <w:t>100% (ERBA P.88)</w:t>
            </w:r>
          </w:p>
        </w:tc>
        <w:tc>
          <w:tcPr>
            <w:tcW w:type="dxa" w:w="3456"/>
            <w:shd w:fill="FFFFFF" w:val="clear"/>
          </w:tcPr>
          <w:p>
            <w:pPr>
              <w:jc w:val="left"/>
            </w:pPr>
            <w:r/>
            <w:r>
              <w:rPr>
                <w:rFonts w:ascii="Calibri" w:hAnsi="Calibri"/>
                <w:b w:val="0"/>
                <w:color w:val="000000"/>
                <w:sz w:val="16"/>
              </w:rPr>
              <w:t>100% (PS1/26 Ch.3 Table 3.7)</w:t>
            </w:r>
          </w:p>
        </w:tc>
        <w:tc>
          <w:tcPr>
            <w:tcW w:type="dxa" w:w="3456"/>
            <w:shd w:fill="FFFFFF" w:val="clear"/>
          </w:tcPr>
          <w:p>
            <w:pPr>
              <w:jc w:val="left"/>
            </w:pPr>
            <w:r/>
            <w:r>
              <w:rPr>
                <w:rFonts w:ascii="Calibri" w:hAnsi="Calibri"/>
                <w:b w:val="0"/>
                <w:color w:val="000000"/>
                <w:sz w:val="16"/>
              </w:rPr>
              <w:t>100% (CRR3 Art 122(2))</w:t>
            </w:r>
          </w:p>
        </w:tc>
      </w:tr>
      <w:tr>
        <w:tc>
          <w:tcPr>
            <w:tcW w:type="dxa" w:w="3456"/>
            <w:shd w:fill="F2F2F2" w:val="clear"/>
          </w:tcPr>
          <w:p>
            <w:pPr>
              <w:jc w:val="left"/>
            </w:pPr>
            <w:r/>
            <w:r>
              <w:rPr>
                <w:rFonts w:ascii="Calibri" w:hAnsi="Calibri"/>
                <w:b/>
                <w:color w:val="000000"/>
                <w:sz w:val="16"/>
              </w:rPr>
              <w:t>Defaulted (CQS 6)</w:t>
            </w:r>
          </w:p>
        </w:tc>
        <w:tc>
          <w:tcPr>
            <w:tcW w:type="dxa" w:w="3456"/>
            <w:shd w:fill="F2F2F2" w:val="clear"/>
          </w:tcPr>
          <w:p>
            <w:pPr>
              <w:jc w:val="left"/>
            </w:pPr>
            <w:r/>
            <w:r>
              <w:rPr>
                <w:rFonts w:ascii="Calibri" w:hAnsi="Calibri"/>
                <w:b w:val="0"/>
                <w:color w:val="000000"/>
                <w:sz w:val="16"/>
              </w:rPr>
              <w:t>150% (ERBA P.88)</w:t>
            </w:r>
          </w:p>
        </w:tc>
        <w:tc>
          <w:tcPr>
            <w:tcW w:type="dxa" w:w="3456"/>
            <w:shd w:fill="F2F2F2" w:val="clear"/>
          </w:tcPr>
          <w:p>
            <w:pPr>
              <w:jc w:val="left"/>
            </w:pPr>
            <w:r/>
            <w:r>
              <w:rPr>
                <w:rFonts w:ascii="Calibri" w:hAnsi="Calibri"/>
                <w:b w:val="0"/>
                <w:color w:val="000000"/>
                <w:sz w:val="16"/>
              </w:rPr>
              <w:t>150% (PS1/26 Ch.3 Table 3.7)</w:t>
            </w:r>
          </w:p>
        </w:tc>
        <w:tc>
          <w:tcPr>
            <w:tcW w:type="dxa" w:w="3456"/>
            <w:shd w:fill="F2F2F2" w:val="clear"/>
          </w:tcPr>
          <w:p>
            <w:pPr>
              <w:jc w:val="left"/>
            </w:pPr>
            <w:r/>
            <w:r>
              <w:rPr>
                <w:rFonts w:ascii="Calibri" w:hAnsi="Calibri"/>
                <w:b w:val="0"/>
                <w:color w:val="000000"/>
                <w:sz w:val="16"/>
              </w:rPr>
              <w:t>150% (CRR3 Art 122(2))</w:t>
            </w:r>
          </w:p>
        </w:tc>
      </w:tr>
      <w:tr>
        <w:tc>
          <w:tcPr>
            <w:tcW w:type="dxa" w:w="3456"/>
            <w:shd w:fill="FFFFFF" w:val="clear"/>
          </w:tcPr>
          <w:p>
            <w:pPr>
              <w:jc w:val="left"/>
            </w:pPr>
            <w:r/>
            <w:r>
              <w:rPr>
                <w:rFonts w:ascii="Calibri" w:hAnsi="Calibri"/>
                <w:b/>
                <w:color w:val="000000"/>
                <w:sz w:val="16"/>
              </w:rPr>
              <w:t>Infrastructure Corp</w:t>
            </w:r>
          </w:p>
        </w:tc>
        <w:tc>
          <w:tcPr>
            <w:tcW w:type="dxa" w:w="3456"/>
            <w:shd w:fill="FFFFFF" w:val="clear"/>
          </w:tcPr>
          <w:p>
            <w:pPr>
              <w:jc w:val="left"/>
            </w:pPr>
            <w:r/>
            <w:r>
              <w:rPr>
                <w:rFonts w:ascii="Calibri" w:hAnsi="Calibri"/>
                <w:b w:val="0"/>
                <w:color w:val="000000"/>
                <w:sz w:val="16"/>
              </w:rPr>
              <w:t>100% (no preferential treatment) (ERBA P.90)</w:t>
            </w:r>
          </w:p>
        </w:tc>
        <w:tc>
          <w:tcPr>
            <w:tcW w:type="dxa" w:w="3456"/>
            <w:shd w:fill="FFFFFF" w:val="clear"/>
          </w:tcPr>
          <w:p>
            <w:pPr>
              <w:jc w:val="left"/>
            </w:pPr>
            <w:r/>
            <w:r>
              <w:rPr>
                <w:rFonts w:ascii="Calibri" w:hAnsi="Calibri"/>
                <w:b w:val="0"/>
                <w:color w:val="000000"/>
                <w:sz w:val="16"/>
              </w:rPr>
              <w:t>No preferential treatment (PS1/26 Ch.3.5)</w:t>
            </w:r>
          </w:p>
        </w:tc>
        <w:tc>
          <w:tcPr>
            <w:tcW w:type="dxa" w:w="3456"/>
            <w:shd w:fill="FFFFFF" w:val="clear"/>
          </w:tcPr>
          <w:p>
            <w:pPr>
              <w:jc w:val="left"/>
            </w:pPr>
            <w:r/>
            <w:r>
              <w:rPr>
                <w:rFonts w:ascii="Calibri" w:hAnsi="Calibri"/>
                <w:b w:val="0"/>
                <w:color w:val="000000"/>
                <w:sz w:val="16"/>
              </w:rPr>
              <w:t>75% for qualifying infrastructure (CRR3 Art 122a); requires CQS 1-3 + criteria</w:t>
            </w:r>
          </w:p>
        </w:tc>
      </w:tr>
    </w:tbl>
    <w:p>
      <w:r>
        <w:rPr>
          <w:rFonts w:ascii="Calibri" w:hAnsi="Calibri"/>
          <w:b/>
          <w:color w:val="002060"/>
          <w:sz w:val="22"/>
        </w:rPr>
        <w:t>4.4 SME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SME Definition</w:t>
            </w:r>
          </w:p>
        </w:tc>
        <w:tc>
          <w:tcPr>
            <w:tcW w:type="dxa" w:w="3456"/>
            <w:shd w:fill="F2F2F2" w:val="clear"/>
          </w:tcPr>
          <w:p>
            <w:pPr>
              <w:jc w:val="left"/>
            </w:pPr>
            <w:r/>
            <w:r>
              <w:rPr>
                <w:rFonts w:ascii="Calibri" w:hAnsi="Calibri"/>
                <w:b w:val="0"/>
                <w:color w:val="000000"/>
                <w:sz w:val="16"/>
              </w:rPr>
              <w:t>Consolidated annual revenues or sales &lt;= $50M (CPI-W indexed) (ERBA NPR §__.101; P.78 fn 114)</w:t>
            </w:r>
          </w:p>
        </w:tc>
        <w:tc>
          <w:tcPr>
            <w:tcW w:type="dxa" w:w="3456"/>
            <w:shd w:fill="F2F2F2" w:val="clear"/>
          </w:tcPr>
          <w:p>
            <w:pPr>
              <w:jc w:val="left"/>
            </w:pPr>
            <w:r/>
            <w:r>
              <w:rPr>
                <w:rFonts w:ascii="Calibri" w:hAnsi="Calibri"/>
                <w:b w:val="0"/>
                <w:color w:val="000000"/>
                <w:sz w:val="16"/>
              </w:rPr>
              <w:t>Annual turnover &lt;= GBP 6.5M (PS1/26 Ch.3.6)</w:t>
            </w:r>
          </w:p>
        </w:tc>
        <w:tc>
          <w:tcPr>
            <w:tcW w:type="dxa" w:w="3456"/>
            <w:shd w:fill="F2F2F2" w:val="clear"/>
          </w:tcPr>
          <w:p>
            <w:pPr>
              <w:jc w:val="left"/>
            </w:pPr>
            <w:r/>
            <w:r>
              <w:rPr>
                <w:rFonts w:ascii="Calibri" w:hAnsi="Calibri"/>
                <w:b w:val="0"/>
                <w:color w:val="000000"/>
                <w:sz w:val="16"/>
              </w:rPr>
              <w:t>Annual turnover &lt;= EUR 50M (CRR3 Art 501)</w:t>
            </w:r>
          </w:p>
        </w:tc>
      </w:tr>
      <w:tr>
        <w:tc>
          <w:tcPr>
            <w:tcW w:type="dxa" w:w="3456"/>
            <w:shd w:fill="FFFFFF" w:val="clear"/>
          </w:tcPr>
          <w:p>
            <w:pPr>
              <w:jc w:val="left"/>
            </w:pPr>
            <w:r/>
            <w:r>
              <w:rPr>
                <w:rFonts w:ascii="Calibri" w:hAnsi="Calibri"/>
                <w:b/>
                <w:color w:val="000000"/>
                <w:sz w:val="16"/>
              </w:rPr>
              <w:t>SME Corporate RW</w:t>
            </w:r>
          </w:p>
        </w:tc>
        <w:tc>
          <w:tcPr>
            <w:tcW w:type="dxa" w:w="3456"/>
            <w:shd w:fill="FFFFFF" w:val="clear"/>
          </w:tcPr>
          <w:p>
            <w:pPr>
              <w:jc w:val="left"/>
            </w:pPr>
            <w:r/>
            <w:r>
              <w:rPr>
                <w:rFonts w:ascii="Calibri" w:hAnsi="Calibri"/>
                <w:b w:val="0"/>
                <w:color w:val="000000"/>
                <w:sz w:val="16"/>
              </w:rPr>
              <w:t>100% (65% if investment grade); NO Basel 85% SME weight in US (ERBA NPR §__.111)</w:t>
            </w:r>
          </w:p>
        </w:tc>
        <w:tc>
          <w:tcPr>
            <w:tcW w:type="dxa" w:w="3456"/>
            <w:shd w:fill="FFFFFF" w:val="clear"/>
          </w:tcPr>
          <w:p>
            <w:pPr>
              <w:jc w:val="left"/>
            </w:pPr>
            <w:r/>
            <w:r>
              <w:rPr>
                <w:rFonts w:ascii="Calibri" w:hAnsi="Calibri"/>
                <w:b w:val="0"/>
                <w:color w:val="000000"/>
                <w:sz w:val="16"/>
              </w:rPr>
              <w:t>85% effective via SME support factor 0.7619 (PS1/26 Ch.3.6)</w:t>
            </w:r>
          </w:p>
        </w:tc>
        <w:tc>
          <w:tcPr>
            <w:tcW w:type="dxa" w:w="3456"/>
            <w:shd w:fill="FFFFFF" w:val="clear"/>
          </w:tcPr>
          <w:p>
            <w:pPr>
              <w:jc w:val="left"/>
            </w:pPr>
            <w:r/>
            <w:r>
              <w:rPr>
                <w:rFonts w:ascii="Calibri" w:hAnsi="Calibri"/>
                <w:b w:val="0"/>
                <w:color w:val="000000"/>
                <w:sz w:val="16"/>
              </w:rPr>
              <w:t>85% effective via SME support factor (CRR3 Art 501): 0.7619 for first EUR 2.5M, then per Art 501(2)</w:t>
            </w:r>
          </w:p>
        </w:tc>
      </w:tr>
      <w:tr>
        <w:tc>
          <w:tcPr>
            <w:tcW w:type="dxa" w:w="3456"/>
            <w:shd w:fill="F2F2F2" w:val="clear"/>
          </w:tcPr>
          <w:p>
            <w:pPr>
              <w:jc w:val="left"/>
            </w:pPr>
            <w:r/>
            <w:r>
              <w:rPr>
                <w:rFonts w:ascii="Calibri" w:hAnsi="Calibri"/>
                <w:b/>
                <w:color w:val="000000"/>
                <w:sz w:val="16"/>
              </w:rPr>
              <w:t>SME Retail RW</w:t>
            </w:r>
          </w:p>
        </w:tc>
        <w:tc>
          <w:tcPr>
            <w:tcW w:type="dxa" w:w="3456"/>
            <w:shd w:fill="F2F2F2" w:val="clear"/>
          </w:tcPr>
          <w:p>
            <w:pPr>
              <w:jc w:val="left"/>
            </w:pPr>
            <w:r/>
            <w:r>
              <w:rPr>
                <w:rFonts w:ascii="Calibri" w:hAnsi="Calibri"/>
                <w:b w:val="0"/>
                <w:color w:val="000000"/>
                <w:sz w:val="16"/>
              </w:rPr>
              <w:t>75% if meets regulatory retail criteria (SME obligor, aggregate exposure &lt;= $1M) (ERBA NPR §__.101, §__.111; P.80-81)</w:t>
            </w:r>
          </w:p>
        </w:tc>
        <w:tc>
          <w:tcPr>
            <w:tcW w:type="dxa" w:w="3456"/>
            <w:shd w:fill="F2F2F2" w:val="clear"/>
          </w:tcPr>
          <w:p>
            <w:pPr>
              <w:jc w:val="left"/>
            </w:pPr>
            <w:r/>
            <w:r>
              <w:rPr>
                <w:rFonts w:ascii="Calibri" w:hAnsi="Calibri"/>
                <w:b w:val="0"/>
                <w:color w:val="000000"/>
                <w:sz w:val="16"/>
              </w:rPr>
              <w:t>75% (PS1/26 Ch.3.6)</w:t>
            </w:r>
          </w:p>
        </w:tc>
        <w:tc>
          <w:tcPr>
            <w:tcW w:type="dxa" w:w="3456"/>
            <w:shd w:fill="F2F2F2" w:val="clear"/>
          </w:tcPr>
          <w:p>
            <w:pPr>
              <w:jc w:val="left"/>
            </w:pPr>
            <w:r/>
            <w:r>
              <w:rPr>
                <w:rFonts w:ascii="Calibri" w:hAnsi="Calibri"/>
                <w:b w:val="0"/>
                <w:color w:val="000000"/>
                <w:sz w:val="16"/>
              </w:rPr>
              <w:t>75% (CRR3 Art 123)</w:t>
            </w:r>
          </w:p>
        </w:tc>
      </w:tr>
      <w:tr>
        <w:tc>
          <w:tcPr>
            <w:tcW w:type="dxa" w:w="3456"/>
            <w:shd w:fill="FFFFFF" w:val="clear"/>
          </w:tcPr>
          <w:p>
            <w:pPr>
              <w:jc w:val="left"/>
            </w:pPr>
            <w:r/>
            <w:r>
              <w:rPr>
                <w:rFonts w:ascii="Calibri" w:hAnsi="Calibri"/>
                <w:b/>
                <w:color w:val="000000"/>
                <w:sz w:val="16"/>
              </w:rPr>
              <w:t>SME Threshold (Retail)</w:t>
            </w:r>
          </w:p>
        </w:tc>
        <w:tc>
          <w:tcPr>
            <w:tcW w:type="dxa" w:w="3456"/>
            <w:shd w:fill="FFFFFF" w:val="clear"/>
          </w:tcPr>
          <w:p>
            <w:pPr>
              <w:jc w:val="left"/>
            </w:pPr>
            <w:r/>
            <w:r>
              <w:rPr>
                <w:rFonts w:ascii="Calibri" w:hAnsi="Calibri"/>
                <w:b w:val="0"/>
                <w:color w:val="000000"/>
                <w:sz w:val="16"/>
              </w:rPr>
              <w:t>Aggregate retail exposure to obligor and affiliates (on + off balance sheet, full notional) &lt;= $1M, CPI-W indexed (ERBA NPR P.80 fn 115)</w:t>
            </w:r>
          </w:p>
        </w:tc>
        <w:tc>
          <w:tcPr>
            <w:tcW w:type="dxa" w:w="3456"/>
            <w:shd w:fill="FFFFFF" w:val="clear"/>
          </w:tcPr>
          <w:p>
            <w:pPr>
              <w:jc w:val="left"/>
            </w:pPr>
            <w:r/>
            <w:r>
              <w:rPr>
                <w:rFonts w:ascii="Calibri" w:hAnsi="Calibri"/>
                <w:b w:val="0"/>
                <w:color w:val="000000"/>
                <w:sz w:val="16"/>
              </w:rPr>
              <w:t>Total exposure &lt;= GBP 1M (PS1/26 Ch.3.6.2)</w:t>
            </w:r>
          </w:p>
        </w:tc>
        <w:tc>
          <w:tcPr>
            <w:tcW w:type="dxa" w:w="3456"/>
            <w:shd w:fill="FFFFFF" w:val="clear"/>
          </w:tcPr>
          <w:p>
            <w:pPr>
              <w:jc w:val="left"/>
            </w:pPr>
            <w:r/>
            <w:r>
              <w:rPr>
                <w:rFonts w:ascii="Calibri" w:hAnsi="Calibri"/>
                <w:b w:val="0"/>
                <w:color w:val="000000"/>
                <w:sz w:val="16"/>
              </w:rPr>
              <w:t>Total exposure &lt;= EUR 1M (CRR3 Art 123(2))</w:t>
            </w:r>
          </w:p>
        </w:tc>
      </w:tr>
      <w:tr>
        <w:tc>
          <w:tcPr>
            <w:tcW w:type="dxa" w:w="3456"/>
            <w:shd w:fill="F2F2F2" w:val="clear"/>
          </w:tcPr>
          <w:p>
            <w:pPr>
              <w:jc w:val="left"/>
            </w:pPr>
            <w:r/>
            <w:r>
              <w:rPr>
                <w:rFonts w:ascii="Calibri" w:hAnsi="Calibri"/>
                <w:b/>
                <w:color w:val="000000"/>
                <w:sz w:val="16"/>
              </w:rPr>
              <w:t>SME Support Factor</w:t>
            </w:r>
          </w:p>
        </w:tc>
        <w:tc>
          <w:tcPr>
            <w:tcW w:type="dxa" w:w="3456"/>
            <w:shd w:fill="F2F2F2" w:val="clear"/>
          </w:tcPr>
          <w:p>
            <w:pPr>
              <w:jc w:val="left"/>
            </w:pPr>
            <w:r/>
            <w:r>
              <w:rPr>
                <w:rFonts w:ascii="Calibri" w:hAnsi="Calibri"/>
                <w:b w:val="0"/>
                <w:color w:val="000000"/>
                <w:sz w:val="16"/>
              </w:rPr>
              <w:t>None - not adopted in US rules (ERBA NPR §__.111)</w:t>
            </w:r>
          </w:p>
        </w:tc>
        <w:tc>
          <w:tcPr>
            <w:tcW w:type="dxa" w:w="3456"/>
            <w:shd w:fill="F2F2F2" w:val="clear"/>
          </w:tcPr>
          <w:p>
            <w:pPr>
              <w:jc w:val="left"/>
            </w:pPr>
            <w:r/>
            <w:r>
              <w:rPr>
                <w:rFonts w:ascii="Calibri" w:hAnsi="Calibri"/>
                <w:b w:val="0"/>
                <w:color w:val="000000"/>
                <w:sz w:val="16"/>
              </w:rPr>
              <w:t>Maintained via 0.7619 factor (PS1/26 Ch.3.6)</w:t>
            </w:r>
          </w:p>
        </w:tc>
        <w:tc>
          <w:tcPr>
            <w:tcW w:type="dxa" w:w="3456"/>
            <w:shd w:fill="F2F2F2" w:val="clear"/>
          </w:tcPr>
          <w:p>
            <w:pPr>
              <w:jc w:val="left"/>
            </w:pPr>
            <w:r/>
            <w:r>
              <w:rPr>
                <w:rFonts w:ascii="Calibri" w:hAnsi="Calibri"/>
                <w:b w:val="0"/>
                <w:color w:val="000000"/>
                <w:sz w:val="16"/>
              </w:rPr>
              <w:t>Maintained: 0.7619 for first EUR 2.5M, 0.85 above (CRR3 Art 501)</w:t>
            </w:r>
          </w:p>
        </w:tc>
      </w:tr>
    </w:tbl>
    <w:p>
      <w:r>
        <w:rPr>
          <w:rFonts w:ascii="Calibri" w:hAnsi="Calibri"/>
          <w:b/>
          <w:color w:val="002060"/>
          <w:sz w:val="22"/>
        </w:rPr>
        <w:t>4.5 Specialized Lending &amp; Project Finance</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Specialized Lending</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Project Finance (Pre-Op)</w:t>
            </w:r>
          </w:p>
        </w:tc>
        <w:tc>
          <w:tcPr>
            <w:tcW w:type="dxa" w:w="3456"/>
            <w:shd w:fill="FFFFFF" w:val="clear"/>
          </w:tcPr>
          <w:p>
            <w:pPr>
              <w:jc w:val="left"/>
            </w:pPr>
            <w:r/>
            <w:r>
              <w:rPr>
                <w:rFonts w:ascii="Calibri" w:hAnsi="Calibri"/>
                <w:b w:val="0"/>
                <w:color w:val="000000"/>
                <w:sz w:val="16"/>
              </w:rPr>
              <w:t>130% pre-operational phase (ERBA NPR §__.111; P.82, P.88-89)</w:t>
            </w:r>
          </w:p>
        </w:tc>
        <w:tc>
          <w:tcPr>
            <w:tcW w:type="dxa" w:w="3456"/>
            <w:shd w:fill="FFFFFF" w:val="clear"/>
          </w:tcPr>
          <w:p>
            <w:pPr>
              <w:jc w:val="left"/>
            </w:pPr>
            <w:r/>
            <w:r>
              <w:rPr>
                <w:rFonts w:ascii="Calibri" w:hAnsi="Calibri"/>
                <w:b w:val="0"/>
                <w:color w:val="000000"/>
                <w:sz w:val="16"/>
              </w:rPr>
              <w:t>130% (PS1/26 Ch.3 Table 3.9)</w:t>
            </w:r>
          </w:p>
        </w:tc>
        <w:tc>
          <w:tcPr>
            <w:tcW w:type="dxa" w:w="3456"/>
            <w:shd w:fill="FFFFFF" w:val="clear"/>
          </w:tcPr>
          <w:p>
            <w:pPr>
              <w:jc w:val="left"/>
            </w:pPr>
            <w:r/>
            <w:r>
              <w:rPr>
                <w:rFonts w:ascii="Calibri" w:hAnsi="Calibri"/>
                <w:b w:val="0"/>
                <w:color w:val="000000"/>
                <w:sz w:val="16"/>
              </w:rPr>
              <w:t>130% (CRR3 Art 122(3))</w:t>
            </w:r>
          </w:p>
        </w:tc>
      </w:tr>
      <w:tr>
        <w:tc>
          <w:tcPr>
            <w:tcW w:type="dxa" w:w="3456"/>
            <w:shd w:fill="F2F2F2" w:val="clear"/>
          </w:tcPr>
          <w:p>
            <w:pPr>
              <w:jc w:val="left"/>
            </w:pPr>
            <w:r/>
            <w:r>
              <w:rPr>
                <w:rFonts w:ascii="Calibri" w:hAnsi="Calibri"/>
                <w:b/>
                <w:color w:val="000000"/>
                <w:sz w:val="16"/>
              </w:rPr>
              <w:t>Project Finance (Op, HQ)</w:t>
            </w:r>
          </w:p>
        </w:tc>
        <w:tc>
          <w:tcPr>
            <w:tcW w:type="dxa" w:w="3456"/>
            <w:shd w:fill="F2F2F2" w:val="clear"/>
          </w:tcPr>
          <w:p>
            <w:pPr>
              <w:jc w:val="left"/>
            </w:pPr>
            <w:r/>
            <w:r>
              <w:rPr>
                <w:rFonts w:ascii="Calibri" w:hAnsi="Calibri"/>
                <w:b w:val="0"/>
                <w:color w:val="000000"/>
                <w:sz w:val="16"/>
              </w:rPr>
              <w:t>NO 80% high-quality tier in the US proposal: operational-phase project finance is 100% (ERBA NPR §__.111; P.88-89)</w:t>
            </w:r>
          </w:p>
        </w:tc>
        <w:tc>
          <w:tcPr>
            <w:tcW w:type="dxa" w:w="3456"/>
            <w:shd w:fill="F2F2F2" w:val="clear"/>
          </w:tcPr>
          <w:p>
            <w:pPr>
              <w:jc w:val="left"/>
            </w:pPr>
            <w:r/>
            <w:r>
              <w:rPr>
                <w:rFonts w:ascii="Calibri" w:hAnsi="Calibri"/>
                <w:b w:val="0"/>
                <w:color w:val="000000"/>
                <w:sz w:val="16"/>
              </w:rPr>
              <w:t>80% high-quality operational (PS1/26 Ch.3 Table 3.9)</w:t>
            </w:r>
          </w:p>
        </w:tc>
        <w:tc>
          <w:tcPr>
            <w:tcW w:type="dxa" w:w="3456"/>
            <w:shd w:fill="F2F2F2" w:val="clear"/>
          </w:tcPr>
          <w:p>
            <w:pPr>
              <w:jc w:val="left"/>
            </w:pPr>
            <w:r/>
            <w:r>
              <w:rPr>
                <w:rFonts w:ascii="Calibri" w:hAnsi="Calibri"/>
                <w:b w:val="0"/>
                <w:color w:val="000000"/>
                <w:sz w:val="16"/>
              </w:rPr>
              <w:t>80% high-quality operational (CRR3 Art 122(3))</w:t>
            </w:r>
          </w:p>
        </w:tc>
      </w:tr>
      <w:tr>
        <w:tc>
          <w:tcPr>
            <w:tcW w:type="dxa" w:w="3456"/>
            <w:shd w:fill="FFFFFF" w:val="clear"/>
          </w:tcPr>
          <w:p>
            <w:pPr>
              <w:jc w:val="left"/>
            </w:pPr>
            <w:r/>
            <w:r>
              <w:rPr>
                <w:rFonts w:ascii="Calibri" w:hAnsi="Calibri"/>
                <w:b/>
                <w:color w:val="000000"/>
                <w:sz w:val="16"/>
              </w:rPr>
              <w:t>Project Finance (Op, Non-HQ)</w:t>
            </w:r>
          </w:p>
        </w:tc>
        <w:tc>
          <w:tcPr>
            <w:tcW w:type="dxa" w:w="3456"/>
            <w:shd w:fill="FFFFFF" w:val="clear"/>
          </w:tcPr>
          <w:p>
            <w:pPr>
              <w:jc w:val="left"/>
            </w:pPr>
            <w:r/>
            <w:r>
              <w:rPr>
                <w:rFonts w:ascii="Calibri" w:hAnsi="Calibri"/>
                <w:b w:val="0"/>
                <w:color w:val="000000"/>
                <w:sz w:val="16"/>
              </w:rPr>
              <w:t>100% (operational phase = positive net cash flow covering debt service and declining long-term debt) (ERBA NPR P.89)</w:t>
            </w:r>
          </w:p>
        </w:tc>
        <w:tc>
          <w:tcPr>
            <w:tcW w:type="dxa" w:w="3456"/>
            <w:shd w:fill="FFFFFF" w:val="clear"/>
          </w:tcPr>
          <w:p>
            <w:pPr>
              <w:jc w:val="left"/>
            </w:pPr>
            <w:r/>
            <w:r>
              <w:rPr>
                <w:rFonts w:ascii="Calibri" w:hAnsi="Calibri"/>
                <w:b w:val="0"/>
                <w:color w:val="000000"/>
                <w:sz w:val="16"/>
              </w:rPr>
              <w:t>100% (PS1/26 Ch.3 Table 3.9)</w:t>
            </w:r>
          </w:p>
        </w:tc>
        <w:tc>
          <w:tcPr>
            <w:tcW w:type="dxa" w:w="3456"/>
            <w:shd w:fill="FFFFFF" w:val="clear"/>
          </w:tcPr>
          <w:p>
            <w:pPr>
              <w:jc w:val="left"/>
            </w:pPr>
            <w:r/>
            <w:r>
              <w:rPr>
                <w:rFonts w:ascii="Calibri" w:hAnsi="Calibri"/>
                <w:b w:val="0"/>
                <w:color w:val="000000"/>
                <w:sz w:val="16"/>
              </w:rPr>
              <w:t>100% (CRR3 Art 122(3))</w:t>
            </w:r>
          </w:p>
        </w:tc>
      </w:tr>
      <w:tr>
        <w:tc>
          <w:tcPr>
            <w:tcW w:type="dxa" w:w="3456"/>
            <w:shd w:fill="F2F2F2" w:val="clear"/>
          </w:tcPr>
          <w:p>
            <w:pPr>
              <w:jc w:val="left"/>
            </w:pPr>
            <w:r/>
            <w:r>
              <w:rPr>
                <w:rFonts w:ascii="Calibri" w:hAnsi="Calibri"/>
                <w:b/>
                <w:color w:val="000000"/>
                <w:sz w:val="16"/>
              </w:rPr>
              <w:t>Object Finance</w:t>
            </w:r>
          </w:p>
        </w:tc>
        <w:tc>
          <w:tcPr>
            <w:tcW w:type="dxa" w:w="3456"/>
            <w:shd w:fill="F2F2F2" w:val="clear"/>
          </w:tcPr>
          <w:p>
            <w:pPr>
              <w:jc w:val="left"/>
            </w:pPr>
            <w:r/>
            <w:r>
              <w:rPr>
                <w:rFonts w:ascii="Calibri" w:hAnsi="Calibri"/>
                <w:b w:val="0"/>
                <w:color w:val="000000"/>
                <w:sz w:val="16"/>
              </w:rPr>
              <w:t>100% (equipment / physical commodity finance where repayment depends on the physical assets) (ERBA NPR §__.111; P.82)</w:t>
            </w:r>
          </w:p>
        </w:tc>
        <w:tc>
          <w:tcPr>
            <w:tcW w:type="dxa" w:w="3456"/>
            <w:shd w:fill="F2F2F2" w:val="clear"/>
          </w:tcPr>
          <w:p>
            <w:pPr>
              <w:jc w:val="left"/>
            </w:pPr>
            <w:r/>
            <w:r>
              <w:rPr>
                <w:rFonts w:ascii="Calibri" w:hAnsi="Calibri"/>
                <w:b w:val="0"/>
                <w:color w:val="000000"/>
                <w:sz w:val="16"/>
              </w:rPr>
              <w:t>100% (PS1/26 Ch.3 Table 3.9)</w:t>
            </w:r>
          </w:p>
        </w:tc>
        <w:tc>
          <w:tcPr>
            <w:tcW w:type="dxa" w:w="3456"/>
            <w:shd w:fill="F2F2F2" w:val="clear"/>
          </w:tcPr>
          <w:p>
            <w:pPr>
              <w:jc w:val="left"/>
            </w:pPr>
            <w:r/>
            <w:r>
              <w:rPr>
                <w:rFonts w:ascii="Calibri" w:hAnsi="Calibri"/>
                <w:b w:val="0"/>
                <w:color w:val="000000"/>
                <w:sz w:val="16"/>
              </w:rPr>
              <w:t>100% (CRR3 Art 122(3))</w:t>
            </w:r>
          </w:p>
        </w:tc>
      </w:tr>
      <w:tr>
        <w:tc>
          <w:tcPr>
            <w:tcW w:type="dxa" w:w="3456"/>
            <w:shd w:fill="FFFFFF" w:val="clear"/>
          </w:tcPr>
          <w:p>
            <w:pPr>
              <w:jc w:val="left"/>
            </w:pPr>
            <w:r/>
            <w:r>
              <w:rPr>
                <w:rFonts w:ascii="Calibri" w:hAnsi="Calibri"/>
                <w:b/>
                <w:color w:val="000000"/>
                <w:sz w:val="16"/>
              </w:rPr>
              <w:t>Commodity Finance</w:t>
            </w:r>
          </w:p>
        </w:tc>
        <w:tc>
          <w:tcPr>
            <w:tcW w:type="dxa" w:w="3456"/>
            <w:shd w:fill="FFFFFF" w:val="clear"/>
          </w:tcPr>
          <w:p>
            <w:pPr>
              <w:jc w:val="left"/>
            </w:pPr>
            <w:r/>
            <w:r>
              <w:rPr>
                <w:rFonts w:ascii="Calibri" w:hAnsi="Calibri"/>
                <w:b w:val="0"/>
                <w:color w:val="000000"/>
                <w:sz w:val="16"/>
              </w:rPr>
              <w:t>100% (ERBA NPR §__.111)</w:t>
            </w:r>
          </w:p>
        </w:tc>
        <w:tc>
          <w:tcPr>
            <w:tcW w:type="dxa" w:w="3456"/>
            <w:shd w:fill="FFFFFF" w:val="clear"/>
          </w:tcPr>
          <w:p>
            <w:pPr>
              <w:jc w:val="left"/>
            </w:pPr>
            <w:r/>
            <w:r>
              <w:rPr>
                <w:rFonts w:ascii="Calibri" w:hAnsi="Calibri"/>
                <w:b w:val="0"/>
                <w:color w:val="000000"/>
                <w:sz w:val="16"/>
              </w:rPr>
              <w:t>100% (PS1/26 Ch.3 Table 3.9)</w:t>
            </w:r>
          </w:p>
        </w:tc>
        <w:tc>
          <w:tcPr>
            <w:tcW w:type="dxa" w:w="3456"/>
            <w:shd w:fill="FFFFFF" w:val="clear"/>
          </w:tcPr>
          <w:p>
            <w:pPr>
              <w:jc w:val="left"/>
            </w:pPr>
            <w:r/>
            <w:r>
              <w:rPr>
                <w:rFonts w:ascii="Calibri" w:hAnsi="Calibri"/>
                <w:b w:val="0"/>
                <w:color w:val="000000"/>
                <w:sz w:val="16"/>
              </w:rPr>
              <w:t>100% (CRR3 Art 122(3))</w:t>
            </w:r>
          </w:p>
        </w:tc>
      </w:tr>
      <w:tr>
        <w:tc>
          <w:tcPr>
            <w:tcW w:type="dxa" w:w="3456"/>
            <w:shd w:fill="F2F2F2" w:val="clear"/>
          </w:tcPr>
          <w:p>
            <w:pPr>
              <w:jc w:val="left"/>
            </w:pPr>
            <w:r/>
            <w:r>
              <w:rPr>
                <w:rFonts w:ascii="Calibri" w:hAnsi="Calibri"/>
                <w:b/>
                <w:color w:val="000000"/>
                <w:sz w:val="16"/>
              </w:rPr>
              <w:t>Income-Producing RE</w:t>
            </w:r>
          </w:p>
        </w:tc>
        <w:tc>
          <w:tcPr>
            <w:tcW w:type="dxa" w:w="3456"/>
            <w:shd w:fill="F2F2F2" w:val="clear"/>
          </w:tcPr>
          <w:p>
            <w:pPr>
              <w:jc w:val="left"/>
            </w:pPr>
            <w:r/>
            <w:r>
              <w:rPr>
                <w:rFonts w:ascii="Calibri" w:hAnsi="Calibri"/>
                <w:b w:val="0"/>
                <w:color w:val="000000"/>
                <w:sz w:val="16"/>
              </w:rPr>
              <w:t>Covered under regulatory CRE Tables 7-8 to §__.111 (cash-flow dependent)</w:t>
            </w:r>
          </w:p>
        </w:tc>
        <w:tc>
          <w:tcPr>
            <w:tcW w:type="dxa" w:w="3456"/>
            <w:shd w:fill="F2F2F2" w:val="clear"/>
          </w:tcPr>
          <w:p>
            <w:pPr>
              <w:jc w:val="left"/>
            </w:pPr>
            <w:r/>
            <w:r>
              <w:rPr>
                <w:rFonts w:ascii="Calibri" w:hAnsi="Calibri"/>
                <w:b w:val="0"/>
                <w:color w:val="000000"/>
                <w:sz w:val="16"/>
              </w:rPr>
              <w:t>Covered under CRE tables (PS1/26 Ch.4)</w:t>
            </w:r>
          </w:p>
        </w:tc>
        <w:tc>
          <w:tcPr>
            <w:tcW w:type="dxa" w:w="3456"/>
            <w:shd w:fill="F2F2F2" w:val="clear"/>
          </w:tcPr>
          <w:p>
            <w:pPr>
              <w:jc w:val="left"/>
            </w:pPr>
            <w:r/>
            <w:r>
              <w:rPr>
                <w:rFonts w:ascii="Calibri" w:hAnsi="Calibri"/>
                <w:b w:val="0"/>
                <w:color w:val="000000"/>
                <w:sz w:val="16"/>
              </w:rPr>
              <w:t>Covered under CRE tables (CRR3 Art 124-126)</w:t>
            </w:r>
          </w:p>
        </w:tc>
      </w:tr>
      <w:tr>
        <w:tc>
          <w:tcPr>
            <w:tcW w:type="dxa" w:w="3456"/>
            <w:shd w:fill="FFFFFF" w:val="clear"/>
          </w:tcPr>
          <w:p>
            <w:pPr>
              <w:jc w:val="left"/>
            </w:pPr>
            <w:r/>
            <w:r>
              <w:rPr>
                <w:rFonts w:ascii="Calibri" w:hAnsi="Calibri"/>
                <w:b/>
                <w:color w:val="000000"/>
                <w:sz w:val="16"/>
              </w:rPr>
              <w:t>High-Quality Criteria</w:t>
            </w:r>
          </w:p>
        </w:tc>
        <w:tc>
          <w:tcPr>
            <w:tcW w:type="dxa" w:w="3456"/>
            <w:shd w:fill="FFFFFF" w:val="clear"/>
          </w:tcPr>
          <w:p>
            <w:pPr>
              <w:jc w:val="left"/>
            </w:pPr>
            <w:r/>
            <w:r>
              <w:rPr>
                <w:rFonts w:ascii="Calibri" w:hAnsi="Calibri"/>
                <w:b w:val="0"/>
                <w:color w:val="000000"/>
                <w:sz w:val="16"/>
              </w:rPr>
              <w:t>N/A - no high-quality project finance category in the US proposal</w:t>
            </w:r>
          </w:p>
        </w:tc>
        <w:tc>
          <w:tcPr>
            <w:tcW w:type="dxa" w:w="3456"/>
            <w:shd w:fill="FFFFFF" w:val="clear"/>
          </w:tcPr>
          <w:p>
            <w:pPr>
              <w:jc w:val="left"/>
            </w:pPr>
            <w:r/>
            <w:r>
              <w:rPr>
                <w:rFonts w:ascii="Calibri" w:hAnsi="Calibri"/>
                <w:b w:val="0"/>
                <w:color w:val="000000"/>
                <w:sz w:val="16"/>
              </w:rPr>
              <w:t>Similar criteria (PS1/26 Ch.3.7)</w:t>
            </w:r>
          </w:p>
        </w:tc>
        <w:tc>
          <w:tcPr>
            <w:tcW w:type="dxa" w:w="3456"/>
            <w:shd w:fill="FFFFFF" w:val="clear"/>
          </w:tcPr>
          <w:p>
            <w:pPr>
              <w:jc w:val="left"/>
            </w:pPr>
            <w:r/>
            <w:r>
              <w:rPr>
                <w:rFonts w:ascii="Calibri" w:hAnsi="Calibri"/>
                <w:b w:val="0"/>
                <w:color w:val="000000"/>
                <w:sz w:val="16"/>
              </w:rPr>
              <w:t>Similar criteria per CRR3 Art 122(3)(a)-(g)</w:t>
            </w:r>
          </w:p>
        </w:tc>
      </w:tr>
    </w:tbl>
    <w:p>
      <w:r>
        <w:rPr>
          <w:rFonts w:ascii="Calibri" w:hAnsi="Calibri"/>
          <w:b/>
          <w:color w:val="002060"/>
          <w:sz w:val="22"/>
        </w:rPr>
        <w:t>4.6 Covered Bonds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Covered Bond RWs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CQS 1 / Grade A (§__.111(d)(2))</w:t>
            </w:r>
          </w:p>
        </w:tc>
        <w:tc>
          <w:tcPr>
            <w:tcW w:type="dxa" w:w="3456"/>
            <w:shd w:fill="FFFFFF" w:val="clear"/>
          </w:tcPr>
          <w:p>
            <w:pPr>
              <w:jc w:val="left"/>
            </w:pPr>
            <w:r/>
            <w:r>
              <w:rPr>
                <w:rFonts w:ascii="Calibri" w:hAnsi="Calibri"/>
                <w:b w:val="0"/>
                <w:color w:val="000000"/>
                <w:sz w:val="16"/>
              </w:rPr>
              <w:t>No covered-bond treatment in US credit risk SA: bank-exposure RW 30% (ERBA NPR §__.111)</w:t>
            </w:r>
          </w:p>
        </w:tc>
        <w:tc>
          <w:tcPr>
            <w:tcW w:type="dxa" w:w="3456"/>
            <w:shd w:fill="FFFFFF" w:val="clear"/>
          </w:tcPr>
          <w:p>
            <w:pPr>
              <w:jc w:val="left"/>
            </w:pPr>
            <w:r/>
            <w:r>
              <w:rPr>
                <w:rFonts w:ascii="Calibri" w:hAnsi="Calibri"/>
                <w:b w:val="0"/>
                <w:color w:val="000000"/>
                <w:sz w:val="16"/>
              </w:rPr>
              <w:t>10% (PS1/26 Ch.3 Table 3.6)</w:t>
            </w:r>
          </w:p>
        </w:tc>
        <w:tc>
          <w:tcPr>
            <w:tcW w:type="dxa" w:w="3456"/>
            <w:shd w:fill="FFFFFF" w:val="clear"/>
          </w:tcPr>
          <w:p>
            <w:pPr>
              <w:jc w:val="left"/>
            </w:pPr>
            <w:r/>
            <w:r>
              <w:rPr>
                <w:rFonts w:ascii="Calibri" w:hAnsi="Calibri"/>
                <w:b w:val="0"/>
                <w:color w:val="000000"/>
                <w:sz w:val="16"/>
              </w:rPr>
              <w:t>10% (CRR3 Art 129(4))</w:t>
            </w:r>
          </w:p>
        </w:tc>
      </w:tr>
      <w:tr>
        <w:tc>
          <w:tcPr>
            <w:tcW w:type="dxa" w:w="3456"/>
            <w:shd w:fill="F2F2F2" w:val="clear"/>
          </w:tcPr>
          <w:p>
            <w:pPr>
              <w:jc w:val="left"/>
            </w:pPr>
            <w:r/>
            <w:r>
              <w:rPr>
                <w:rFonts w:ascii="Calibri" w:hAnsi="Calibri"/>
                <w:b/>
                <w:color w:val="000000"/>
                <w:sz w:val="16"/>
              </w:rPr>
              <w:t>CQS 2 / Grade A-Other</w:t>
            </w:r>
          </w:p>
        </w:tc>
        <w:tc>
          <w:tcPr>
            <w:tcW w:type="dxa" w:w="3456"/>
            <w:shd w:fill="F2F2F2" w:val="clear"/>
          </w:tcPr>
          <w:p>
            <w:pPr>
              <w:jc w:val="left"/>
            </w:pPr>
            <w:r/>
            <w:r>
              <w:rPr>
                <w:rFonts w:ascii="Calibri" w:hAnsi="Calibri"/>
                <w:b w:val="0"/>
                <w:color w:val="000000"/>
                <w:sz w:val="16"/>
              </w:rPr>
              <w:t>Bank-exposure RW 40% (ERBA NPR §__.111)</w:t>
            </w:r>
          </w:p>
        </w:tc>
        <w:tc>
          <w:tcPr>
            <w:tcW w:type="dxa" w:w="3456"/>
            <w:shd w:fill="F2F2F2" w:val="clear"/>
          </w:tcPr>
          <w:p>
            <w:pPr>
              <w:jc w:val="left"/>
            </w:pPr>
            <w:r/>
            <w:r>
              <w:rPr>
                <w:rFonts w:ascii="Calibri" w:hAnsi="Calibri"/>
                <w:b w:val="0"/>
                <w:color w:val="000000"/>
                <w:sz w:val="16"/>
              </w:rPr>
              <w:t>20% (PS1/26 Ch.3 Table 3.6)</w:t>
            </w:r>
          </w:p>
        </w:tc>
        <w:tc>
          <w:tcPr>
            <w:tcW w:type="dxa" w:w="3456"/>
            <w:shd w:fill="F2F2F2" w:val="clear"/>
          </w:tcPr>
          <w:p>
            <w:pPr>
              <w:jc w:val="left"/>
            </w:pPr>
            <w:r/>
            <w:r>
              <w:rPr>
                <w:rFonts w:ascii="Calibri" w:hAnsi="Calibri"/>
                <w:b w:val="0"/>
                <w:color w:val="000000"/>
                <w:sz w:val="16"/>
              </w:rPr>
              <w:t>20% (CRR3 Art 129(4))</w:t>
            </w:r>
          </w:p>
        </w:tc>
      </w:tr>
      <w:tr>
        <w:tc>
          <w:tcPr>
            <w:tcW w:type="dxa" w:w="3456"/>
            <w:shd w:fill="FFFFFF" w:val="clear"/>
          </w:tcPr>
          <w:p>
            <w:pPr>
              <w:jc w:val="left"/>
            </w:pPr>
            <w:r/>
            <w:r>
              <w:rPr>
                <w:rFonts w:ascii="Calibri" w:hAnsi="Calibri"/>
                <w:b/>
                <w:color w:val="000000"/>
                <w:sz w:val="16"/>
              </w:rPr>
              <w:t>CQS 3</w:t>
            </w:r>
          </w:p>
        </w:tc>
        <w:tc>
          <w:tcPr>
            <w:tcW w:type="dxa" w:w="3456"/>
            <w:shd w:fill="FFFFFF" w:val="clear"/>
          </w:tcPr>
          <w:p>
            <w:pPr>
              <w:jc w:val="left"/>
            </w:pPr>
            <w:r/>
            <w:r>
              <w:rPr>
                <w:rFonts w:ascii="Calibri" w:hAnsi="Calibri"/>
                <w:b w:val="0"/>
                <w:color w:val="000000"/>
                <w:sz w:val="16"/>
              </w:rPr>
              <w:t>N/A (Grade system)</w:t>
            </w:r>
          </w:p>
        </w:tc>
        <w:tc>
          <w:tcPr>
            <w:tcW w:type="dxa" w:w="3456"/>
            <w:shd w:fill="FFFFFF" w:val="clear"/>
          </w:tcPr>
          <w:p>
            <w:pPr>
              <w:jc w:val="left"/>
            </w:pPr>
            <w:r/>
            <w:r>
              <w:rPr>
                <w:rFonts w:ascii="Calibri" w:hAnsi="Calibri"/>
                <w:b w:val="0"/>
                <w:color w:val="000000"/>
                <w:sz w:val="16"/>
              </w:rPr>
              <w:t>20% (PS1/26 Ch.3 Table 3.6)</w:t>
            </w:r>
          </w:p>
        </w:tc>
        <w:tc>
          <w:tcPr>
            <w:tcW w:type="dxa" w:w="3456"/>
            <w:shd w:fill="FFFFFF" w:val="clear"/>
          </w:tcPr>
          <w:p>
            <w:pPr>
              <w:jc w:val="left"/>
            </w:pPr>
            <w:r/>
            <w:r>
              <w:rPr>
                <w:rFonts w:ascii="Calibri" w:hAnsi="Calibri"/>
                <w:b w:val="0"/>
                <w:color w:val="000000"/>
                <w:sz w:val="16"/>
              </w:rPr>
              <w:t>20% (CRR3 Art 129(4))</w:t>
            </w:r>
          </w:p>
        </w:tc>
      </w:tr>
      <w:tr>
        <w:tc>
          <w:tcPr>
            <w:tcW w:type="dxa" w:w="3456"/>
            <w:shd w:fill="F2F2F2" w:val="clear"/>
          </w:tcPr>
          <w:p>
            <w:pPr>
              <w:jc w:val="left"/>
            </w:pPr>
            <w:r/>
            <w:r>
              <w:rPr>
                <w:rFonts w:ascii="Calibri" w:hAnsi="Calibri"/>
                <w:b/>
                <w:color w:val="000000"/>
                <w:sz w:val="16"/>
              </w:rPr>
              <w:t>CQS 4-5 / Grade B</w:t>
            </w:r>
          </w:p>
        </w:tc>
        <w:tc>
          <w:tcPr>
            <w:tcW w:type="dxa" w:w="3456"/>
            <w:shd w:fill="F2F2F2" w:val="clear"/>
          </w:tcPr>
          <w:p>
            <w:pPr>
              <w:jc w:val="left"/>
            </w:pPr>
            <w:r/>
            <w:r>
              <w:rPr>
                <w:rFonts w:ascii="Calibri" w:hAnsi="Calibri"/>
                <w:b w:val="0"/>
                <w:color w:val="000000"/>
                <w:sz w:val="16"/>
              </w:rPr>
              <w:t>Bank-exposure RW 75% (ERBA NPR §__.111)</w:t>
            </w:r>
          </w:p>
        </w:tc>
        <w:tc>
          <w:tcPr>
            <w:tcW w:type="dxa" w:w="3456"/>
            <w:shd w:fill="F2F2F2" w:val="clear"/>
          </w:tcPr>
          <w:p>
            <w:pPr>
              <w:jc w:val="left"/>
            </w:pPr>
            <w:r/>
            <w:r>
              <w:rPr>
                <w:rFonts w:ascii="Calibri" w:hAnsi="Calibri"/>
                <w:b w:val="0"/>
                <w:color w:val="000000"/>
                <w:sz w:val="16"/>
              </w:rPr>
              <w:t>50% (PS1/26 Ch.3 Table 3.6)</w:t>
            </w:r>
          </w:p>
        </w:tc>
        <w:tc>
          <w:tcPr>
            <w:tcW w:type="dxa" w:w="3456"/>
            <w:shd w:fill="F2F2F2" w:val="clear"/>
          </w:tcPr>
          <w:p>
            <w:pPr>
              <w:jc w:val="left"/>
            </w:pPr>
            <w:r/>
            <w:r>
              <w:rPr>
                <w:rFonts w:ascii="Calibri" w:hAnsi="Calibri"/>
                <w:b w:val="0"/>
                <w:color w:val="000000"/>
                <w:sz w:val="16"/>
              </w:rPr>
              <w:t>50% (CRR3 Art 129(4))</w:t>
            </w:r>
          </w:p>
        </w:tc>
      </w:tr>
      <w:tr>
        <w:tc>
          <w:tcPr>
            <w:tcW w:type="dxa" w:w="3456"/>
            <w:shd w:fill="FFFFFF" w:val="clear"/>
          </w:tcPr>
          <w:p>
            <w:pPr>
              <w:jc w:val="left"/>
            </w:pPr>
            <w:r/>
            <w:r>
              <w:rPr>
                <w:rFonts w:ascii="Calibri" w:hAnsi="Calibri"/>
                <w:b/>
                <w:color w:val="000000"/>
                <w:sz w:val="16"/>
              </w:rPr>
              <w:t>CQS 6 / Grade C</w:t>
            </w:r>
          </w:p>
        </w:tc>
        <w:tc>
          <w:tcPr>
            <w:tcW w:type="dxa" w:w="3456"/>
            <w:shd w:fill="FFFFFF" w:val="clear"/>
          </w:tcPr>
          <w:p>
            <w:pPr>
              <w:jc w:val="left"/>
            </w:pPr>
            <w:r/>
            <w:r>
              <w:rPr>
                <w:rFonts w:ascii="Calibri" w:hAnsi="Calibri"/>
                <w:b w:val="0"/>
                <w:color w:val="000000"/>
                <w:sz w:val="16"/>
              </w:rPr>
              <w:t>Bank-exposure RW 150% (ERBA NPR §__.111)</w:t>
            </w:r>
          </w:p>
        </w:tc>
        <w:tc>
          <w:tcPr>
            <w:tcW w:type="dxa" w:w="3456"/>
            <w:shd w:fill="FFFFFF" w:val="clear"/>
          </w:tcPr>
          <w:p>
            <w:pPr>
              <w:jc w:val="left"/>
            </w:pPr>
            <w:r/>
            <w:r>
              <w:rPr>
                <w:rFonts w:ascii="Calibri" w:hAnsi="Calibri"/>
                <w:b w:val="0"/>
                <w:color w:val="000000"/>
                <w:sz w:val="16"/>
              </w:rPr>
              <w:t>100% (PS1/26 Ch.3 Table 3.6)</w:t>
            </w:r>
          </w:p>
        </w:tc>
        <w:tc>
          <w:tcPr>
            <w:tcW w:type="dxa" w:w="3456"/>
            <w:shd w:fill="FFFFFF" w:val="clear"/>
          </w:tcPr>
          <w:p>
            <w:pPr>
              <w:jc w:val="left"/>
            </w:pPr>
            <w:r/>
            <w:r>
              <w:rPr>
                <w:rFonts w:ascii="Calibri" w:hAnsi="Calibri"/>
                <w:b w:val="0"/>
                <w:color w:val="000000"/>
                <w:sz w:val="16"/>
              </w:rPr>
              <w:t>100% (CRR3 Art 129(4))</w:t>
            </w:r>
          </w:p>
        </w:tc>
      </w:tr>
      <w:tr>
        <w:tc>
          <w:tcPr>
            <w:tcW w:type="dxa" w:w="3456"/>
            <w:shd w:fill="F2F2F2" w:val="clear"/>
          </w:tcPr>
          <w:p>
            <w:pPr>
              <w:jc w:val="left"/>
            </w:pPr>
            <w:r/>
            <w:r>
              <w:rPr>
                <w:rFonts w:ascii="Calibri" w:hAnsi="Calibri"/>
                <w:b/>
                <w:color w:val="000000"/>
                <w:sz w:val="16"/>
              </w:rPr>
              <w:t>Unrated</w:t>
            </w:r>
          </w:p>
        </w:tc>
        <w:tc>
          <w:tcPr>
            <w:tcW w:type="dxa" w:w="3456"/>
            <w:shd w:fill="F2F2F2" w:val="clear"/>
          </w:tcPr>
          <w:p>
            <w:pPr>
              <w:jc w:val="left"/>
            </w:pPr>
            <w:r/>
            <w:r>
              <w:rPr>
                <w:rFonts w:ascii="Calibri" w:hAnsi="Calibri"/>
                <w:b w:val="0"/>
                <w:color w:val="000000"/>
                <w:sz w:val="16"/>
              </w:rPr>
              <w:t>N/A - 'covered bond' is defined only for market risk (CSR buckets 8/16; DRC LGD 25%) (ERBA NPR §__.202, §__.209-210)</w:t>
            </w:r>
          </w:p>
        </w:tc>
        <w:tc>
          <w:tcPr>
            <w:tcW w:type="dxa" w:w="3456"/>
            <w:shd w:fill="F2F2F2" w:val="clear"/>
          </w:tcPr>
          <w:p>
            <w:pPr>
              <w:jc w:val="left"/>
            </w:pPr>
            <w:r/>
            <w:r>
              <w:rPr>
                <w:rFonts w:ascii="Calibri" w:hAnsi="Calibri"/>
                <w:b w:val="0"/>
                <w:color w:val="000000"/>
                <w:sz w:val="16"/>
              </w:rPr>
              <w:t>Issue-specific CQS (PS1/26 Ch.3 Table 3.6)</w:t>
            </w:r>
          </w:p>
        </w:tc>
        <w:tc>
          <w:tcPr>
            <w:tcW w:type="dxa" w:w="3456"/>
            <w:shd w:fill="F2F2F2" w:val="clear"/>
          </w:tcPr>
          <w:p>
            <w:pPr>
              <w:jc w:val="left"/>
            </w:pPr>
            <w:r/>
            <w:r>
              <w:rPr>
                <w:rFonts w:ascii="Calibri" w:hAnsi="Calibri"/>
                <w:b w:val="0"/>
                <w:color w:val="000000"/>
                <w:sz w:val="16"/>
              </w:rPr>
              <w:t>Issuer-RW-based: 10%/20%/20%/50%/100% (CRR3 Art 129(5))</w:t>
            </w:r>
          </w:p>
        </w:tc>
      </w:tr>
    </w:tbl>
    <w:p>
      <w:r>
        <w:br w:type="page"/>
      </w:r>
    </w:p>
    <w:p>
      <w:r>
        <w:rPr>
          <w:rFonts w:ascii="Calibri" w:hAnsi="Calibri"/>
          <w:b/>
          <w:color w:val="C8962E"/>
          <w:sz w:val="28"/>
        </w:rPr>
        <w:t>SECTION 5</w:t>
      </w:r>
    </w:p>
    <w:p>
      <w:r>
        <w:rPr>
          <w:rFonts w:ascii="Calibri" w:hAnsi="Calibri"/>
          <w:b/>
          <w:color w:val="002060"/>
          <w:sz w:val="32"/>
        </w:rPr>
        <w:t>Real Estate Exposures: Residential &amp; Commercial LTV Tables</w:t>
      </w:r>
    </w:p>
    <w:p>
      <w:r>
        <w:rPr>
          <w:color w:val="C8962E"/>
          <w:sz w:val="12"/>
        </w:rPr>
        <w:t>________________________________________________________________________________________________________________________</w:t>
      </w:r>
    </w:p>
    <w:p>
      <w:r>
        <w:rPr>
          <w:rFonts w:ascii="Calibri" w:hAnsi="Calibri"/>
          <w:color w:val="000000"/>
          <w:sz w:val="18"/>
        </w:rPr>
        <w:t>All 6 LTV bands for each of the 4 real estate exposure tables, showing three-way divergence particularly at 80-90% and 90-100% LTV bands. Includes splitting approach mechanics, valuation methodology, cash-flow dependency tests, and ADC divergence.</w:t>
      </w:r>
    </w:p>
    <w:p>
      <w:r>
        <w:rPr>
          <w:rFonts w:ascii="Calibri" w:hAnsi="Calibri"/>
          <w:b/>
          <w:color w:val="002060"/>
          <w:sz w:val="22"/>
        </w:rPr>
        <w:t>5.1 Residential Mortgage - Non-Cash-Flow Dependent (Whole-Loan)</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Resi Non-CF LTV Bands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LTV &lt;= 50%</w:t>
            </w:r>
          </w:p>
        </w:tc>
        <w:tc>
          <w:tcPr>
            <w:tcW w:type="dxa" w:w="3456"/>
            <w:shd w:fill="FFFFFF" w:val="clear"/>
          </w:tcPr>
          <w:p>
            <w:pPr>
              <w:jc w:val="left"/>
            </w:pPr>
            <w:r/>
            <w:r>
              <w:rPr>
                <w:rFonts w:ascii="Calibri" w:hAnsi="Calibri"/>
                <w:b w:val="0"/>
                <w:color w:val="000000"/>
                <w:sz w:val="16"/>
              </w:rPr>
              <w:t>20% (Table 5 to §__.111; ERBA NPR p.692)</w:t>
            </w:r>
          </w:p>
        </w:tc>
        <w:tc>
          <w:tcPr>
            <w:tcW w:type="dxa" w:w="3456"/>
            <w:shd w:fill="FFFFFF" w:val="clear"/>
          </w:tcPr>
          <w:p>
            <w:pPr>
              <w:jc w:val="left"/>
            </w:pPr>
            <w:r/>
            <w:r>
              <w:rPr>
                <w:rFonts w:ascii="Calibri" w:hAnsi="Calibri"/>
                <w:b w:val="0"/>
                <w:color w:val="000000"/>
                <w:sz w:val="16"/>
              </w:rPr>
              <w:t>20% (PS1/26 Ch.4 Table 4.1)</w:t>
            </w:r>
          </w:p>
        </w:tc>
        <w:tc>
          <w:tcPr>
            <w:tcW w:type="dxa" w:w="3456"/>
            <w:shd w:fill="FFFFFF" w:val="clear"/>
          </w:tcPr>
          <w:p>
            <w:pPr>
              <w:jc w:val="left"/>
            </w:pPr>
            <w:r/>
            <w:r>
              <w:rPr>
                <w:rFonts w:ascii="Calibri" w:hAnsi="Calibri"/>
                <w:b w:val="0"/>
                <w:color w:val="000000"/>
                <w:sz w:val="16"/>
              </w:rPr>
              <w:t>20% (CRR3 Art 125(1) Table 1)</w:t>
            </w:r>
          </w:p>
        </w:tc>
      </w:tr>
      <w:tr>
        <w:tc>
          <w:tcPr>
            <w:tcW w:type="dxa" w:w="3456"/>
            <w:shd w:fill="F2F2F2" w:val="clear"/>
          </w:tcPr>
          <w:p>
            <w:pPr>
              <w:jc w:val="left"/>
            </w:pPr>
            <w:r/>
            <w:r>
              <w:rPr>
                <w:rFonts w:ascii="Calibri" w:hAnsi="Calibri"/>
                <w:b/>
                <w:color w:val="000000"/>
                <w:sz w:val="16"/>
              </w:rPr>
              <w:t>50% &lt; LTV &lt;= 60%</w:t>
            </w:r>
          </w:p>
        </w:tc>
        <w:tc>
          <w:tcPr>
            <w:tcW w:type="dxa" w:w="3456"/>
            <w:shd w:fill="F2F2F2" w:val="clear"/>
          </w:tcPr>
          <w:p>
            <w:pPr>
              <w:jc w:val="left"/>
            </w:pPr>
            <w:r/>
            <w:r>
              <w:rPr>
                <w:rFonts w:ascii="Calibri" w:hAnsi="Calibri"/>
                <w:b w:val="0"/>
                <w:color w:val="000000"/>
                <w:sz w:val="16"/>
              </w:rPr>
              <w:t>25% (Table 5 to §__.111; ERBA NPR p.692)</w:t>
            </w:r>
          </w:p>
        </w:tc>
        <w:tc>
          <w:tcPr>
            <w:tcW w:type="dxa" w:w="3456"/>
            <w:shd w:fill="F2F2F2" w:val="clear"/>
          </w:tcPr>
          <w:p>
            <w:pPr>
              <w:jc w:val="left"/>
            </w:pPr>
            <w:r/>
            <w:r>
              <w:rPr>
                <w:rFonts w:ascii="Calibri" w:hAnsi="Calibri"/>
                <w:b w:val="0"/>
                <w:color w:val="000000"/>
                <w:sz w:val="16"/>
              </w:rPr>
              <w:t>25% (PS1/26 Ch.4 Table 4.1)</w:t>
            </w:r>
          </w:p>
        </w:tc>
        <w:tc>
          <w:tcPr>
            <w:tcW w:type="dxa" w:w="3456"/>
            <w:shd w:fill="F2F2F2" w:val="clear"/>
          </w:tcPr>
          <w:p>
            <w:pPr>
              <w:jc w:val="left"/>
            </w:pPr>
            <w:r/>
            <w:r>
              <w:rPr>
                <w:rFonts w:ascii="Calibri" w:hAnsi="Calibri"/>
                <w:b w:val="0"/>
                <w:color w:val="000000"/>
                <w:sz w:val="16"/>
              </w:rPr>
              <w:t>25% (CRR3 Art 125(1) Table 1)</w:t>
            </w:r>
          </w:p>
        </w:tc>
      </w:tr>
      <w:tr>
        <w:tc>
          <w:tcPr>
            <w:tcW w:type="dxa" w:w="3456"/>
            <w:shd w:fill="FFFFFF" w:val="clear"/>
          </w:tcPr>
          <w:p>
            <w:pPr>
              <w:jc w:val="left"/>
            </w:pPr>
            <w:r/>
            <w:r>
              <w:rPr>
                <w:rFonts w:ascii="Calibri" w:hAnsi="Calibri"/>
                <w:b/>
                <w:color w:val="000000"/>
                <w:sz w:val="16"/>
              </w:rPr>
              <w:t>60% &lt; LTV &lt;= 80%</w:t>
            </w:r>
          </w:p>
        </w:tc>
        <w:tc>
          <w:tcPr>
            <w:tcW w:type="dxa" w:w="3456"/>
            <w:shd w:fill="FFFFFF" w:val="clear"/>
          </w:tcPr>
          <w:p>
            <w:pPr>
              <w:jc w:val="left"/>
            </w:pPr>
            <w:r/>
            <w:r>
              <w:rPr>
                <w:rFonts w:ascii="Calibri" w:hAnsi="Calibri"/>
                <w:b w:val="0"/>
                <w:color w:val="000000"/>
                <w:sz w:val="16"/>
              </w:rPr>
              <w:t>30% (Table 5 to §__.111; ERBA NPR p.692)</w:t>
            </w:r>
          </w:p>
        </w:tc>
        <w:tc>
          <w:tcPr>
            <w:tcW w:type="dxa" w:w="3456"/>
            <w:shd w:fill="FFFFFF" w:val="clear"/>
          </w:tcPr>
          <w:p>
            <w:pPr>
              <w:jc w:val="left"/>
            </w:pPr>
            <w:r/>
            <w:r>
              <w:rPr>
                <w:rFonts w:ascii="Calibri" w:hAnsi="Calibri"/>
                <w:b w:val="0"/>
                <w:color w:val="000000"/>
                <w:sz w:val="16"/>
              </w:rPr>
              <w:t>30% (PS1/26 Ch.4 Table 4.1)</w:t>
            </w:r>
          </w:p>
        </w:tc>
        <w:tc>
          <w:tcPr>
            <w:tcW w:type="dxa" w:w="3456"/>
            <w:shd w:fill="FFFFFF" w:val="clear"/>
          </w:tcPr>
          <w:p>
            <w:pPr>
              <w:jc w:val="left"/>
            </w:pPr>
            <w:r/>
            <w:r>
              <w:rPr>
                <w:rFonts w:ascii="Calibri" w:hAnsi="Calibri"/>
                <w:b w:val="0"/>
                <w:color w:val="000000"/>
                <w:sz w:val="16"/>
              </w:rPr>
              <w:t>30% (CRR3 Art 125(1) Table 1)</w:t>
            </w:r>
          </w:p>
        </w:tc>
      </w:tr>
      <w:tr>
        <w:tc>
          <w:tcPr>
            <w:tcW w:type="dxa" w:w="3456"/>
            <w:shd w:fill="F2F2F2" w:val="clear"/>
          </w:tcPr>
          <w:p>
            <w:pPr>
              <w:jc w:val="left"/>
            </w:pPr>
            <w:r/>
            <w:r>
              <w:rPr>
                <w:rFonts w:ascii="Calibri" w:hAnsi="Calibri"/>
                <w:b/>
                <w:color w:val="000000"/>
                <w:sz w:val="16"/>
              </w:rPr>
              <w:t>80% &lt; LTV &lt;= 90%</w:t>
            </w:r>
          </w:p>
        </w:tc>
        <w:tc>
          <w:tcPr>
            <w:tcW w:type="dxa" w:w="3456"/>
            <w:shd w:fill="F2F2F2" w:val="clear"/>
          </w:tcPr>
          <w:p>
            <w:pPr>
              <w:jc w:val="left"/>
            </w:pPr>
            <w:r/>
            <w:r>
              <w:rPr>
                <w:rFonts w:ascii="Calibri" w:hAnsi="Calibri"/>
                <w:b w:val="0"/>
                <w:color w:val="000000"/>
                <w:sz w:val="16"/>
              </w:rPr>
              <w:t>40% (Table 5 to §__.111; ERBA NPR p.692)</w:t>
            </w:r>
          </w:p>
        </w:tc>
        <w:tc>
          <w:tcPr>
            <w:tcW w:type="dxa" w:w="3456"/>
            <w:shd w:fill="F2F2F2" w:val="clear"/>
          </w:tcPr>
          <w:p>
            <w:pPr>
              <w:jc w:val="left"/>
            </w:pPr>
            <w:r/>
            <w:r>
              <w:rPr>
                <w:rFonts w:ascii="Calibri" w:hAnsi="Calibri"/>
                <w:b w:val="0"/>
                <w:color w:val="000000"/>
                <w:sz w:val="16"/>
              </w:rPr>
              <w:t>40% (PS1/26 Ch.4 Table 4.1)</w:t>
            </w:r>
          </w:p>
        </w:tc>
        <w:tc>
          <w:tcPr>
            <w:tcW w:type="dxa" w:w="3456"/>
            <w:shd w:fill="F2F2F2" w:val="clear"/>
          </w:tcPr>
          <w:p>
            <w:pPr>
              <w:jc w:val="left"/>
            </w:pPr>
            <w:r/>
            <w:r>
              <w:rPr>
                <w:rFonts w:ascii="Calibri" w:hAnsi="Calibri"/>
                <w:b w:val="0"/>
                <w:color w:val="000000"/>
                <w:sz w:val="16"/>
              </w:rPr>
              <w:t>35% (CRR3 Art 125(1) Table 1) - DIVERGENCE: EU 5pp lower</w:t>
            </w:r>
          </w:p>
        </w:tc>
      </w:tr>
      <w:tr>
        <w:tc>
          <w:tcPr>
            <w:tcW w:type="dxa" w:w="3456"/>
            <w:shd w:fill="FFFFFF" w:val="clear"/>
          </w:tcPr>
          <w:p>
            <w:pPr>
              <w:jc w:val="left"/>
            </w:pPr>
            <w:r/>
            <w:r>
              <w:rPr>
                <w:rFonts w:ascii="Calibri" w:hAnsi="Calibri"/>
                <w:b/>
                <w:color w:val="000000"/>
                <w:sz w:val="16"/>
              </w:rPr>
              <w:t>90% &lt; LTV &lt;= 100%</w:t>
            </w:r>
          </w:p>
        </w:tc>
        <w:tc>
          <w:tcPr>
            <w:tcW w:type="dxa" w:w="3456"/>
            <w:shd w:fill="FFFFFF" w:val="clear"/>
          </w:tcPr>
          <w:p>
            <w:pPr>
              <w:jc w:val="left"/>
            </w:pPr>
            <w:r/>
            <w:r>
              <w:rPr>
                <w:rFonts w:ascii="Calibri" w:hAnsi="Calibri"/>
                <w:b w:val="0"/>
                <w:color w:val="000000"/>
                <w:sz w:val="16"/>
              </w:rPr>
              <w:t>50% (Table 5 to §__.111; ERBA NPR p.692)</w:t>
            </w:r>
          </w:p>
        </w:tc>
        <w:tc>
          <w:tcPr>
            <w:tcW w:type="dxa" w:w="3456"/>
            <w:shd w:fill="FFFFFF" w:val="clear"/>
          </w:tcPr>
          <w:p>
            <w:pPr>
              <w:jc w:val="left"/>
            </w:pPr>
            <w:r/>
            <w:r>
              <w:rPr>
                <w:rFonts w:ascii="Calibri" w:hAnsi="Calibri"/>
                <w:b w:val="0"/>
                <w:color w:val="000000"/>
                <w:sz w:val="16"/>
              </w:rPr>
              <w:t>50% (PS1/26 Ch.4 Table 4.1)</w:t>
            </w:r>
          </w:p>
        </w:tc>
        <w:tc>
          <w:tcPr>
            <w:tcW w:type="dxa" w:w="3456"/>
            <w:shd w:fill="FFFFFF" w:val="clear"/>
          </w:tcPr>
          <w:p>
            <w:pPr>
              <w:jc w:val="left"/>
            </w:pPr>
            <w:r/>
            <w:r>
              <w:rPr>
                <w:rFonts w:ascii="Calibri" w:hAnsi="Calibri"/>
                <w:b w:val="0"/>
                <w:color w:val="000000"/>
                <w:sz w:val="16"/>
              </w:rPr>
              <w:t>45% (CRR3 Art 125(1) Table 1) - DIVERGENCE: EU 5pp lower</w:t>
            </w:r>
          </w:p>
        </w:tc>
      </w:tr>
      <w:tr>
        <w:tc>
          <w:tcPr>
            <w:tcW w:type="dxa" w:w="3456"/>
            <w:shd w:fill="F2F2F2" w:val="clear"/>
          </w:tcPr>
          <w:p>
            <w:pPr>
              <w:jc w:val="left"/>
            </w:pPr>
            <w:r/>
            <w:r>
              <w:rPr>
                <w:rFonts w:ascii="Calibri" w:hAnsi="Calibri"/>
                <w:b/>
                <w:color w:val="000000"/>
                <w:sz w:val="16"/>
              </w:rPr>
              <w:t>LTV &gt; 100%</w:t>
            </w:r>
          </w:p>
        </w:tc>
        <w:tc>
          <w:tcPr>
            <w:tcW w:type="dxa" w:w="3456"/>
            <w:shd w:fill="F2F2F2" w:val="clear"/>
          </w:tcPr>
          <w:p>
            <w:pPr>
              <w:jc w:val="left"/>
            </w:pPr>
            <w:r/>
            <w:r>
              <w:rPr>
                <w:rFonts w:ascii="Calibri" w:hAnsi="Calibri"/>
                <w:b w:val="0"/>
                <w:color w:val="000000"/>
                <w:sz w:val="16"/>
              </w:rPr>
              <w:t>70% (Table 5 to §__.111; ERBA NPR p.692)</w:t>
            </w:r>
          </w:p>
        </w:tc>
        <w:tc>
          <w:tcPr>
            <w:tcW w:type="dxa" w:w="3456"/>
            <w:shd w:fill="F2F2F2" w:val="clear"/>
          </w:tcPr>
          <w:p>
            <w:pPr>
              <w:jc w:val="left"/>
            </w:pPr>
            <w:r/>
            <w:r>
              <w:rPr>
                <w:rFonts w:ascii="Calibri" w:hAnsi="Calibri"/>
                <w:b w:val="0"/>
                <w:color w:val="000000"/>
                <w:sz w:val="16"/>
              </w:rPr>
              <w:t>70% (PS1/26 Ch.4 Table 4.1)</w:t>
            </w:r>
          </w:p>
        </w:tc>
        <w:tc>
          <w:tcPr>
            <w:tcW w:type="dxa" w:w="3456"/>
            <w:shd w:fill="F2F2F2" w:val="clear"/>
          </w:tcPr>
          <w:p>
            <w:pPr>
              <w:jc w:val="left"/>
            </w:pPr>
            <w:r/>
            <w:r>
              <w:rPr>
                <w:rFonts w:ascii="Calibri" w:hAnsi="Calibri"/>
                <w:b w:val="0"/>
                <w:color w:val="000000"/>
                <w:sz w:val="16"/>
              </w:rPr>
              <w:t>60% (CRR3 Art 125(1) Table 1) - DIVERGENCE: EU 10pp lower</w:t>
            </w:r>
          </w:p>
        </w:tc>
      </w:tr>
    </w:tbl>
    <w:p>
      <w:r>
        <w:rPr>
          <w:rFonts w:ascii="Calibri" w:hAnsi="Calibri"/>
          <w:b/>
          <w:color w:val="002060"/>
          <w:sz w:val="22"/>
        </w:rPr>
        <w:t>5.2 Residential Mortgage - Cash-Flow Dependent</w:t>
      </w:r>
    </w:p>
    <w:p>
      <w:r>
        <w:rPr>
          <w:rFonts w:ascii="Calibri" w:hAnsi="Calibri"/>
          <w:color w:val="000000"/>
          <w:sz w:val="18"/>
        </w:rPr>
        <w:t>Cash-flow dependency: repayment materially depends on cash flows generated by the property rather than the borrower's other income sources.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Resi CF LTV Bands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LTV &lt;= 50%</w:t>
            </w:r>
          </w:p>
        </w:tc>
        <w:tc>
          <w:tcPr>
            <w:tcW w:type="dxa" w:w="3456"/>
            <w:shd w:fill="FFFFFF" w:val="clear"/>
          </w:tcPr>
          <w:p>
            <w:pPr>
              <w:jc w:val="left"/>
            </w:pPr>
            <w:r/>
            <w:r>
              <w:rPr>
                <w:rFonts w:ascii="Calibri" w:hAnsi="Calibri"/>
                <w:b w:val="0"/>
                <w:color w:val="000000"/>
                <w:sz w:val="16"/>
              </w:rPr>
              <w:t>30% (Table 6 to §__.111; ERBA NPR p.693)</w:t>
            </w:r>
          </w:p>
        </w:tc>
        <w:tc>
          <w:tcPr>
            <w:tcW w:type="dxa" w:w="3456"/>
            <w:shd w:fill="FFFFFF" w:val="clear"/>
          </w:tcPr>
          <w:p>
            <w:pPr>
              <w:jc w:val="left"/>
            </w:pPr>
            <w:r/>
            <w:r>
              <w:rPr>
                <w:rFonts w:ascii="Calibri" w:hAnsi="Calibri"/>
                <w:b w:val="0"/>
                <w:color w:val="000000"/>
                <w:sz w:val="16"/>
              </w:rPr>
              <w:t>30% (PS1/26 Ch.4 Table 4.2)</w:t>
            </w:r>
          </w:p>
        </w:tc>
        <w:tc>
          <w:tcPr>
            <w:tcW w:type="dxa" w:w="3456"/>
            <w:shd w:fill="FFFFFF" w:val="clear"/>
          </w:tcPr>
          <w:p>
            <w:pPr>
              <w:jc w:val="left"/>
            </w:pPr>
            <w:r/>
            <w:r>
              <w:rPr>
                <w:rFonts w:ascii="Calibri" w:hAnsi="Calibri"/>
                <w:b w:val="0"/>
                <w:color w:val="000000"/>
                <w:sz w:val="16"/>
              </w:rPr>
              <w:t>30% (CRR3 Art 125(2) Table 2)</w:t>
            </w:r>
          </w:p>
        </w:tc>
      </w:tr>
      <w:tr>
        <w:tc>
          <w:tcPr>
            <w:tcW w:type="dxa" w:w="3456"/>
            <w:shd w:fill="F2F2F2" w:val="clear"/>
          </w:tcPr>
          <w:p>
            <w:pPr>
              <w:jc w:val="left"/>
            </w:pPr>
            <w:r/>
            <w:r>
              <w:rPr>
                <w:rFonts w:ascii="Calibri" w:hAnsi="Calibri"/>
                <w:b/>
                <w:color w:val="000000"/>
                <w:sz w:val="16"/>
              </w:rPr>
              <w:t>50% &lt; LTV &lt;= 60%</w:t>
            </w:r>
          </w:p>
        </w:tc>
        <w:tc>
          <w:tcPr>
            <w:tcW w:type="dxa" w:w="3456"/>
            <w:shd w:fill="F2F2F2" w:val="clear"/>
          </w:tcPr>
          <w:p>
            <w:pPr>
              <w:jc w:val="left"/>
            </w:pPr>
            <w:r/>
            <w:r>
              <w:rPr>
                <w:rFonts w:ascii="Calibri" w:hAnsi="Calibri"/>
                <w:b w:val="0"/>
                <w:color w:val="000000"/>
                <w:sz w:val="16"/>
              </w:rPr>
              <w:t>35% (Table 6 to §__.111; ERBA NPR p.693)</w:t>
            </w:r>
          </w:p>
        </w:tc>
        <w:tc>
          <w:tcPr>
            <w:tcW w:type="dxa" w:w="3456"/>
            <w:shd w:fill="F2F2F2" w:val="clear"/>
          </w:tcPr>
          <w:p>
            <w:pPr>
              <w:jc w:val="left"/>
            </w:pPr>
            <w:r/>
            <w:r>
              <w:rPr>
                <w:rFonts w:ascii="Calibri" w:hAnsi="Calibri"/>
                <w:b w:val="0"/>
                <w:color w:val="000000"/>
                <w:sz w:val="16"/>
              </w:rPr>
              <w:t>35% (PS1/26 Ch.4 Table 4.2)</w:t>
            </w:r>
          </w:p>
        </w:tc>
        <w:tc>
          <w:tcPr>
            <w:tcW w:type="dxa" w:w="3456"/>
            <w:shd w:fill="F2F2F2" w:val="clear"/>
          </w:tcPr>
          <w:p>
            <w:pPr>
              <w:jc w:val="left"/>
            </w:pPr>
            <w:r/>
            <w:r>
              <w:rPr>
                <w:rFonts w:ascii="Calibri" w:hAnsi="Calibri"/>
                <w:b w:val="0"/>
                <w:color w:val="000000"/>
                <w:sz w:val="16"/>
              </w:rPr>
              <w:t>35% (CRR3 Art 125(2) Table 2)</w:t>
            </w:r>
          </w:p>
        </w:tc>
      </w:tr>
      <w:tr>
        <w:tc>
          <w:tcPr>
            <w:tcW w:type="dxa" w:w="3456"/>
            <w:shd w:fill="FFFFFF" w:val="clear"/>
          </w:tcPr>
          <w:p>
            <w:pPr>
              <w:jc w:val="left"/>
            </w:pPr>
            <w:r/>
            <w:r>
              <w:rPr>
                <w:rFonts w:ascii="Calibri" w:hAnsi="Calibri"/>
                <w:b/>
                <w:color w:val="000000"/>
                <w:sz w:val="16"/>
              </w:rPr>
              <w:t>60% &lt; LTV &lt;= 80%</w:t>
            </w:r>
          </w:p>
        </w:tc>
        <w:tc>
          <w:tcPr>
            <w:tcW w:type="dxa" w:w="3456"/>
            <w:shd w:fill="FFFFFF" w:val="clear"/>
          </w:tcPr>
          <w:p>
            <w:pPr>
              <w:jc w:val="left"/>
            </w:pPr>
            <w:r/>
            <w:r>
              <w:rPr>
                <w:rFonts w:ascii="Calibri" w:hAnsi="Calibri"/>
                <w:b w:val="0"/>
                <w:color w:val="000000"/>
                <w:sz w:val="16"/>
              </w:rPr>
              <w:t>45% (Table 6 to §__.111; ERBA NPR p.693)</w:t>
            </w:r>
          </w:p>
        </w:tc>
        <w:tc>
          <w:tcPr>
            <w:tcW w:type="dxa" w:w="3456"/>
            <w:shd w:fill="FFFFFF" w:val="clear"/>
          </w:tcPr>
          <w:p>
            <w:pPr>
              <w:jc w:val="left"/>
            </w:pPr>
            <w:r/>
            <w:r>
              <w:rPr>
                <w:rFonts w:ascii="Calibri" w:hAnsi="Calibri"/>
                <w:b w:val="0"/>
                <w:color w:val="000000"/>
                <w:sz w:val="16"/>
              </w:rPr>
              <w:t>45% (PS1/26 Ch.4 Table 4.2)</w:t>
            </w:r>
          </w:p>
        </w:tc>
        <w:tc>
          <w:tcPr>
            <w:tcW w:type="dxa" w:w="3456"/>
            <w:shd w:fill="FFFFFF" w:val="clear"/>
          </w:tcPr>
          <w:p>
            <w:pPr>
              <w:jc w:val="left"/>
            </w:pPr>
            <w:r/>
            <w:r>
              <w:rPr>
                <w:rFonts w:ascii="Calibri" w:hAnsi="Calibri"/>
                <w:b w:val="0"/>
                <w:color w:val="000000"/>
                <w:sz w:val="16"/>
              </w:rPr>
              <w:t>45% (CRR3 Art 125(2) Table 2)</w:t>
            </w:r>
          </w:p>
        </w:tc>
      </w:tr>
      <w:tr>
        <w:tc>
          <w:tcPr>
            <w:tcW w:type="dxa" w:w="3456"/>
            <w:shd w:fill="F2F2F2" w:val="clear"/>
          </w:tcPr>
          <w:p>
            <w:pPr>
              <w:jc w:val="left"/>
            </w:pPr>
            <w:r/>
            <w:r>
              <w:rPr>
                <w:rFonts w:ascii="Calibri" w:hAnsi="Calibri"/>
                <w:b/>
                <w:color w:val="000000"/>
                <w:sz w:val="16"/>
              </w:rPr>
              <w:t>80% &lt; LTV &lt;= 90%</w:t>
            </w:r>
          </w:p>
        </w:tc>
        <w:tc>
          <w:tcPr>
            <w:tcW w:type="dxa" w:w="3456"/>
            <w:shd w:fill="F2F2F2" w:val="clear"/>
          </w:tcPr>
          <w:p>
            <w:pPr>
              <w:jc w:val="left"/>
            </w:pPr>
            <w:r/>
            <w:r>
              <w:rPr>
                <w:rFonts w:ascii="Calibri" w:hAnsi="Calibri"/>
                <w:b w:val="0"/>
                <w:color w:val="000000"/>
                <w:sz w:val="16"/>
              </w:rPr>
              <w:t>60% (Table 6 to §__.111; ERBA NPR p.693)</w:t>
            </w:r>
          </w:p>
        </w:tc>
        <w:tc>
          <w:tcPr>
            <w:tcW w:type="dxa" w:w="3456"/>
            <w:shd w:fill="F2F2F2" w:val="clear"/>
          </w:tcPr>
          <w:p>
            <w:pPr>
              <w:jc w:val="left"/>
            </w:pPr>
            <w:r/>
            <w:r>
              <w:rPr>
                <w:rFonts w:ascii="Calibri" w:hAnsi="Calibri"/>
                <w:b w:val="0"/>
                <w:color w:val="000000"/>
                <w:sz w:val="16"/>
              </w:rPr>
              <w:t>60% (PS1/26 Ch.4 Table 4.2)</w:t>
            </w:r>
          </w:p>
        </w:tc>
        <w:tc>
          <w:tcPr>
            <w:tcW w:type="dxa" w:w="3456"/>
            <w:shd w:fill="F2F2F2" w:val="clear"/>
          </w:tcPr>
          <w:p>
            <w:pPr>
              <w:jc w:val="left"/>
            </w:pPr>
            <w:r/>
            <w:r>
              <w:rPr>
                <w:rFonts w:ascii="Calibri" w:hAnsi="Calibri"/>
                <w:b w:val="0"/>
                <w:color w:val="000000"/>
                <w:sz w:val="16"/>
              </w:rPr>
              <w:t>55% (CRR3 Art 125(2) Table 2) - DIVERGENCE</w:t>
            </w:r>
          </w:p>
        </w:tc>
      </w:tr>
      <w:tr>
        <w:tc>
          <w:tcPr>
            <w:tcW w:type="dxa" w:w="3456"/>
            <w:shd w:fill="FFFFFF" w:val="clear"/>
          </w:tcPr>
          <w:p>
            <w:pPr>
              <w:jc w:val="left"/>
            </w:pPr>
            <w:r/>
            <w:r>
              <w:rPr>
                <w:rFonts w:ascii="Calibri" w:hAnsi="Calibri"/>
                <w:b/>
                <w:color w:val="000000"/>
                <w:sz w:val="16"/>
              </w:rPr>
              <w:t>90% &lt; LTV &lt;= 100%</w:t>
            </w:r>
          </w:p>
        </w:tc>
        <w:tc>
          <w:tcPr>
            <w:tcW w:type="dxa" w:w="3456"/>
            <w:shd w:fill="FFFFFF" w:val="clear"/>
          </w:tcPr>
          <w:p>
            <w:pPr>
              <w:jc w:val="left"/>
            </w:pPr>
            <w:r/>
            <w:r>
              <w:rPr>
                <w:rFonts w:ascii="Calibri" w:hAnsi="Calibri"/>
                <w:b w:val="0"/>
                <w:color w:val="000000"/>
                <w:sz w:val="16"/>
              </w:rPr>
              <w:t>75% (Table 6 to §__.111; ERBA NPR p.693)</w:t>
            </w:r>
          </w:p>
        </w:tc>
        <w:tc>
          <w:tcPr>
            <w:tcW w:type="dxa" w:w="3456"/>
            <w:shd w:fill="FFFFFF" w:val="clear"/>
          </w:tcPr>
          <w:p>
            <w:pPr>
              <w:jc w:val="left"/>
            </w:pPr>
            <w:r/>
            <w:r>
              <w:rPr>
                <w:rFonts w:ascii="Calibri" w:hAnsi="Calibri"/>
                <w:b w:val="0"/>
                <w:color w:val="000000"/>
                <w:sz w:val="16"/>
              </w:rPr>
              <w:t>75% (PS1/26 Ch.4 Table 4.2)</w:t>
            </w:r>
          </w:p>
        </w:tc>
        <w:tc>
          <w:tcPr>
            <w:tcW w:type="dxa" w:w="3456"/>
            <w:shd w:fill="FFFFFF" w:val="clear"/>
          </w:tcPr>
          <w:p>
            <w:pPr>
              <w:jc w:val="left"/>
            </w:pPr>
            <w:r/>
            <w:r>
              <w:rPr>
                <w:rFonts w:ascii="Calibri" w:hAnsi="Calibri"/>
                <w:b w:val="0"/>
                <w:color w:val="000000"/>
                <w:sz w:val="16"/>
              </w:rPr>
              <w:t>70% (CRR3 Art 125(2) Table 2) - DIVERGENCE</w:t>
            </w:r>
          </w:p>
        </w:tc>
      </w:tr>
      <w:tr>
        <w:tc>
          <w:tcPr>
            <w:tcW w:type="dxa" w:w="3456"/>
            <w:shd w:fill="F2F2F2" w:val="clear"/>
          </w:tcPr>
          <w:p>
            <w:pPr>
              <w:jc w:val="left"/>
            </w:pPr>
            <w:r/>
            <w:r>
              <w:rPr>
                <w:rFonts w:ascii="Calibri" w:hAnsi="Calibri"/>
                <w:b/>
                <w:color w:val="000000"/>
                <w:sz w:val="16"/>
              </w:rPr>
              <w:t>LTV &gt; 100%</w:t>
            </w:r>
          </w:p>
        </w:tc>
        <w:tc>
          <w:tcPr>
            <w:tcW w:type="dxa" w:w="3456"/>
            <w:shd w:fill="F2F2F2" w:val="clear"/>
          </w:tcPr>
          <w:p>
            <w:pPr>
              <w:jc w:val="left"/>
            </w:pPr>
            <w:r/>
            <w:r>
              <w:rPr>
                <w:rFonts w:ascii="Calibri" w:hAnsi="Calibri"/>
                <w:b w:val="0"/>
                <w:color w:val="000000"/>
                <w:sz w:val="16"/>
              </w:rPr>
              <w:t>105% (Table 6 to §__.111; ERBA NPR p.693)</w:t>
            </w:r>
          </w:p>
        </w:tc>
        <w:tc>
          <w:tcPr>
            <w:tcW w:type="dxa" w:w="3456"/>
            <w:shd w:fill="F2F2F2" w:val="clear"/>
          </w:tcPr>
          <w:p>
            <w:pPr>
              <w:jc w:val="left"/>
            </w:pPr>
            <w:r/>
            <w:r>
              <w:rPr>
                <w:rFonts w:ascii="Calibri" w:hAnsi="Calibri"/>
                <w:b w:val="0"/>
                <w:color w:val="000000"/>
                <w:sz w:val="16"/>
              </w:rPr>
              <w:t>105% (PS1/26 Ch.4 Table 4.2)</w:t>
            </w:r>
          </w:p>
        </w:tc>
        <w:tc>
          <w:tcPr>
            <w:tcW w:type="dxa" w:w="3456"/>
            <w:shd w:fill="F2F2F2" w:val="clear"/>
          </w:tcPr>
          <w:p>
            <w:pPr>
              <w:jc w:val="left"/>
            </w:pPr>
            <w:r/>
            <w:r>
              <w:rPr>
                <w:rFonts w:ascii="Calibri" w:hAnsi="Calibri"/>
                <w:b w:val="0"/>
                <w:color w:val="000000"/>
                <w:sz w:val="16"/>
              </w:rPr>
              <w:t>90% (CRR3 Art 125(2) Table 2) - DIVERGENCE: EU 15pp lower</w:t>
            </w:r>
          </w:p>
        </w:tc>
      </w:tr>
    </w:tbl>
    <w:p>
      <w:r>
        <w:rPr>
          <w:rFonts w:ascii="Calibri" w:hAnsi="Calibri"/>
          <w:b/>
          <w:color w:val="002060"/>
          <w:sz w:val="22"/>
        </w:rPr>
        <w:t>5.3 Commercial Real Estate - Non-Cash-Flow Dependent</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CRE Non-CF LTV Bands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LTV &lt;= 60%</w:t>
            </w:r>
          </w:p>
        </w:tc>
        <w:tc>
          <w:tcPr>
            <w:tcW w:type="dxa" w:w="3456"/>
            <w:shd w:fill="FFFFFF" w:val="clear"/>
          </w:tcPr>
          <w:p>
            <w:pPr>
              <w:jc w:val="left"/>
            </w:pPr>
            <w:r/>
            <w:r>
              <w:rPr>
                <w:rFonts w:ascii="Calibri" w:hAnsi="Calibri"/>
                <w:b w:val="0"/>
                <w:color w:val="000000"/>
                <w:sz w:val="16"/>
              </w:rPr>
              <w:t>Lesser of 60% or obligor RW (Table 7 to §__.111; ERBA NPR P.75)</w:t>
            </w:r>
          </w:p>
        </w:tc>
        <w:tc>
          <w:tcPr>
            <w:tcW w:type="dxa" w:w="3456"/>
            <w:shd w:fill="FFFFFF" w:val="clear"/>
          </w:tcPr>
          <w:p>
            <w:pPr>
              <w:jc w:val="left"/>
            </w:pPr>
            <w:r/>
            <w:r>
              <w:rPr>
                <w:rFonts w:ascii="Calibri" w:hAnsi="Calibri"/>
                <w:b w:val="0"/>
                <w:color w:val="000000"/>
                <w:sz w:val="16"/>
              </w:rPr>
              <w:t>Min(70%, counterparty RW) (PS1/26 Ch.4 Table 4.3)</w:t>
            </w:r>
          </w:p>
        </w:tc>
        <w:tc>
          <w:tcPr>
            <w:tcW w:type="dxa" w:w="3456"/>
            <w:shd w:fill="FFFFFF" w:val="clear"/>
          </w:tcPr>
          <w:p>
            <w:pPr>
              <w:jc w:val="left"/>
            </w:pPr>
            <w:r/>
            <w:r>
              <w:rPr>
                <w:rFonts w:ascii="Calibri" w:hAnsi="Calibri"/>
                <w:b w:val="0"/>
                <w:color w:val="000000"/>
                <w:sz w:val="16"/>
              </w:rPr>
              <w:t>Min(60%, counterparty RW) (CRR3 Art 126(1) Table 3) - EU uses 60% not 70%</w:t>
            </w:r>
          </w:p>
        </w:tc>
      </w:tr>
      <w:tr>
        <w:tc>
          <w:tcPr>
            <w:tcW w:type="dxa" w:w="3456"/>
            <w:shd w:fill="F2F2F2" w:val="clear"/>
          </w:tcPr>
          <w:p>
            <w:pPr>
              <w:jc w:val="left"/>
            </w:pPr>
            <w:r/>
            <w:r>
              <w:rPr>
                <w:rFonts w:ascii="Calibri" w:hAnsi="Calibri"/>
                <w:b/>
                <w:color w:val="000000"/>
                <w:sz w:val="16"/>
              </w:rPr>
              <w:t>60% &lt; LTV &lt;= 80%</w:t>
            </w:r>
          </w:p>
        </w:tc>
        <w:tc>
          <w:tcPr>
            <w:tcW w:type="dxa" w:w="3456"/>
            <w:shd w:fill="F2F2F2" w:val="clear"/>
          </w:tcPr>
          <w:p>
            <w:pPr>
              <w:jc w:val="left"/>
            </w:pPr>
            <w:r/>
            <w:r>
              <w:rPr>
                <w:rFonts w:ascii="Calibri" w:hAnsi="Calibri"/>
                <w:b w:val="0"/>
                <w:color w:val="000000"/>
                <w:sz w:val="16"/>
              </w:rPr>
              <w:t>Obligor RW applies (100% if insufficient information to determine obligor RW) (Table 7 to §__.111; ERBA NPR P.74)</w:t>
            </w:r>
          </w:p>
        </w:tc>
        <w:tc>
          <w:tcPr>
            <w:tcW w:type="dxa" w:w="3456"/>
            <w:shd w:fill="F2F2F2" w:val="clear"/>
          </w:tcPr>
          <w:p>
            <w:pPr>
              <w:jc w:val="left"/>
            </w:pPr>
            <w:r/>
            <w:r>
              <w:rPr>
                <w:rFonts w:ascii="Calibri" w:hAnsi="Calibri"/>
                <w:b w:val="0"/>
                <w:color w:val="000000"/>
                <w:sz w:val="16"/>
              </w:rPr>
              <w:t>Counterparty RW applies (PS1/26 Ch.4 Table 4.3)</w:t>
            </w:r>
          </w:p>
        </w:tc>
        <w:tc>
          <w:tcPr>
            <w:tcW w:type="dxa" w:w="3456"/>
            <w:shd w:fill="F2F2F2" w:val="clear"/>
          </w:tcPr>
          <w:p>
            <w:pPr>
              <w:jc w:val="left"/>
            </w:pPr>
            <w:r/>
            <w:r>
              <w:rPr>
                <w:rFonts w:ascii="Calibri" w:hAnsi="Calibri"/>
                <w:b w:val="0"/>
                <w:color w:val="000000"/>
                <w:sz w:val="16"/>
              </w:rPr>
              <w:t>Counterparty RW applies (CRR3 Art 126(1) Table 3)</w:t>
            </w:r>
          </w:p>
        </w:tc>
      </w:tr>
      <w:tr>
        <w:tc>
          <w:tcPr>
            <w:tcW w:type="dxa" w:w="3456"/>
            <w:shd w:fill="FFFFFF" w:val="clear"/>
          </w:tcPr>
          <w:p>
            <w:pPr>
              <w:jc w:val="left"/>
            </w:pPr>
            <w:r/>
            <w:r>
              <w:rPr>
                <w:rFonts w:ascii="Calibri" w:hAnsi="Calibri"/>
                <w:b/>
                <w:color w:val="000000"/>
                <w:sz w:val="16"/>
              </w:rPr>
              <w:t>LTV &gt; 80%</w:t>
            </w:r>
          </w:p>
        </w:tc>
        <w:tc>
          <w:tcPr>
            <w:tcW w:type="dxa" w:w="3456"/>
            <w:shd w:fill="FFFFFF" w:val="clear"/>
          </w:tcPr>
          <w:p>
            <w:pPr>
              <w:jc w:val="left"/>
            </w:pPr>
            <w:r/>
            <w:r>
              <w:rPr>
                <w:rFonts w:ascii="Calibri" w:hAnsi="Calibri"/>
                <w:b w:val="0"/>
                <w:color w:val="000000"/>
                <w:sz w:val="16"/>
              </w:rPr>
              <w:t>Obligor RW applies (100% if unknown; 150% if 90+ days past due) (Table 7 to §__.111)</w:t>
            </w:r>
          </w:p>
        </w:tc>
        <w:tc>
          <w:tcPr>
            <w:tcW w:type="dxa" w:w="3456"/>
            <w:shd w:fill="FFFFFF" w:val="clear"/>
          </w:tcPr>
          <w:p>
            <w:pPr>
              <w:jc w:val="left"/>
            </w:pPr>
            <w:r/>
            <w:r>
              <w:rPr>
                <w:rFonts w:ascii="Calibri" w:hAnsi="Calibri"/>
                <w:b w:val="0"/>
                <w:color w:val="000000"/>
                <w:sz w:val="16"/>
              </w:rPr>
              <w:t>Counterparty RW applies (PS1/26 Ch.4 Table 4.3)</w:t>
            </w:r>
          </w:p>
        </w:tc>
        <w:tc>
          <w:tcPr>
            <w:tcW w:type="dxa" w:w="3456"/>
            <w:shd w:fill="FFFFFF" w:val="clear"/>
          </w:tcPr>
          <w:p>
            <w:pPr>
              <w:jc w:val="left"/>
            </w:pPr>
            <w:r/>
            <w:r>
              <w:rPr>
                <w:rFonts w:ascii="Calibri" w:hAnsi="Calibri"/>
                <w:b w:val="0"/>
                <w:color w:val="000000"/>
                <w:sz w:val="16"/>
              </w:rPr>
              <w:t>Counterparty RW applies (CRR3 Art 126(1) Table 3)</w:t>
            </w:r>
          </w:p>
        </w:tc>
      </w:tr>
    </w:tbl>
    <w:p>
      <w:r>
        <w:rPr>
          <w:rFonts w:ascii="Calibri" w:hAnsi="Calibri"/>
          <w:b/>
          <w:color w:val="002060"/>
          <w:sz w:val="22"/>
        </w:rPr>
        <w:t>5.4 Commercial Real Estate - Cash-Flow Dependent</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CRE CF LTV Bands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LTV &lt;= 60%</w:t>
            </w:r>
          </w:p>
        </w:tc>
        <w:tc>
          <w:tcPr>
            <w:tcW w:type="dxa" w:w="3456"/>
            <w:shd w:fill="FFFFFF" w:val="clear"/>
          </w:tcPr>
          <w:p>
            <w:pPr>
              <w:jc w:val="left"/>
            </w:pPr>
            <w:r/>
            <w:r>
              <w:rPr>
                <w:rFonts w:ascii="Calibri" w:hAnsi="Calibri"/>
                <w:b w:val="0"/>
                <w:color w:val="000000"/>
                <w:sz w:val="16"/>
              </w:rPr>
              <w:t>70% (Table 8 to §__.111; ERBA NPR P.75)</w:t>
            </w:r>
          </w:p>
        </w:tc>
        <w:tc>
          <w:tcPr>
            <w:tcW w:type="dxa" w:w="3456"/>
            <w:shd w:fill="FFFFFF" w:val="clear"/>
          </w:tcPr>
          <w:p>
            <w:pPr>
              <w:jc w:val="left"/>
            </w:pPr>
            <w:r/>
            <w:r>
              <w:rPr>
                <w:rFonts w:ascii="Calibri" w:hAnsi="Calibri"/>
                <w:b w:val="0"/>
                <w:color w:val="000000"/>
                <w:sz w:val="16"/>
              </w:rPr>
              <w:t>70% (PS1/26 Ch.4 Table 4.4)</w:t>
            </w:r>
          </w:p>
        </w:tc>
        <w:tc>
          <w:tcPr>
            <w:tcW w:type="dxa" w:w="3456"/>
            <w:shd w:fill="FFFFFF" w:val="clear"/>
          </w:tcPr>
          <w:p>
            <w:pPr>
              <w:jc w:val="left"/>
            </w:pPr>
            <w:r/>
            <w:r>
              <w:rPr>
                <w:rFonts w:ascii="Calibri" w:hAnsi="Calibri"/>
                <w:b w:val="0"/>
                <w:color w:val="000000"/>
                <w:sz w:val="16"/>
              </w:rPr>
              <w:t>70% (CRR3 Art 126(2) Table 4)</w:t>
            </w:r>
          </w:p>
        </w:tc>
      </w:tr>
      <w:tr>
        <w:tc>
          <w:tcPr>
            <w:tcW w:type="dxa" w:w="3456"/>
            <w:shd w:fill="F2F2F2" w:val="clear"/>
          </w:tcPr>
          <w:p>
            <w:pPr>
              <w:jc w:val="left"/>
            </w:pPr>
            <w:r/>
            <w:r>
              <w:rPr>
                <w:rFonts w:ascii="Calibri" w:hAnsi="Calibri"/>
                <w:b/>
                <w:color w:val="000000"/>
                <w:sz w:val="16"/>
              </w:rPr>
              <w:t>60% &lt; LTV &lt;= 80%</w:t>
            </w:r>
          </w:p>
        </w:tc>
        <w:tc>
          <w:tcPr>
            <w:tcW w:type="dxa" w:w="3456"/>
            <w:shd w:fill="F2F2F2" w:val="clear"/>
          </w:tcPr>
          <w:p>
            <w:pPr>
              <w:jc w:val="left"/>
            </w:pPr>
            <w:r/>
            <w:r>
              <w:rPr>
                <w:rFonts w:ascii="Calibri" w:hAnsi="Calibri"/>
                <w:b w:val="0"/>
                <w:color w:val="000000"/>
                <w:sz w:val="16"/>
              </w:rPr>
              <w:t>90% (Table 8 to §__.111)</w:t>
            </w:r>
          </w:p>
        </w:tc>
        <w:tc>
          <w:tcPr>
            <w:tcW w:type="dxa" w:w="3456"/>
            <w:shd w:fill="F2F2F2" w:val="clear"/>
          </w:tcPr>
          <w:p>
            <w:pPr>
              <w:jc w:val="left"/>
            </w:pPr>
            <w:r/>
            <w:r>
              <w:rPr>
                <w:rFonts w:ascii="Calibri" w:hAnsi="Calibri"/>
                <w:b w:val="0"/>
                <w:color w:val="000000"/>
                <w:sz w:val="16"/>
              </w:rPr>
              <w:t>90% (PS1/26 Ch.4 Table 4.4)</w:t>
            </w:r>
          </w:p>
        </w:tc>
        <w:tc>
          <w:tcPr>
            <w:tcW w:type="dxa" w:w="3456"/>
            <w:shd w:fill="F2F2F2" w:val="clear"/>
          </w:tcPr>
          <w:p>
            <w:pPr>
              <w:jc w:val="left"/>
            </w:pPr>
            <w:r/>
            <w:r>
              <w:rPr>
                <w:rFonts w:ascii="Calibri" w:hAnsi="Calibri"/>
                <w:b w:val="0"/>
                <w:color w:val="000000"/>
                <w:sz w:val="16"/>
              </w:rPr>
              <w:t>90% (CRR3 Art 126(2) Table 4)</w:t>
            </w:r>
          </w:p>
        </w:tc>
      </w:tr>
      <w:tr>
        <w:tc>
          <w:tcPr>
            <w:tcW w:type="dxa" w:w="3456"/>
            <w:shd w:fill="FFFFFF" w:val="clear"/>
          </w:tcPr>
          <w:p>
            <w:pPr>
              <w:jc w:val="left"/>
            </w:pPr>
            <w:r/>
            <w:r>
              <w:rPr>
                <w:rFonts w:ascii="Calibri" w:hAnsi="Calibri"/>
                <w:b/>
                <w:color w:val="000000"/>
                <w:sz w:val="16"/>
              </w:rPr>
              <w:t>80% &lt; LTV &lt;= 90%</w:t>
            </w:r>
          </w:p>
        </w:tc>
        <w:tc>
          <w:tcPr>
            <w:tcW w:type="dxa" w:w="3456"/>
            <w:shd w:fill="FFFFFF" w:val="clear"/>
          </w:tcPr>
          <w:p>
            <w:pPr>
              <w:jc w:val="left"/>
            </w:pPr>
            <w:r/>
            <w:r>
              <w:rPr>
                <w:rFonts w:ascii="Calibri" w:hAnsi="Calibri"/>
                <w:b w:val="0"/>
                <w:color w:val="000000"/>
                <w:sz w:val="16"/>
              </w:rPr>
              <w:t>110% (US Table 8 has a single '&gt; 80%' band at 110%)</w:t>
            </w:r>
          </w:p>
        </w:tc>
        <w:tc>
          <w:tcPr>
            <w:tcW w:type="dxa" w:w="3456"/>
            <w:shd w:fill="FFFFFF" w:val="clear"/>
          </w:tcPr>
          <w:p>
            <w:pPr>
              <w:jc w:val="left"/>
            </w:pPr>
            <w:r/>
            <w:r>
              <w:rPr>
                <w:rFonts w:ascii="Calibri" w:hAnsi="Calibri"/>
                <w:b w:val="0"/>
                <w:color w:val="000000"/>
                <w:sz w:val="16"/>
              </w:rPr>
              <w:t>110% (PS1/26 Ch.4 Table 4.4)</w:t>
            </w:r>
          </w:p>
        </w:tc>
        <w:tc>
          <w:tcPr>
            <w:tcW w:type="dxa" w:w="3456"/>
            <w:shd w:fill="FFFFFF" w:val="clear"/>
          </w:tcPr>
          <w:p>
            <w:pPr>
              <w:jc w:val="left"/>
            </w:pPr>
            <w:r/>
            <w:r>
              <w:rPr>
                <w:rFonts w:ascii="Calibri" w:hAnsi="Calibri"/>
                <w:b w:val="0"/>
                <w:color w:val="000000"/>
                <w:sz w:val="16"/>
              </w:rPr>
              <w:t>110% (CRR3 Art 126(2) Table 4)</w:t>
            </w:r>
          </w:p>
        </w:tc>
      </w:tr>
      <w:tr>
        <w:tc>
          <w:tcPr>
            <w:tcW w:type="dxa" w:w="3456"/>
            <w:shd w:fill="F2F2F2" w:val="clear"/>
          </w:tcPr>
          <w:p>
            <w:pPr>
              <w:jc w:val="left"/>
            </w:pPr>
            <w:r/>
            <w:r>
              <w:rPr>
                <w:rFonts w:ascii="Calibri" w:hAnsi="Calibri"/>
                <w:b/>
                <w:color w:val="000000"/>
                <w:sz w:val="16"/>
              </w:rPr>
              <w:t>90% &lt; LTV &lt;= 100%</w:t>
            </w:r>
          </w:p>
        </w:tc>
        <w:tc>
          <w:tcPr>
            <w:tcW w:type="dxa" w:w="3456"/>
            <w:shd w:fill="F2F2F2" w:val="clear"/>
          </w:tcPr>
          <w:p>
            <w:pPr>
              <w:jc w:val="left"/>
            </w:pPr>
            <w:r/>
            <w:r>
              <w:rPr>
                <w:rFonts w:ascii="Calibri" w:hAnsi="Calibri"/>
                <w:b w:val="0"/>
                <w:color w:val="000000"/>
                <w:sz w:val="16"/>
              </w:rPr>
              <w:t>110% (single '&gt; 80%' band; no 130% tier in US) (Table 8 to §__.111)</w:t>
            </w:r>
          </w:p>
        </w:tc>
        <w:tc>
          <w:tcPr>
            <w:tcW w:type="dxa" w:w="3456"/>
            <w:shd w:fill="F2F2F2" w:val="clear"/>
          </w:tcPr>
          <w:p>
            <w:pPr>
              <w:jc w:val="left"/>
            </w:pPr>
            <w:r/>
            <w:r>
              <w:rPr>
                <w:rFonts w:ascii="Calibri" w:hAnsi="Calibri"/>
                <w:b w:val="0"/>
                <w:color w:val="000000"/>
                <w:sz w:val="16"/>
              </w:rPr>
              <w:t>130% (PS1/26 Ch.4 Table 4.4)</w:t>
            </w:r>
          </w:p>
        </w:tc>
        <w:tc>
          <w:tcPr>
            <w:tcW w:type="dxa" w:w="3456"/>
            <w:shd w:fill="F2F2F2" w:val="clear"/>
          </w:tcPr>
          <w:p>
            <w:pPr>
              <w:jc w:val="left"/>
            </w:pPr>
            <w:r/>
            <w:r>
              <w:rPr>
                <w:rFonts w:ascii="Calibri" w:hAnsi="Calibri"/>
                <w:b w:val="0"/>
                <w:color w:val="000000"/>
                <w:sz w:val="16"/>
              </w:rPr>
              <w:t>130% (CRR3 Art 126(2) Table 4)</w:t>
            </w:r>
          </w:p>
        </w:tc>
      </w:tr>
      <w:tr>
        <w:tc>
          <w:tcPr>
            <w:tcW w:type="dxa" w:w="3456"/>
            <w:shd w:fill="FFFFFF" w:val="clear"/>
          </w:tcPr>
          <w:p>
            <w:pPr>
              <w:jc w:val="left"/>
            </w:pPr>
            <w:r/>
            <w:r>
              <w:rPr>
                <w:rFonts w:ascii="Calibri" w:hAnsi="Calibri"/>
                <w:b/>
                <w:color w:val="000000"/>
                <w:sz w:val="16"/>
              </w:rPr>
              <w:t>LTV &gt; 100%</w:t>
            </w:r>
          </w:p>
        </w:tc>
        <w:tc>
          <w:tcPr>
            <w:tcW w:type="dxa" w:w="3456"/>
            <w:shd w:fill="FFFFFF" w:val="clear"/>
          </w:tcPr>
          <w:p>
            <w:pPr>
              <w:jc w:val="left"/>
            </w:pPr>
            <w:r/>
            <w:r>
              <w:rPr>
                <w:rFonts w:ascii="Calibri" w:hAnsi="Calibri"/>
                <w:b w:val="0"/>
                <w:color w:val="000000"/>
                <w:sz w:val="16"/>
              </w:rPr>
              <w:t>110% (single '&gt; 80%' band; no 150% tier in US; 150% only if 90+ days past due) (Table 8 to §__.111)</w:t>
            </w:r>
          </w:p>
        </w:tc>
        <w:tc>
          <w:tcPr>
            <w:tcW w:type="dxa" w:w="3456"/>
            <w:shd w:fill="FFFFFF" w:val="clear"/>
          </w:tcPr>
          <w:p>
            <w:pPr>
              <w:jc w:val="left"/>
            </w:pPr>
            <w:r/>
            <w:r>
              <w:rPr>
                <w:rFonts w:ascii="Calibri" w:hAnsi="Calibri"/>
                <w:b w:val="0"/>
                <w:color w:val="000000"/>
                <w:sz w:val="16"/>
              </w:rPr>
              <w:t>150% (PS1/26 Ch.4 Table 4.4)</w:t>
            </w:r>
          </w:p>
        </w:tc>
        <w:tc>
          <w:tcPr>
            <w:tcW w:type="dxa" w:w="3456"/>
            <w:shd w:fill="FFFFFF" w:val="clear"/>
          </w:tcPr>
          <w:p>
            <w:pPr>
              <w:jc w:val="left"/>
            </w:pPr>
            <w:r/>
            <w:r>
              <w:rPr>
                <w:rFonts w:ascii="Calibri" w:hAnsi="Calibri"/>
                <w:b w:val="0"/>
                <w:color w:val="000000"/>
                <w:sz w:val="16"/>
              </w:rPr>
              <w:t>150% (CRR3 Art 126(2) Table 4)</w:t>
            </w:r>
          </w:p>
        </w:tc>
      </w:tr>
    </w:tbl>
    <w:p>
      <w:r>
        <w:rPr>
          <w:rFonts w:ascii="Calibri" w:hAnsi="Calibri"/>
          <w:b/>
          <w:color w:val="002060"/>
          <w:sz w:val="22"/>
        </w:rPr>
        <w:t>5.5 Loan-Splitting Approach</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Splitting Available</w:t>
            </w:r>
          </w:p>
        </w:tc>
        <w:tc>
          <w:tcPr>
            <w:tcW w:type="dxa" w:w="3456"/>
            <w:shd w:fill="F2F2F2" w:val="clear"/>
          </w:tcPr>
          <w:p>
            <w:pPr>
              <w:jc w:val="left"/>
            </w:pPr>
            <w:r/>
            <w:r>
              <w:rPr>
                <w:rFonts w:ascii="Calibri" w:hAnsi="Calibri"/>
                <w:b w:val="0"/>
                <w:color w:val="000000"/>
                <w:sz w:val="16"/>
              </w:rPr>
              <w:t>NO - the US proposal provides only the whole-loan LTV approach (Tables 5-8 to §__.111); no loan-splitting option appears in §__.111</w:t>
            </w:r>
          </w:p>
        </w:tc>
        <w:tc>
          <w:tcPr>
            <w:tcW w:type="dxa" w:w="3456"/>
            <w:shd w:fill="F2F2F2" w:val="clear"/>
          </w:tcPr>
          <w:p>
            <w:pPr>
              <w:jc w:val="left"/>
            </w:pPr>
            <w:r/>
            <w:r>
              <w:rPr>
                <w:rFonts w:ascii="Calibri" w:hAnsi="Calibri"/>
                <w:b w:val="0"/>
                <w:color w:val="000000"/>
                <w:sz w:val="16"/>
              </w:rPr>
              <w:t>Yes (PS1/26 Ch.4.3). Banks may choose per portfolio</w:t>
            </w:r>
          </w:p>
        </w:tc>
        <w:tc>
          <w:tcPr>
            <w:tcW w:type="dxa" w:w="3456"/>
            <w:shd w:fill="F2F2F2" w:val="clear"/>
          </w:tcPr>
          <w:p>
            <w:pPr>
              <w:jc w:val="left"/>
            </w:pPr>
            <w:r/>
            <w:r>
              <w:rPr>
                <w:rFonts w:ascii="Calibri" w:hAnsi="Calibri"/>
                <w:b w:val="0"/>
                <w:color w:val="000000"/>
                <w:sz w:val="16"/>
              </w:rPr>
              <w:t>Yes (CRR3 Art 124(1)). Member State discretion may apply</w:t>
            </w:r>
          </w:p>
        </w:tc>
      </w:tr>
      <w:tr>
        <w:tc>
          <w:tcPr>
            <w:tcW w:type="dxa" w:w="3456"/>
            <w:shd w:fill="FFFFFF" w:val="clear"/>
          </w:tcPr>
          <w:p>
            <w:pPr>
              <w:jc w:val="left"/>
            </w:pPr>
            <w:r/>
            <w:r>
              <w:rPr>
                <w:rFonts w:ascii="Calibri" w:hAnsi="Calibri"/>
                <w:b/>
                <w:color w:val="000000"/>
                <w:sz w:val="16"/>
              </w:rPr>
              <w:t>Secured Portion LTV</w:t>
            </w:r>
          </w:p>
        </w:tc>
        <w:tc>
          <w:tcPr>
            <w:tcW w:type="dxa" w:w="3456"/>
            <w:shd w:fill="FFFFFF" w:val="clear"/>
          </w:tcPr>
          <w:p>
            <w:pPr>
              <w:jc w:val="left"/>
            </w:pPr>
            <w:r/>
            <w:r>
              <w:rPr>
                <w:rFonts w:ascii="Calibri" w:hAnsi="Calibri"/>
                <w:b w:val="0"/>
                <w:color w:val="000000"/>
                <w:sz w:val="16"/>
              </w:rPr>
              <w:t>N/A (whole-loan approach only)</w:t>
            </w:r>
          </w:p>
        </w:tc>
        <w:tc>
          <w:tcPr>
            <w:tcW w:type="dxa" w:w="3456"/>
            <w:shd w:fill="FFFFFF" w:val="clear"/>
          </w:tcPr>
          <w:p>
            <w:pPr>
              <w:jc w:val="left"/>
            </w:pPr>
            <w:r/>
            <w:r>
              <w:rPr>
                <w:rFonts w:ascii="Calibri" w:hAnsi="Calibri"/>
                <w:b w:val="0"/>
                <w:color w:val="000000"/>
                <w:sz w:val="16"/>
              </w:rPr>
              <w:t>55% resi / 60% CRE (PS1/26 Ch.4.3)</w:t>
            </w:r>
          </w:p>
        </w:tc>
        <w:tc>
          <w:tcPr>
            <w:tcW w:type="dxa" w:w="3456"/>
            <w:shd w:fill="FFFFFF" w:val="clear"/>
          </w:tcPr>
          <w:p>
            <w:pPr>
              <w:jc w:val="left"/>
            </w:pPr>
            <w:r/>
            <w:r>
              <w:rPr>
                <w:rFonts w:ascii="Calibri" w:hAnsi="Calibri"/>
                <w:b w:val="0"/>
                <w:color w:val="000000"/>
                <w:sz w:val="16"/>
              </w:rPr>
              <w:t>55% resi / 60% CRE (CRR3 Art 124(3))</w:t>
            </w:r>
          </w:p>
        </w:tc>
      </w:tr>
      <w:tr>
        <w:tc>
          <w:tcPr>
            <w:tcW w:type="dxa" w:w="3456"/>
            <w:shd w:fill="F2F2F2" w:val="clear"/>
          </w:tcPr>
          <w:p>
            <w:pPr>
              <w:jc w:val="left"/>
            </w:pPr>
            <w:r/>
            <w:r>
              <w:rPr>
                <w:rFonts w:ascii="Calibri" w:hAnsi="Calibri"/>
                <w:b/>
                <w:color w:val="000000"/>
                <w:sz w:val="16"/>
              </w:rPr>
              <w:t>Secured Portion RW</w:t>
            </w:r>
          </w:p>
        </w:tc>
        <w:tc>
          <w:tcPr>
            <w:tcW w:type="dxa" w:w="3456"/>
            <w:shd w:fill="F2F2F2" w:val="clear"/>
          </w:tcPr>
          <w:p>
            <w:pPr>
              <w:jc w:val="left"/>
            </w:pPr>
            <w:r/>
            <w:r>
              <w:rPr>
                <w:rFonts w:ascii="Calibri" w:hAnsi="Calibri"/>
                <w:b w:val="0"/>
                <w:color w:val="000000"/>
                <w:sz w:val="16"/>
              </w:rPr>
              <w:t>N/A (whole-loan approach only)</w:t>
            </w:r>
          </w:p>
        </w:tc>
        <w:tc>
          <w:tcPr>
            <w:tcW w:type="dxa" w:w="3456"/>
            <w:shd w:fill="F2F2F2" w:val="clear"/>
          </w:tcPr>
          <w:p>
            <w:pPr>
              <w:jc w:val="left"/>
            </w:pPr>
            <w:r/>
            <w:r>
              <w:rPr>
                <w:rFonts w:ascii="Calibri" w:hAnsi="Calibri"/>
                <w:b w:val="0"/>
                <w:color w:val="000000"/>
                <w:sz w:val="16"/>
              </w:rPr>
              <w:t>Same mechanics (PS1/26 Ch.4.3)</w:t>
            </w:r>
          </w:p>
        </w:tc>
        <w:tc>
          <w:tcPr>
            <w:tcW w:type="dxa" w:w="3456"/>
            <w:shd w:fill="F2F2F2" w:val="clear"/>
          </w:tcPr>
          <w:p>
            <w:pPr>
              <w:jc w:val="left"/>
            </w:pPr>
            <w:r/>
            <w:r>
              <w:rPr>
                <w:rFonts w:ascii="Calibri" w:hAnsi="Calibri"/>
                <w:b w:val="0"/>
                <w:color w:val="000000"/>
                <w:sz w:val="16"/>
              </w:rPr>
              <w:t>Same mechanics (CRR3 Art 124(3))</w:t>
            </w:r>
          </w:p>
        </w:tc>
      </w:tr>
      <w:tr>
        <w:tc>
          <w:tcPr>
            <w:tcW w:type="dxa" w:w="3456"/>
            <w:shd w:fill="FFFFFF" w:val="clear"/>
          </w:tcPr>
          <w:p>
            <w:pPr>
              <w:jc w:val="left"/>
            </w:pPr>
            <w:r/>
            <w:r>
              <w:rPr>
                <w:rFonts w:ascii="Calibri" w:hAnsi="Calibri"/>
                <w:b/>
                <w:color w:val="000000"/>
                <w:sz w:val="16"/>
              </w:rPr>
              <w:t>Unsecured Portion RW</w:t>
            </w:r>
          </w:p>
        </w:tc>
        <w:tc>
          <w:tcPr>
            <w:tcW w:type="dxa" w:w="3456"/>
            <w:shd w:fill="FFFFFF" w:val="clear"/>
          </w:tcPr>
          <w:p>
            <w:pPr>
              <w:jc w:val="left"/>
            </w:pPr>
            <w:r/>
            <w:r>
              <w:rPr>
                <w:rFonts w:ascii="Calibri" w:hAnsi="Calibri"/>
                <w:b w:val="0"/>
                <w:color w:val="000000"/>
                <w:sz w:val="16"/>
              </w:rPr>
              <w:t>N/A; LTV includes undrawn committed amounts and is based on origination value (ERBA NPR P.67-69)</w:t>
            </w:r>
          </w:p>
        </w:tc>
        <w:tc>
          <w:tcPr>
            <w:tcW w:type="dxa" w:w="3456"/>
            <w:shd w:fill="FFFFFF" w:val="clear"/>
          </w:tcPr>
          <w:p>
            <w:pPr>
              <w:jc w:val="left"/>
            </w:pPr>
            <w:r/>
            <w:r>
              <w:rPr>
                <w:rFonts w:ascii="Calibri" w:hAnsi="Calibri"/>
                <w:b w:val="0"/>
                <w:color w:val="000000"/>
                <w:sz w:val="16"/>
              </w:rPr>
              <w:t>Counterparty risk weight (PS1/26 Ch.4.3)</w:t>
            </w:r>
          </w:p>
        </w:tc>
        <w:tc>
          <w:tcPr>
            <w:tcW w:type="dxa" w:w="3456"/>
            <w:shd w:fill="FFFFFF" w:val="clear"/>
          </w:tcPr>
          <w:p>
            <w:pPr>
              <w:jc w:val="left"/>
            </w:pPr>
            <w:r/>
            <w:r>
              <w:rPr>
                <w:rFonts w:ascii="Calibri" w:hAnsi="Calibri"/>
                <w:b w:val="0"/>
                <w:color w:val="000000"/>
                <w:sz w:val="16"/>
              </w:rPr>
              <w:t>Counterparty risk weight (CRR3 Art 124(4))</w:t>
            </w:r>
          </w:p>
        </w:tc>
      </w:tr>
    </w:tbl>
    <w:p>
      <w:r>
        <w:rPr>
          <w:rFonts w:ascii="Calibri" w:hAnsi="Calibri"/>
          <w:b/>
          <w:color w:val="002060"/>
          <w:sz w:val="22"/>
        </w:rPr>
        <w:t>5.6 ADC Exposures &amp; Valuation Methodology</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ADC (Acq/Dev/Const)</w:t>
            </w:r>
          </w:p>
        </w:tc>
        <w:tc>
          <w:tcPr>
            <w:tcW w:type="dxa" w:w="3456"/>
            <w:shd w:fill="F2F2F2" w:val="clear"/>
          </w:tcPr>
          <w:p>
            <w:pPr>
              <w:jc w:val="left"/>
            </w:pPr>
            <w:r/>
            <w:r>
              <w:rPr>
                <w:rFonts w:ascii="Calibri" w:hAnsi="Calibri"/>
                <w:b w:val="0"/>
                <w:color w:val="000000"/>
                <w:sz w:val="16"/>
              </w:rPr>
              <w:t>HVCRE exposures 150% (statutory definition retained); ADC exposures that are not HVCRE: 100% with no LTV or cash-flow test (ERBA NPR §__.111; P.76)</w:t>
            </w:r>
          </w:p>
        </w:tc>
        <w:tc>
          <w:tcPr>
            <w:tcW w:type="dxa" w:w="3456"/>
            <w:shd w:fill="F2F2F2" w:val="clear"/>
          </w:tcPr>
          <w:p>
            <w:pPr>
              <w:jc w:val="left"/>
            </w:pPr>
            <w:r/>
            <w:r>
              <w:rPr>
                <w:rFonts w:ascii="Calibri" w:hAnsi="Calibri"/>
                <w:b w:val="0"/>
                <w:color w:val="000000"/>
                <w:sz w:val="16"/>
              </w:rPr>
              <w:t>150% unless pre-sold or substantial equity (PS1/26 Ch.4.4)</w:t>
            </w:r>
          </w:p>
        </w:tc>
        <w:tc>
          <w:tcPr>
            <w:tcW w:type="dxa" w:w="3456"/>
            <w:shd w:fill="F2F2F2" w:val="clear"/>
          </w:tcPr>
          <w:p>
            <w:pPr>
              <w:jc w:val="left"/>
            </w:pPr>
            <w:r/>
            <w:r>
              <w:rPr>
                <w:rFonts w:ascii="Calibri" w:hAnsi="Calibri"/>
                <w:b w:val="0"/>
                <w:color w:val="000000"/>
                <w:sz w:val="16"/>
              </w:rPr>
              <w:t>150% standard (CRR3 Art 126a(1))</w:t>
            </w:r>
          </w:p>
        </w:tc>
      </w:tr>
      <w:tr>
        <w:tc>
          <w:tcPr>
            <w:tcW w:type="dxa" w:w="3456"/>
            <w:shd w:fill="FFFFFF" w:val="clear"/>
          </w:tcPr>
          <w:p>
            <w:pPr>
              <w:jc w:val="left"/>
            </w:pPr>
            <w:r/>
            <w:r>
              <w:rPr>
                <w:rFonts w:ascii="Calibri" w:hAnsi="Calibri"/>
                <w:b/>
                <w:color w:val="000000"/>
                <w:sz w:val="16"/>
              </w:rPr>
              <w:t>ADC Reduced RW</w:t>
            </w:r>
          </w:p>
        </w:tc>
        <w:tc>
          <w:tcPr>
            <w:tcW w:type="dxa" w:w="3456"/>
            <w:shd w:fill="FFFFFF" w:val="clear"/>
          </w:tcPr>
          <w:p>
            <w:pPr>
              <w:jc w:val="left"/>
            </w:pPr>
            <w:r/>
            <w:r>
              <w:rPr>
                <w:rFonts w:ascii="Calibri" w:hAnsi="Calibri"/>
                <w:b w:val="0"/>
                <w:color w:val="000000"/>
                <w:sz w:val="16"/>
              </w:rPr>
              <w:t>100% for non-HVCRE ADC; 50% for qualifying pre-sold 1-4 family construction loans (100% if purchase contract cancelled) and statutory multifamily mortgages (ERBA NPR P.58 fn 82-83, P.76)</w:t>
            </w:r>
          </w:p>
        </w:tc>
        <w:tc>
          <w:tcPr>
            <w:tcW w:type="dxa" w:w="3456"/>
            <w:shd w:fill="FFFFFF" w:val="clear"/>
          </w:tcPr>
          <w:p>
            <w:pPr>
              <w:jc w:val="left"/>
            </w:pPr>
            <w:r/>
            <w:r>
              <w:rPr>
                <w:rFonts w:ascii="Calibri" w:hAnsi="Calibri"/>
                <w:b w:val="0"/>
                <w:color w:val="000000"/>
                <w:sz w:val="16"/>
              </w:rPr>
              <w:t>100% if pre-sold/substantial equity criteria met (PS1/26 Ch.4.4)</w:t>
            </w:r>
          </w:p>
        </w:tc>
        <w:tc>
          <w:tcPr>
            <w:tcW w:type="dxa" w:w="3456"/>
            <w:shd w:fill="FFFFFF" w:val="clear"/>
          </w:tcPr>
          <w:p>
            <w:pPr>
              <w:jc w:val="left"/>
            </w:pPr>
            <w:r/>
            <w:r>
              <w:rPr>
                <w:rFonts w:ascii="Calibri" w:hAnsi="Calibri"/>
                <w:b w:val="0"/>
                <w:color w:val="000000"/>
                <w:sz w:val="16"/>
              </w:rPr>
              <w:t>100% if qualifying ADC criteria met (CRR3 Art 126a(2)) - DIVERGENCE: EU allows ADC residential reduction more broadly</w:t>
            </w:r>
          </w:p>
        </w:tc>
      </w:tr>
      <w:tr>
        <w:tc>
          <w:tcPr>
            <w:tcW w:type="dxa" w:w="3456"/>
            <w:shd w:fill="F2F2F2" w:val="clear"/>
          </w:tcPr>
          <w:p>
            <w:pPr>
              <w:jc w:val="left"/>
            </w:pPr>
            <w:r/>
            <w:r>
              <w:rPr>
                <w:rFonts w:ascii="Calibri" w:hAnsi="Calibri"/>
                <w:b/>
                <w:color w:val="000000"/>
                <w:sz w:val="16"/>
              </w:rPr>
              <w:t>Valuation Approach</w:t>
            </w:r>
          </w:p>
        </w:tc>
        <w:tc>
          <w:tcPr>
            <w:tcW w:type="dxa" w:w="3456"/>
            <w:shd w:fill="F2F2F2" w:val="clear"/>
          </w:tcPr>
          <w:p>
            <w:pPr>
              <w:jc w:val="left"/>
            </w:pPr>
            <w:r/>
            <w:r>
              <w:rPr>
                <w:rFonts w:ascii="Calibri" w:hAnsi="Calibri"/>
                <w:b w:val="0"/>
                <w:color w:val="000000"/>
                <w:sz w:val="16"/>
              </w:rPr>
              <w:t>Value at origination; purchases: lower of acquisition cost and market value (appraisal rule or independent prudently conservative valuation); excludes expected price increases (ERBA NPR P.67-69)</w:t>
            </w:r>
          </w:p>
        </w:tc>
        <w:tc>
          <w:tcPr>
            <w:tcW w:type="dxa" w:w="3456"/>
            <w:shd w:fill="F2F2F2" w:val="clear"/>
          </w:tcPr>
          <w:p>
            <w:pPr>
              <w:jc w:val="left"/>
            </w:pPr>
            <w:r/>
            <w:r>
              <w:rPr>
                <w:rFonts w:ascii="Calibri" w:hAnsi="Calibri"/>
                <w:b w:val="0"/>
                <w:color w:val="000000"/>
                <w:sz w:val="16"/>
              </w:rPr>
              <w:t>Prudent market value (PS1/26 Ch.4.5). Independent valuation</w:t>
            </w:r>
          </w:p>
        </w:tc>
        <w:tc>
          <w:tcPr>
            <w:tcW w:type="dxa" w:w="3456"/>
            <w:shd w:fill="F2F2F2" w:val="clear"/>
          </w:tcPr>
          <w:p>
            <w:pPr>
              <w:jc w:val="left"/>
            </w:pPr>
            <w:r/>
            <w:r>
              <w:rPr>
                <w:rFonts w:ascii="Calibri" w:hAnsi="Calibri"/>
                <w:b w:val="0"/>
                <w:color w:val="000000"/>
                <w:sz w:val="16"/>
              </w:rPr>
              <w:t>Prudent market value (CRR3 Art 229). Independent valuer meeting CRR3 Art 208 criteria</w:t>
            </w:r>
          </w:p>
        </w:tc>
      </w:tr>
      <w:tr>
        <w:tc>
          <w:tcPr>
            <w:tcW w:type="dxa" w:w="3456"/>
            <w:shd w:fill="FFFFFF" w:val="clear"/>
          </w:tcPr>
          <w:p>
            <w:pPr>
              <w:jc w:val="left"/>
            </w:pPr>
            <w:r/>
            <w:r>
              <w:rPr>
                <w:rFonts w:ascii="Calibri" w:hAnsi="Calibri"/>
                <w:b/>
                <w:color w:val="000000"/>
                <w:sz w:val="16"/>
              </w:rPr>
              <w:t>Revaluation Frequency</w:t>
            </w:r>
          </w:p>
        </w:tc>
        <w:tc>
          <w:tcPr>
            <w:tcW w:type="dxa" w:w="3456"/>
            <w:shd w:fill="FFFFFF" w:val="clear"/>
          </w:tcPr>
          <w:p>
            <w:pPr>
              <w:jc w:val="left"/>
            </w:pPr>
            <w:r/>
            <w:r>
              <w:rPr>
                <w:rFonts w:ascii="Calibri" w:hAnsi="Calibri"/>
                <w:b w:val="0"/>
                <w:color w:val="000000"/>
                <w:sz w:val="16"/>
              </w:rPr>
              <w:t>Origination value retained; downward revision only if (1) supervisor requires, (2) extraordinary event causes permanent reduction, or (3) value-increasing modifications supported by new appraisal (ERBA NPR P.68)</w:t>
            </w:r>
          </w:p>
        </w:tc>
        <w:tc>
          <w:tcPr>
            <w:tcW w:type="dxa" w:w="3456"/>
            <w:shd w:fill="FFFFFF" w:val="clear"/>
          </w:tcPr>
          <w:p>
            <w:pPr>
              <w:jc w:val="left"/>
            </w:pPr>
            <w:r/>
            <w:r>
              <w:rPr>
                <w:rFonts w:ascii="Calibri" w:hAnsi="Calibri"/>
                <w:b w:val="0"/>
                <w:color w:val="000000"/>
                <w:sz w:val="16"/>
              </w:rPr>
              <w:t>At origination + minimum every 3Y for resi, annually for CRE (PS1/26 Ch.4.5)</w:t>
            </w:r>
          </w:p>
        </w:tc>
        <w:tc>
          <w:tcPr>
            <w:tcW w:type="dxa" w:w="3456"/>
            <w:shd w:fill="FFFFFF" w:val="clear"/>
          </w:tcPr>
          <w:p>
            <w:pPr>
              <w:jc w:val="left"/>
            </w:pPr>
            <w:r/>
            <w:r>
              <w:rPr>
                <w:rFonts w:ascii="Calibri" w:hAnsi="Calibri"/>
                <w:b w:val="0"/>
                <w:color w:val="000000"/>
                <w:sz w:val="16"/>
              </w:rPr>
              <w:t>At origination + annually for CRE, every 3Y for resi; statistical methods allowed (CRR3 Art 208(3))</w:t>
            </w:r>
          </w:p>
        </w:tc>
      </w:tr>
      <w:tr>
        <w:tc>
          <w:tcPr>
            <w:tcW w:type="dxa" w:w="3456"/>
            <w:shd w:fill="F2F2F2" w:val="clear"/>
          </w:tcPr>
          <w:p>
            <w:pPr>
              <w:jc w:val="left"/>
            </w:pPr>
            <w:r/>
            <w:r>
              <w:rPr>
                <w:rFonts w:ascii="Calibri" w:hAnsi="Calibri"/>
                <w:b/>
                <w:color w:val="000000"/>
                <w:sz w:val="16"/>
              </w:rPr>
              <w:t>PMI Recognition</w:t>
            </w:r>
          </w:p>
        </w:tc>
        <w:tc>
          <w:tcPr>
            <w:tcW w:type="dxa" w:w="3456"/>
            <w:shd w:fill="F2F2F2" w:val="clear"/>
          </w:tcPr>
          <w:p>
            <w:pPr>
              <w:jc w:val="left"/>
            </w:pPr>
            <w:r/>
            <w:r>
              <w:rPr>
                <w:rFonts w:ascii="Calibri" w:hAnsi="Calibri"/>
                <w:b w:val="0"/>
                <w:color w:val="000000"/>
                <w:sz w:val="16"/>
              </w:rPr>
              <w:t>NOT recognized: LTV is calculated with no adjustment for private mortgage insurance or credit loss provisions (ERBA NPR P.67; Question 21 asks about recognizing e.g. 50% of PMI)</w:t>
            </w:r>
          </w:p>
        </w:tc>
        <w:tc>
          <w:tcPr>
            <w:tcW w:type="dxa" w:w="3456"/>
            <w:shd w:fill="F2F2F2" w:val="clear"/>
          </w:tcPr>
          <w:p>
            <w:pPr>
              <w:jc w:val="left"/>
            </w:pPr>
            <w:r/>
            <w:r>
              <w:rPr>
                <w:rFonts w:ascii="Calibri" w:hAnsi="Calibri"/>
                <w:b w:val="0"/>
                <w:color w:val="000000"/>
                <w:sz w:val="16"/>
              </w:rPr>
              <w:t>Not explicitly addressed; CRM framework applies (PS1/26 Ch.6)</w:t>
            </w:r>
          </w:p>
        </w:tc>
        <w:tc>
          <w:tcPr>
            <w:tcW w:type="dxa" w:w="3456"/>
            <w:shd w:fill="F2F2F2" w:val="clear"/>
          </w:tcPr>
          <w:p>
            <w:pPr>
              <w:jc w:val="left"/>
            </w:pPr>
            <w:r/>
            <w:r>
              <w:rPr>
                <w:rFonts w:ascii="Calibri" w:hAnsi="Calibri"/>
                <w:b w:val="0"/>
                <w:color w:val="000000"/>
                <w:sz w:val="16"/>
              </w:rPr>
              <w:t>Private insurance may qualify as CRM per CRR3 Art 213-215</w:t>
            </w:r>
          </w:p>
        </w:tc>
      </w:tr>
      <w:tr>
        <w:tc>
          <w:tcPr>
            <w:tcW w:type="dxa" w:w="3456"/>
            <w:shd w:fill="FFFFFF" w:val="clear"/>
          </w:tcPr>
          <w:p>
            <w:pPr>
              <w:jc w:val="left"/>
            </w:pPr>
            <w:r/>
            <w:r>
              <w:rPr>
                <w:rFonts w:ascii="Calibri" w:hAnsi="Calibri"/>
                <w:b/>
                <w:color w:val="000000"/>
                <w:sz w:val="16"/>
              </w:rPr>
              <w:t>CF Dependency Test</w:t>
            </w:r>
          </w:p>
        </w:tc>
        <w:tc>
          <w:tcPr>
            <w:tcW w:type="dxa" w:w="3456"/>
            <w:shd w:fill="FFFFFF" w:val="clear"/>
          </w:tcPr>
          <w:p>
            <w:pPr>
              <w:jc w:val="left"/>
            </w:pPr>
            <w:r/>
            <w:r>
              <w:rPr>
                <w:rFonts w:ascii="Calibri" w:hAnsi="Calibri"/>
                <w:b w:val="0"/>
                <w:color w:val="000000"/>
                <w:sz w:val="16"/>
              </w:rPr>
              <w:t>Qualitative: repayment materially dependent on cash flows generated by the real estate; no numerical threshold in the NPR (Question 20 floats a 5-50% range) (ERBA NPR P.66)</w:t>
            </w:r>
          </w:p>
        </w:tc>
        <w:tc>
          <w:tcPr>
            <w:tcW w:type="dxa" w:w="3456"/>
            <w:shd w:fill="FFFFFF" w:val="clear"/>
          </w:tcPr>
          <w:p>
            <w:pPr>
              <w:jc w:val="left"/>
            </w:pPr>
            <w:r/>
            <w:r>
              <w:rPr>
                <w:rFonts w:ascii="Calibri" w:hAnsi="Calibri"/>
                <w:b w:val="0"/>
                <w:color w:val="000000"/>
                <w:sz w:val="16"/>
              </w:rPr>
              <w:t>Material dependence on property-generated CF (PS1/26 Ch.4.2). Qualitative assessment</w:t>
            </w:r>
          </w:p>
        </w:tc>
        <w:tc>
          <w:tcPr>
            <w:tcW w:type="dxa" w:w="3456"/>
            <w:shd w:fill="FFFFFF" w:val="clear"/>
          </w:tcPr>
          <w:p>
            <w:pPr>
              <w:jc w:val="left"/>
            </w:pPr>
            <w:r/>
            <w:r>
              <w:rPr>
                <w:rFonts w:ascii="Calibri" w:hAnsi="Calibri"/>
                <w:b w:val="0"/>
                <w:color w:val="000000"/>
                <w:sz w:val="16"/>
              </w:rPr>
              <w:t>Material dependence test (CRR3 Art 124(2)). Quantitative: &gt;50% of repayment capacity from property</w:t>
            </w:r>
          </w:p>
        </w:tc>
      </w:tr>
    </w:tbl>
    <w:p>
      <w:r>
        <w:br w:type="page"/>
      </w:r>
    </w:p>
    <w:p>
      <w:r>
        <w:rPr>
          <w:rFonts w:ascii="Calibri" w:hAnsi="Calibri"/>
          <w:b/>
          <w:color w:val="C8962E"/>
          <w:sz w:val="28"/>
        </w:rPr>
        <w:t>SECTION 6</w:t>
      </w:r>
    </w:p>
    <w:p>
      <w:r>
        <w:rPr>
          <w:rFonts w:ascii="Calibri" w:hAnsi="Calibri"/>
          <w:b/>
          <w:color w:val="002060"/>
          <w:sz w:val="32"/>
        </w:rPr>
        <w:t>Retail, Equity, Past Due &amp; Other Asset Classes</w:t>
      </w:r>
    </w:p>
    <w:p>
      <w:r>
        <w:rPr>
          <w:color w:val="C8962E"/>
          <w:sz w:val="12"/>
        </w:rPr>
        <w:t>________________________________________________________________________________________________________________________</w:t>
      </w:r>
    </w:p>
    <w:p>
      <w:r>
        <w:rPr>
          <w:rFonts w:ascii="Calibri" w:hAnsi="Calibri"/>
          <w:b/>
          <w:color w:val="002060"/>
          <w:sz w:val="22"/>
        </w:rPr>
        <w:t>6.1 Retail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Retail Risk Weights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Regulatory Retail</w:t>
            </w:r>
          </w:p>
        </w:tc>
        <w:tc>
          <w:tcPr>
            <w:tcW w:type="dxa" w:w="3456"/>
            <w:shd w:fill="FFFFFF" w:val="clear"/>
          </w:tcPr>
          <w:p>
            <w:pPr>
              <w:jc w:val="left"/>
            </w:pPr>
            <w:r/>
            <w:r>
              <w:rPr>
                <w:rFonts w:ascii="Calibri" w:hAnsi="Calibri"/>
                <w:b w:val="0"/>
                <w:color w:val="000000"/>
                <w:sz w:val="16"/>
              </w:rPr>
              <w:t>75% (ERBA NPR §__.111; P.81). Criteria: revolving, term loan or lease to an individual or SME; aggregate exposure to obligor and affiliates &lt;= $1M; other retail 100%</w:t>
            </w:r>
          </w:p>
        </w:tc>
        <w:tc>
          <w:tcPr>
            <w:tcW w:type="dxa" w:w="3456"/>
            <w:shd w:fill="FFFFFF" w:val="clear"/>
          </w:tcPr>
          <w:p>
            <w:pPr>
              <w:jc w:val="left"/>
            </w:pPr>
            <w:r/>
            <w:r>
              <w:rPr>
                <w:rFonts w:ascii="Calibri" w:hAnsi="Calibri"/>
                <w:b w:val="0"/>
                <w:color w:val="000000"/>
                <w:sz w:val="16"/>
              </w:rPr>
              <w:t>75% (PS1/26 Ch.3 Table 3.10)</w:t>
            </w:r>
          </w:p>
        </w:tc>
        <w:tc>
          <w:tcPr>
            <w:tcW w:type="dxa" w:w="3456"/>
            <w:shd w:fill="FFFFFF" w:val="clear"/>
          </w:tcPr>
          <w:p>
            <w:pPr>
              <w:jc w:val="left"/>
            </w:pPr>
            <w:r/>
            <w:r>
              <w:rPr>
                <w:rFonts w:ascii="Calibri" w:hAnsi="Calibri"/>
                <w:b w:val="0"/>
                <w:color w:val="000000"/>
                <w:sz w:val="16"/>
              </w:rPr>
              <w:t>75% (CRR3 Art 123(1))</w:t>
            </w:r>
          </w:p>
        </w:tc>
      </w:tr>
      <w:tr>
        <w:tc>
          <w:tcPr>
            <w:tcW w:type="dxa" w:w="3456"/>
            <w:shd w:fill="F2F2F2" w:val="clear"/>
          </w:tcPr>
          <w:p>
            <w:pPr>
              <w:jc w:val="left"/>
            </w:pPr>
            <w:r/>
            <w:r>
              <w:rPr>
                <w:rFonts w:ascii="Calibri" w:hAnsi="Calibri"/>
                <w:b/>
                <w:color w:val="000000"/>
                <w:sz w:val="16"/>
              </w:rPr>
              <w:t>Transactor Portfolios</w:t>
            </w:r>
          </w:p>
        </w:tc>
        <w:tc>
          <w:tcPr>
            <w:tcW w:type="dxa" w:w="3456"/>
            <w:shd w:fill="F2F2F2" w:val="clear"/>
          </w:tcPr>
          <w:p>
            <w:pPr>
              <w:jc w:val="left"/>
            </w:pPr>
            <w:r/>
            <w:r>
              <w:rPr>
                <w:rFonts w:ascii="Calibri" w:hAnsi="Calibri"/>
                <w:b w:val="0"/>
                <w:color w:val="000000"/>
                <w:sz w:val="16"/>
              </w:rPr>
              <w:t>45% (ERBA NPR §__.111; P.81). 10pp lower than the 2023 NPR's 55% (P.534). Criteria: balance repaid in full at each scheduled repayment date for the previous 12 months, or overdraft with no drawdown for 12 months</w:t>
            </w:r>
          </w:p>
        </w:tc>
        <w:tc>
          <w:tcPr>
            <w:tcW w:type="dxa" w:w="3456"/>
            <w:shd w:fill="F2F2F2" w:val="clear"/>
          </w:tcPr>
          <w:p>
            <w:pPr>
              <w:jc w:val="left"/>
            </w:pPr>
            <w:r/>
            <w:r>
              <w:rPr>
                <w:rFonts w:ascii="Calibri" w:hAnsi="Calibri"/>
                <w:b w:val="0"/>
                <w:color w:val="000000"/>
                <w:sz w:val="16"/>
              </w:rPr>
              <w:t>45% for qualifying transactors (PS1/26 Ch.3 Table 3.10)</w:t>
            </w:r>
          </w:p>
        </w:tc>
        <w:tc>
          <w:tcPr>
            <w:tcW w:type="dxa" w:w="3456"/>
            <w:shd w:fill="F2F2F2" w:val="clear"/>
          </w:tcPr>
          <w:p>
            <w:pPr>
              <w:jc w:val="left"/>
            </w:pPr>
            <w:r/>
            <w:r>
              <w:rPr>
                <w:rFonts w:ascii="Calibri" w:hAnsi="Calibri"/>
                <w:b w:val="0"/>
                <w:color w:val="000000"/>
                <w:sz w:val="16"/>
              </w:rPr>
              <w:t>45% for qualifying transactors (CRR3 Art 123(1a))</w:t>
            </w:r>
          </w:p>
        </w:tc>
      </w:tr>
      <w:tr>
        <w:tc>
          <w:tcPr>
            <w:tcW w:type="dxa" w:w="3456"/>
            <w:shd w:fill="FFFFFF" w:val="clear"/>
          </w:tcPr>
          <w:p>
            <w:pPr>
              <w:jc w:val="left"/>
            </w:pPr>
            <w:r/>
            <w:r>
              <w:rPr>
                <w:rFonts w:ascii="Calibri" w:hAnsi="Calibri"/>
                <w:b/>
                <w:color w:val="000000"/>
                <w:sz w:val="16"/>
              </w:rPr>
              <w:t>Transactor Criteria</w:t>
            </w:r>
          </w:p>
        </w:tc>
        <w:tc>
          <w:tcPr>
            <w:tcW w:type="dxa" w:w="3456"/>
            <w:shd w:fill="FFFFFF" w:val="clear"/>
          </w:tcPr>
          <w:p>
            <w:pPr>
              <w:jc w:val="left"/>
            </w:pPr>
            <w:r/>
            <w:r>
              <w:rPr>
                <w:rFonts w:ascii="Calibri" w:hAnsi="Calibri"/>
                <w:b w:val="0"/>
                <w:color w:val="000000"/>
                <w:sz w:val="16"/>
              </w:rPr>
              <w:t>Regulatory retail credit facility repaid in full at each scheduled date for 12 months (or overdraft with no drawdown for 12 months); not a transactor if the facility carries a balance or includes installment payments, even at 0% promotional rates (ERBA NPR §__.101; P.80)</w:t>
            </w:r>
          </w:p>
        </w:tc>
        <w:tc>
          <w:tcPr>
            <w:tcW w:type="dxa" w:w="3456"/>
            <w:shd w:fill="FFFFFF" w:val="clear"/>
          </w:tcPr>
          <w:p>
            <w:pPr>
              <w:jc w:val="left"/>
            </w:pPr>
            <w:r/>
            <w:r>
              <w:rPr>
                <w:rFonts w:ascii="Calibri" w:hAnsi="Calibri"/>
                <w:b w:val="0"/>
                <w:color w:val="000000"/>
                <w:sz w:val="16"/>
              </w:rPr>
              <w:t>Similar: revolving unsecured, paid monthly, no arrears (PS1/26 Ch.3.8)</w:t>
            </w:r>
          </w:p>
        </w:tc>
        <w:tc>
          <w:tcPr>
            <w:tcW w:type="dxa" w:w="3456"/>
            <w:shd w:fill="FFFFFF" w:val="clear"/>
          </w:tcPr>
          <w:p>
            <w:pPr>
              <w:jc w:val="left"/>
            </w:pPr>
            <w:r/>
            <w:r>
              <w:rPr>
                <w:rFonts w:ascii="Calibri" w:hAnsi="Calibri"/>
                <w:b w:val="0"/>
                <w:color w:val="000000"/>
                <w:sz w:val="16"/>
              </w:rPr>
              <w:t>Revolving unsecured, full repayment each month, granularity test (CRR3 Art 123(1a)(a)-(d))</w:t>
            </w:r>
          </w:p>
        </w:tc>
      </w:tr>
      <w:tr>
        <w:tc>
          <w:tcPr>
            <w:tcW w:type="dxa" w:w="3456"/>
            <w:shd w:fill="F2F2F2" w:val="clear"/>
          </w:tcPr>
          <w:p>
            <w:pPr>
              <w:jc w:val="left"/>
            </w:pPr>
            <w:r/>
            <w:r>
              <w:rPr>
                <w:rFonts w:ascii="Calibri" w:hAnsi="Calibri"/>
                <w:b/>
                <w:color w:val="000000"/>
                <w:sz w:val="16"/>
              </w:rPr>
              <w:t>Retail Threshold</w:t>
            </w:r>
          </w:p>
        </w:tc>
        <w:tc>
          <w:tcPr>
            <w:tcW w:type="dxa" w:w="3456"/>
            <w:shd w:fill="F2F2F2" w:val="clear"/>
          </w:tcPr>
          <w:p>
            <w:pPr>
              <w:jc w:val="left"/>
            </w:pPr>
            <w:r/>
            <w:r>
              <w:rPr>
                <w:rFonts w:ascii="Calibri" w:hAnsi="Calibri"/>
                <w:b w:val="0"/>
                <w:color w:val="000000"/>
                <w:sz w:val="16"/>
              </w:rPr>
              <w:t>Aggregate retail exposure to obligor and affiliates (on + off balance sheet, full notional) &lt;= $1M, CPI-W indexed; if exceeded none of the exposures qualify (ERBA NPR P.80 fn 115)</w:t>
            </w:r>
          </w:p>
        </w:tc>
        <w:tc>
          <w:tcPr>
            <w:tcW w:type="dxa" w:w="3456"/>
            <w:shd w:fill="F2F2F2" w:val="clear"/>
          </w:tcPr>
          <w:p>
            <w:pPr>
              <w:jc w:val="left"/>
            </w:pPr>
            <w:r/>
            <w:r>
              <w:rPr>
                <w:rFonts w:ascii="Calibri" w:hAnsi="Calibri"/>
                <w:b w:val="0"/>
                <w:color w:val="000000"/>
                <w:sz w:val="16"/>
              </w:rPr>
              <w:t>Total exposure &lt;= GBP 1M (PS1/26 Ch.3.8)</w:t>
            </w:r>
          </w:p>
        </w:tc>
        <w:tc>
          <w:tcPr>
            <w:tcW w:type="dxa" w:w="3456"/>
            <w:shd w:fill="F2F2F2" w:val="clear"/>
          </w:tcPr>
          <w:p>
            <w:pPr>
              <w:jc w:val="left"/>
            </w:pPr>
            <w:r/>
            <w:r>
              <w:rPr>
                <w:rFonts w:ascii="Calibri" w:hAnsi="Calibri"/>
                <w:b w:val="0"/>
                <w:color w:val="000000"/>
                <w:sz w:val="16"/>
              </w:rPr>
              <w:t>Total exposure &lt;= EUR 1M (CRR3 Art 123(2))</w:t>
            </w:r>
          </w:p>
        </w:tc>
      </w:tr>
      <w:tr>
        <w:tc>
          <w:tcPr>
            <w:tcW w:type="dxa" w:w="3456"/>
            <w:shd w:fill="FFFFFF" w:val="clear"/>
          </w:tcPr>
          <w:p>
            <w:pPr>
              <w:jc w:val="left"/>
            </w:pPr>
            <w:r/>
            <w:r>
              <w:rPr>
                <w:rFonts w:ascii="Calibri" w:hAnsi="Calibri"/>
                <w:b/>
                <w:color w:val="000000"/>
                <w:sz w:val="16"/>
              </w:rPr>
              <w:t>Granularity Test</w:t>
            </w:r>
          </w:p>
        </w:tc>
        <w:tc>
          <w:tcPr>
            <w:tcW w:type="dxa" w:w="3456"/>
            <w:shd w:fill="FFFFFF" w:val="clear"/>
          </w:tcPr>
          <w:p>
            <w:pPr>
              <w:jc w:val="left"/>
            </w:pPr>
            <w:r/>
            <w:r>
              <w:rPr>
                <w:rFonts w:ascii="Calibri" w:hAnsi="Calibri"/>
                <w:b w:val="0"/>
                <w:color w:val="000000"/>
                <w:sz w:val="16"/>
              </w:rPr>
              <w:t>None - no 0.2% granularity criterion in the US proposal; the $1M aggregate limit is the only size test (ERBA NPR §__.101)</w:t>
            </w:r>
          </w:p>
        </w:tc>
        <w:tc>
          <w:tcPr>
            <w:tcW w:type="dxa" w:w="3456"/>
            <w:shd w:fill="FFFFFF" w:val="clear"/>
          </w:tcPr>
          <w:p>
            <w:pPr>
              <w:jc w:val="left"/>
            </w:pPr>
            <w:r/>
            <w:r>
              <w:rPr>
                <w:rFonts w:ascii="Calibri" w:hAnsi="Calibri"/>
                <w:b w:val="0"/>
                <w:color w:val="000000"/>
                <w:sz w:val="16"/>
              </w:rPr>
              <w:t>No single exposure &gt; 0.2% (PS1/26 Ch.3.8)</w:t>
            </w:r>
          </w:p>
        </w:tc>
        <w:tc>
          <w:tcPr>
            <w:tcW w:type="dxa" w:w="3456"/>
            <w:shd w:fill="FFFFFF" w:val="clear"/>
          </w:tcPr>
          <w:p>
            <w:pPr>
              <w:jc w:val="left"/>
            </w:pPr>
            <w:r/>
            <w:r>
              <w:rPr>
                <w:rFonts w:ascii="Calibri" w:hAnsi="Calibri"/>
                <w:b w:val="0"/>
                <w:color w:val="000000"/>
                <w:sz w:val="16"/>
              </w:rPr>
              <w:t>Part of managed portfolio (CRR3 Art 123(2)(d))</w:t>
            </w:r>
          </w:p>
        </w:tc>
      </w:tr>
      <w:tr>
        <w:tc>
          <w:tcPr>
            <w:tcW w:type="dxa" w:w="3456"/>
            <w:shd w:fill="F2F2F2" w:val="clear"/>
          </w:tcPr>
          <w:p>
            <w:pPr>
              <w:jc w:val="left"/>
            </w:pPr>
            <w:r/>
            <w:r>
              <w:rPr>
                <w:rFonts w:ascii="Calibri" w:hAnsi="Calibri"/>
                <w:b/>
                <w:color w:val="000000"/>
                <w:sz w:val="16"/>
              </w:rPr>
              <w:t>Currency Mismatch (Revolving)</w:t>
            </w:r>
          </w:p>
        </w:tc>
        <w:tc>
          <w:tcPr>
            <w:tcW w:type="dxa" w:w="3456"/>
            <w:shd w:fill="F2F2F2" w:val="clear"/>
          </w:tcPr>
          <w:p>
            <w:pPr>
              <w:jc w:val="left"/>
            </w:pPr>
            <w:r/>
            <w:r>
              <w:rPr>
                <w:rFonts w:ascii="Calibri" w:hAnsi="Calibri"/>
                <w:b w:val="0"/>
                <w:color w:val="000000"/>
                <w:sz w:val="16"/>
              </w:rPr>
              <w:t>No currency mismatch add-on for retail in the US proposal (ERBA NPR §__.111)</w:t>
            </w:r>
          </w:p>
        </w:tc>
        <w:tc>
          <w:tcPr>
            <w:tcW w:type="dxa" w:w="3456"/>
            <w:shd w:fill="F2F2F2" w:val="clear"/>
          </w:tcPr>
          <w:p>
            <w:pPr>
              <w:jc w:val="left"/>
            </w:pPr>
            <w:r/>
            <w:r>
              <w:rPr>
                <w:rFonts w:ascii="Calibri" w:hAnsi="Calibri"/>
                <w:b w:val="0"/>
                <w:color w:val="000000"/>
                <w:sz w:val="16"/>
              </w:rPr>
              <w:t>20% add-on for unhedged FX retail (PS1/26 Ch.3.8.2)</w:t>
            </w:r>
          </w:p>
        </w:tc>
        <w:tc>
          <w:tcPr>
            <w:tcW w:type="dxa" w:w="3456"/>
            <w:shd w:fill="F2F2F2" w:val="clear"/>
          </w:tcPr>
          <w:p>
            <w:pPr>
              <w:jc w:val="left"/>
            </w:pPr>
            <w:r/>
            <w:r>
              <w:rPr>
                <w:rFonts w:ascii="Calibri" w:hAnsi="Calibri"/>
                <w:b w:val="0"/>
                <w:color w:val="000000"/>
                <w:sz w:val="16"/>
              </w:rPr>
              <w:t>50% uplift for currency mismatch in retail revolving (CRR3 Art 123(3)) - SIGNIFICANT DIVERGENCE</w:t>
            </w:r>
          </w:p>
        </w:tc>
      </w:tr>
    </w:tbl>
    <w:p>
      <w:r>
        <w:rPr>
          <w:rFonts w:ascii="Calibri" w:hAnsi="Calibri"/>
          <w:b/>
          <w:color w:val="002060"/>
          <w:sz w:val="22"/>
        </w:rPr>
        <w:t>6.2 Equity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Equity Risk Weights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Listed Equity</w:t>
            </w:r>
          </w:p>
        </w:tc>
        <w:tc>
          <w:tcPr>
            <w:tcW w:type="dxa" w:w="3456"/>
            <w:shd w:fill="FFFFFF" w:val="clear"/>
          </w:tcPr>
          <w:p>
            <w:pPr>
              <w:jc w:val="left"/>
            </w:pPr>
            <w:r/>
            <w:r>
              <w:rPr>
                <w:rFonts w:ascii="Calibri" w:hAnsi="Calibri"/>
                <w:b w:val="0"/>
                <w:color w:val="000000"/>
                <w:sz w:val="16"/>
              </w:rPr>
              <w:t>300% publicly traded - current rule retained; Basel 250% considered and not adopted (ERBA NPR §__.141; P.191 fn 203)</w:t>
            </w:r>
          </w:p>
        </w:tc>
        <w:tc>
          <w:tcPr>
            <w:tcW w:type="dxa" w:w="3456"/>
            <w:shd w:fill="FFFFFF" w:val="clear"/>
          </w:tcPr>
          <w:p>
            <w:pPr>
              <w:jc w:val="left"/>
            </w:pPr>
            <w:r/>
            <w:r>
              <w:rPr>
                <w:rFonts w:ascii="Calibri" w:hAnsi="Calibri"/>
                <w:b w:val="0"/>
                <w:color w:val="000000"/>
                <w:sz w:val="16"/>
              </w:rPr>
              <w:t>250% (PS1/26 Ch.3 Table 3.11)</w:t>
            </w:r>
          </w:p>
        </w:tc>
        <w:tc>
          <w:tcPr>
            <w:tcW w:type="dxa" w:w="3456"/>
            <w:shd w:fill="FFFFFF" w:val="clear"/>
          </w:tcPr>
          <w:p>
            <w:pPr>
              <w:jc w:val="left"/>
            </w:pPr>
            <w:r/>
            <w:r>
              <w:rPr>
                <w:rFonts w:ascii="Calibri" w:hAnsi="Calibri"/>
                <w:b w:val="0"/>
                <w:color w:val="000000"/>
                <w:sz w:val="16"/>
              </w:rPr>
              <w:t>250% (CRR3 Art 133(3))</w:t>
            </w:r>
          </w:p>
        </w:tc>
      </w:tr>
      <w:tr>
        <w:tc>
          <w:tcPr>
            <w:tcW w:type="dxa" w:w="3456"/>
            <w:shd w:fill="F2F2F2" w:val="clear"/>
          </w:tcPr>
          <w:p>
            <w:pPr>
              <w:jc w:val="left"/>
            </w:pPr>
            <w:r/>
            <w:r>
              <w:rPr>
                <w:rFonts w:ascii="Calibri" w:hAnsi="Calibri"/>
                <w:b/>
                <w:color w:val="000000"/>
                <w:sz w:val="16"/>
              </w:rPr>
              <w:t>Unlisted Equity</w:t>
            </w:r>
          </w:p>
        </w:tc>
        <w:tc>
          <w:tcPr>
            <w:tcW w:type="dxa" w:w="3456"/>
            <w:shd w:fill="F2F2F2" w:val="clear"/>
          </w:tcPr>
          <w:p>
            <w:pPr>
              <w:jc w:val="left"/>
            </w:pPr>
            <w:r/>
            <w:r>
              <w:rPr>
                <w:rFonts w:ascii="Calibri" w:hAnsi="Calibri"/>
                <w:b w:val="0"/>
                <w:color w:val="000000"/>
                <w:sz w:val="16"/>
              </w:rPr>
              <w:t>400% non-publicly traded (ERBA NPR §__.141)</w:t>
            </w:r>
          </w:p>
        </w:tc>
        <w:tc>
          <w:tcPr>
            <w:tcW w:type="dxa" w:w="3456"/>
            <w:shd w:fill="F2F2F2" w:val="clear"/>
          </w:tcPr>
          <w:p>
            <w:pPr>
              <w:jc w:val="left"/>
            </w:pPr>
            <w:r/>
            <w:r>
              <w:rPr>
                <w:rFonts w:ascii="Calibri" w:hAnsi="Calibri"/>
                <w:b w:val="0"/>
                <w:color w:val="000000"/>
                <w:sz w:val="16"/>
              </w:rPr>
              <w:t>400% (PS1/26 Ch.3 Table 3.11)</w:t>
            </w:r>
          </w:p>
        </w:tc>
        <w:tc>
          <w:tcPr>
            <w:tcW w:type="dxa" w:w="3456"/>
            <w:shd w:fill="F2F2F2" w:val="clear"/>
          </w:tcPr>
          <w:p>
            <w:pPr>
              <w:jc w:val="left"/>
            </w:pPr>
            <w:r/>
            <w:r>
              <w:rPr>
                <w:rFonts w:ascii="Calibri" w:hAnsi="Calibri"/>
                <w:b w:val="0"/>
                <w:color w:val="000000"/>
                <w:sz w:val="16"/>
              </w:rPr>
              <w:t>400% (CRR3 Art 133(4))</w:t>
            </w:r>
          </w:p>
        </w:tc>
      </w:tr>
      <w:tr>
        <w:tc>
          <w:tcPr>
            <w:tcW w:type="dxa" w:w="3456"/>
            <w:shd w:fill="FFFFFF" w:val="clear"/>
          </w:tcPr>
          <w:p>
            <w:pPr>
              <w:jc w:val="left"/>
            </w:pPr>
            <w:r/>
            <w:r>
              <w:rPr>
                <w:rFonts w:ascii="Calibri" w:hAnsi="Calibri"/>
                <w:b/>
                <w:color w:val="000000"/>
                <w:sz w:val="16"/>
              </w:rPr>
              <w:t>Speculative Equity</w:t>
            </w:r>
          </w:p>
        </w:tc>
        <w:tc>
          <w:tcPr>
            <w:tcW w:type="dxa" w:w="3456"/>
            <w:shd w:fill="FFFFFF" w:val="clear"/>
          </w:tcPr>
          <w:p>
            <w:pPr>
              <w:jc w:val="left"/>
            </w:pPr>
            <w:r/>
            <w:r>
              <w:rPr>
                <w:rFonts w:ascii="Calibri" w:hAnsi="Calibri"/>
                <w:b w:val="0"/>
                <w:color w:val="000000"/>
                <w:sz w:val="16"/>
              </w:rPr>
              <w:t>No separate 'speculative' category: 400% non-public; 600% for equity in an investment firm with greater than immaterial leverage (ERBA NPR §__.141)</w:t>
            </w:r>
          </w:p>
        </w:tc>
        <w:tc>
          <w:tcPr>
            <w:tcW w:type="dxa" w:w="3456"/>
            <w:shd w:fill="FFFFFF" w:val="clear"/>
          </w:tcPr>
          <w:p>
            <w:pPr>
              <w:jc w:val="left"/>
            </w:pPr>
            <w:r/>
            <w:r>
              <w:rPr>
                <w:rFonts w:ascii="Calibri" w:hAnsi="Calibri"/>
                <w:b w:val="0"/>
                <w:color w:val="000000"/>
                <w:sz w:val="16"/>
              </w:rPr>
              <w:t>400% (PS1/26 Ch.3 Table 3.11)</w:t>
            </w:r>
          </w:p>
        </w:tc>
        <w:tc>
          <w:tcPr>
            <w:tcW w:type="dxa" w:w="3456"/>
            <w:shd w:fill="FFFFFF" w:val="clear"/>
          </w:tcPr>
          <w:p>
            <w:pPr>
              <w:jc w:val="left"/>
            </w:pPr>
            <w:r/>
            <w:r>
              <w:rPr>
                <w:rFonts w:ascii="Calibri" w:hAnsi="Calibri"/>
                <w:b w:val="0"/>
                <w:color w:val="000000"/>
                <w:sz w:val="16"/>
              </w:rPr>
              <w:t>400% (CRR3 Art 133(4))</w:t>
            </w:r>
          </w:p>
        </w:tc>
      </w:tr>
      <w:tr>
        <w:tc>
          <w:tcPr>
            <w:tcW w:type="dxa" w:w="3456"/>
            <w:shd w:fill="F2F2F2" w:val="clear"/>
          </w:tcPr>
          <w:p>
            <w:pPr>
              <w:jc w:val="left"/>
            </w:pPr>
            <w:r/>
            <w:r>
              <w:rPr>
                <w:rFonts w:ascii="Calibri" w:hAnsi="Calibri"/>
                <w:b/>
                <w:color w:val="000000"/>
                <w:sz w:val="16"/>
              </w:rPr>
              <w:t>Equity to Fed/Govt</w:t>
            </w:r>
          </w:p>
        </w:tc>
        <w:tc>
          <w:tcPr>
            <w:tcW w:type="dxa" w:w="3456"/>
            <w:shd w:fill="F2F2F2" w:val="clear"/>
          </w:tcPr>
          <w:p>
            <w:pPr>
              <w:jc w:val="left"/>
            </w:pPr>
            <w:r/>
            <w:r>
              <w:rPr>
                <w:rFonts w:ascii="Calibri" w:hAnsi="Calibri"/>
                <w:b w:val="0"/>
                <w:color w:val="000000"/>
                <w:sz w:val="16"/>
              </w:rPr>
              <w:t>0% sovereign, MDB and Federal Reserve Bank stock; 20% PSE, FHLB and Farmer Mac; 100% community development investments and non-significant equity (aggregate &lt;= 10% of total capital); 250% significant investments in unconsolidated FIs not deducted (ERBA NPR §__.141; P.191)</w:t>
            </w:r>
          </w:p>
        </w:tc>
        <w:tc>
          <w:tcPr>
            <w:tcW w:type="dxa" w:w="3456"/>
            <w:shd w:fill="F2F2F2" w:val="clear"/>
          </w:tcPr>
          <w:p>
            <w:pPr>
              <w:jc w:val="left"/>
            </w:pPr>
            <w:r/>
            <w:r>
              <w:rPr>
                <w:rFonts w:ascii="Calibri" w:hAnsi="Calibri"/>
                <w:b w:val="0"/>
                <w:color w:val="000000"/>
                <w:sz w:val="16"/>
              </w:rPr>
              <w:t>100% (PS1/26 Ch.3.9)</w:t>
            </w:r>
          </w:p>
        </w:tc>
        <w:tc>
          <w:tcPr>
            <w:tcW w:type="dxa" w:w="3456"/>
            <w:shd w:fill="F2F2F2" w:val="clear"/>
          </w:tcPr>
          <w:p>
            <w:pPr>
              <w:jc w:val="left"/>
            </w:pPr>
            <w:r/>
            <w:r>
              <w:rPr>
                <w:rFonts w:ascii="Calibri" w:hAnsi="Calibri"/>
                <w:b w:val="0"/>
                <w:color w:val="000000"/>
                <w:sz w:val="16"/>
              </w:rPr>
              <w:t>100% (CRR3 Art 133(5))</w:t>
            </w:r>
          </w:p>
        </w:tc>
      </w:tr>
      <w:tr>
        <w:tc>
          <w:tcPr>
            <w:tcW w:type="dxa" w:w="3456"/>
            <w:shd w:fill="FFFFFF" w:val="clear"/>
          </w:tcPr>
          <w:p>
            <w:pPr>
              <w:jc w:val="left"/>
            </w:pPr>
            <w:r/>
            <w:r>
              <w:rPr>
                <w:rFonts w:ascii="Calibri" w:hAnsi="Calibri"/>
                <w:b/>
                <w:color w:val="000000"/>
                <w:sz w:val="16"/>
              </w:rPr>
              <w:t>Equity Phase-In</w:t>
            </w:r>
          </w:p>
        </w:tc>
        <w:tc>
          <w:tcPr>
            <w:tcW w:type="dxa" w:w="3456"/>
            <w:shd w:fill="FFFFFF" w:val="clear"/>
          </w:tcPr>
          <w:p>
            <w:pPr>
              <w:jc w:val="left"/>
            </w:pPr>
            <w:r/>
            <w:r>
              <w:rPr>
                <w:rFonts w:ascii="Calibri" w:hAnsi="Calibri"/>
                <w:b w:val="0"/>
                <w:color w:val="000000"/>
                <w:sz w:val="16"/>
              </w:rPr>
              <w:t>Immediate application on the final-rule effective date; no phase-in (ERBA NPR §__.141)</w:t>
            </w:r>
          </w:p>
        </w:tc>
        <w:tc>
          <w:tcPr>
            <w:tcW w:type="dxa" w:w="3456"/>
            <w:shd w:fill="FFFFFF" w:val="clear"/>
          </w:tcPr>
          <w:p>
            <w:pPr>
              <w:jc w:val="left"/>
            </w:pPr>
            <w:r/>
            <w:r>
              <w:rPr>
                <w:rFonts w:ascii="Calibri" w:hAnsi="Calibri"/>
                <w:b w:val="0"/>
                <w:color w:val="000000"/>
                <w:sz w:val="16"/>
              </w:rPr>
              <w:t>Immediate Jan 1, 2025 (PS1/26 Ch.3.9)</w:t>
            </w:r>
          </w:p>
        </w:tc>
        <w:tc>
          <w:tcPr>
            <w:tcW w:type="dxa" w:w="3456"/>
            <w:shd w:fill="FFFFFF" w:val="clear"/>
          </w:tcPr>
          <w:p>
            <w:pPr>
              <w:jc w:val="left"/>
            </w:pPr>
            <w:r/>
            <w:r>
              <w:rPr>
                <w:rFonts w:ascii="Calibri" w:hAnsi="Calibri"/>
                <w:b w:val="0"/>
                <w:color w:val="000000"/>
                <w:sz w:val="16"/>
              </w:rPr>
              <w:t>Phase-in 2025-2030 per Art 495a: 100% from 2025, 250%/400% by 2030 (CRR3 Art 495a) - SIGNIFICANT EU DIVERGENCE</w:t>
            </w:r>
          </w:p>
        </w:tc>
      </w:tr>
      <w:tr>
        <w:tc>
          <w:tcPr>
            <w:tcW w:type="dxa" w:w="3456"/>
            <w:shd w:fill="F2F2F2" w:val="clear"/>
          </w:tcPr>
          <w:p>
            <w:pPr>
              <w:jc w:val="left"/>
            </w:pPr>
            <w:r/>
            <w:r>
              <w:rPr>
                <w:rFonts w:ascii="Calibri" w:hAnsi="Calibri"/>
                <w:b/>
                <w:color w:val="000000"/>
                <w:sz w:val="16"/>
              </w:rPr>
              <w:t>EU Phase-In 2025</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100% for existing equity holdings (CRR3 Art 495a(1))</w:t>
            </w:r>
          </w:p>
        </w:tc>
      </w:tr>
      <w:tr>
        <w:tc>
          <w:tcPr>
            <w:tcW w:type="dxa" w:w="3456"/>
            <w:shd w:fill="FFFFFF" w:val="clear"/>
          </w:tcPr>
          <w:p>
            <w:pPr>
              <w:jc w:val="left"/>
            </w:pPr>
            <w:r/>
            <w:r>
              <w:rPr>
                <w:rFonts w:ascii="Calibri" w:hAnsi="Calibri"/>
                <w:b/>
                <w:color w:val="000000"/>
                <w:sz w:val="16"/>
              </w:rPr>
              <w:t>EU Phase-In 2026</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130% listed / 160% unlisted (CRR3 Art 495a(2))</w:t>
            </w:r>
          </w:p>
        </w:tc>
      </w:tr>
      <w:tr>
        <w:tc>
          <w:tcPr>
            <w:tcW w:type="dxa" w:w="3456"/>
            <w:shd w:fill="F2F2F2" w:val="clear"/>
          </w:tcPr>
          <w:p>
            <w:pPr>
              <w:jc w:val="left"/>
            </w:pPr>
            <w:r/>
            <w:r>
              <w:rPr>
                <w:rFonts w:ascii="Calibri" w:hAnsi="Calibri"/>
                <w:b/>
                <w:color w:val="000000"/>
                <w:sz w:val="16"/>
              </w:rPr>
              <w:t>EU Phase-In 2027</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160% listed / 220% unlisted (CRR3 Art 495a(3))</w:t>
            </w:r>
          </w:p>
        </w:tc>
      </w:tr>
      <w:tr>
        <w:tc>
          <w:tcPr>
            <w:tcW w:type="dxa" w:w="3456"/>
            <w:shd w:fill="FFFFFF" w:val="clear"/>
          </w:tcPr>
          <w:p>
            <w:pPr>
              <w:jc w:val="left"/>
            </w:pPr>
            <w:r/>
            <w:r>
              <w:rPr>
                <w:rFonts w:ascii="Calibri" w:hAnsi="Calibri"/>
                <w:b/>
                <w:color w:val="000000"/>
                <w:sz w:val="16"/>
              </w:rPr>
              <w:t>EU Phase-In 2028</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190% listed / 280% unlisted (CRR3 Art 495a(4))</w:t>
            </w:r>
          </w:p>
        </w:tc>
      </w:tr>
      <w:tr>
        <w:tc>
          <w:tcPr>
            <w:tcW w:type="dxa" w:w="3456"/>
            <w:shd w:fill="F2F2F2" w:val="clear"/>
          </w:tcPr>
          <w:p>
            <w:pPr>
              <w:jc w:val="left"/>
            </w:pPr>
            <w:r/>
            <w:r>
              <w:rPr>
                <w:rFonts w:ascii="Calibri" w:hAnsi="Calibri"/>
                <w:b/>
                <w:color w:val="000000"/>
                <w:sz w:val="16"/>
              </w:rPr>
              <w:t>EU Phase-In 2029</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220% listed / 340% unlisted (CRR3 Art 495a(5))</w:t>
            </w:r>
          </w:p>
        </w:tc>
      </w:tr>
      <w:tr>
        <w:tc>
          <w:tcPr>
            <w:tcW w:type="dxa" w:w="3456"/>
            <w:shd w:fill="FFFFFF" w:val="clear"/>
          </w:tcPr>
          <w:p>
            <w:pPr>
              <w:jc w:val="left"/>
            </w:pPr>
            <w:r/>
            <w:r>
              <w:rPr>
                <w:rFonts w:ascii="Calibri" w:hAnsi="Calibri"/>
                <w:b/>
                <w:color w:val="000000"/>
                <w:sz w:val="16"/>
              </w:rPr>
              <w:t>EU Phase-In 2030</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250% listed / 400% unlisted fully phased (CRR3 Art 495a(6))</w:t>
            </w:r>
          </w:p>
        </w:tc>
      </w:tr>
      <w:tr>
        <w:tc>
          <w:tcPr>
            <w:tcW w:type="dxa" w:w="3456"/>
            <w:shd w:fill="F2F2F2" w:val="clear"/>
          </w:tcPr>
          <w:p>
            <w:pPr>
              <w:jc w:val="left"/>
            </w:pPr>
            <w:r/>
            <w:r>
              <w:rPr>
                <w:rFonts w:ascii="Calibri" w:hAnsi="Calibri"/>
                <w:b/>
                <w:color w:val="000000"/>
                <w:sz w:val="16"/>
              </w:rPr>
              <w:t>Qualifying Legislative Equity</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100% for legislatively mandated equity (CRR3 Art 133(6))</w:t>
            </w:r>
          </w:p>
        </w:tc>
      </w:tr>
      <w:tr>
        <w:tc>
          <w:tcPr>
            <w:tcW w:type="dxa" w:w="3456"/>
            <w:shd w:fill="FFFFFF" w:val="clear"/>
          </w:tcPr>
          <w:p>
            <w:pPr>
              <w:jc w:val="left"/>
            </w:pPr>
            <w:r/>
            <w:r>
              <w:rPr>
                <w:rFonts w:ascii="Calibri" w:hAnsi="Calibri"/>
                <w:b/>
                <w:color w:val="000000"/>
                <w:sz w:val="16"/>
              </w:rPr>
              <w:t>Strategic Equity &lt;10%</w:t>
            </w:r>
          </w:p>
        </w:tc>
        <w:tc>
          <w:tcPr>
            <w:tcW w:type="dxa" w:w="3456"/>
            <w:shd w:fill="FFFFFF" w:val="clear"/>
          </w:tcPr>
          <w:p>
            <w:pPr>
              <w:jc w:val="left"/>
            </w:pPr>
            <w:r/>
            <w:r>
              <w:rPr>
                <w:rFonts w:ascii="Calibri" w:hAnsi="Calibri"/>
                <w:b w:val="0"/>
                <w:color w:val="000000"/>
                <w:sz w:val="16"/>
              </w:rPr>
              <w:t>Non-significant equity (aggregate adjusted carrying value &lt;= 10% of total capital): 100%; above that 300%/400% by listing status (ERBA NPR §__.141; P.191)</w:t>
            </w:r>
          </w:p>
        </w:tc>
        <w:tc>
          <w:tcPr>
            <w:tcW w:type="dxa" w:w="3456"/>
            <w:shd w:fill="FFFFFF" w:val="clear"/>
          </w:tcPr>
          <w:p>
            <w:pPr>
              <w:jc w:val="left"/>
            </w:pPr>
            <w:r/>
            <w:r>
              <w:rPr>
                <w:rFonts w:ascii="Calibri" w:hAnsi="Calibri"/>
                <w:b w:val="0"/>
                <w:color w:val="000000"/>
                <w:sz w:val="16"/>
              </w:rPr>
              <w:t>250% (PS1/26 Ch.3.9)</w:t>
            </w:r>
          </w:p>
        </w:tc>
        <w:tc>
          <w:tcPr>
            <w:tcW w:type="dxa" w:w="3456"/>
            <w:shd w:fill="FFFFFF" w:val="clear"/>
          </w:tcPr>
          <w:p>
            <w:pPr>
              <w:jc w:val="left"/>
            </w:pPr>
            <w:r/>
            <w:r>
              <w:rPr>
                <w:rFonts w:ascii="Calibri" w:hAnsi="Calibri"/>
                <w:b w:val="0"/>
                <w:color w:val="000000"/>
                <w:sz w:val="16"/>
              </w:rPr>
              <w:t>250% (CRR3 Art 133(3)) - no strategic discount</w:t>
            </w:r>
          </w:p>
        </w:tc>
      </w:tr>
    </w:tbl>
    <w:p>
      <w:r>
        <w:rPr>
          <w:rFonts w:ascii="Calibri" w:hAnsi="Calibri"/>
          <w:b/>
          <w:color w:val="002060"/>
          <w:sz w:val="22"/>
        </w:rPr>
        <w:t>6.3 Past Due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Past Due Definition</w:t>
            </w:r>
          </w:p>
        </w:tc>
        <w:tc>
          <w:tcPr>
            <w:tcW w:type="dxa" w:w="3456"/>
            <w:shd w:fill="F2F2F2" w:val="clear"/>
          </w:tcPr>
          <w:p>
            <w:pPr>
              <w:jc w:val="left"/>
            </w:pPr>
            <w:r/>
            <w:r>
              <w:rPr>
                <w:rFonts w:ascii="Calibri" w:hAnsi="Calibri"/>
                <w:b w:val="0"/>
                <w:color w:val="000000"/>
                <w:sz w:val="16"/>
              </w:rPr>
              <w:t>90 days or more past due or in nonaccrual (ERBA NPR §__.111; P.47-48 fn 68)</w:t>
            </w:r>
          </w:p>
        </w:tc>
        <w:tc>
          <w:tcPr>
            <w:tcW w:type="dxa" w:w="3456"/>
            <w:shd w:fill="F2F2F2" w:val="clear"/>
          </w:tcPr>
          <w:p>
            <w:pPr>
              <w:jc w:val="left"/>
            </w:pPr>
            <w:r/>
            <w:r>
              <w:rPr>
                <w:rFonts w:ascii="Calibri" w:hAnsi="Calibri"/>
                <w:b w:val="0"/>
                <w:color w:val="000000"/>
                <w:sz w:val="16"/>
              </w:rPr>
              <w:t>&gt;90 days past due (PS1/26 Ch.3.10)</w:t>
            </w:r>
          </w:p>
        </w:tc>
        <w:tc>
          <w:tcPr>
            <w:tcW w:type="dxa" w:w="3456"/>
            <w:shd w:fill="F2F2F2" w:val="clear"/>
          </w:tcPr>
          <w:p>
            <w:pPr>
              <w:jc w:val="left"/>
            </w:pPr>
            <w:r/>
            <w:r>
              <w:rPr>
                <w:rFonts w:ascii="Calibri" w:hAnsi="Calibri"/>
                <w:b w:val="0"/>
                <w:color w:val="000000"/>
                <w:sz w:val="16"/>
              </w:rPr>
              <w:t>&gt;90 days past due (CRR3 Art 127(1))</w:t>
            </w:r>
          </w:p>
        </w:tc>
      </w:tr>
      <w:tr>
        <w:tc>
          <w:tcPr>
            <w:tcW w:type="dxa" w:w="3456"/>
            <w:shd w:fill="FFFFFF" w:val="clear"/>
          </w:tcPr>
          <w:p>
            <w:pPr>
              <w:jc w:val="left"/>
            </w:pPr>
            <w:r/>
            <w:r>
              <w:rPr>
                <w:rFonts w:ascii="Calibri" w:hAnsi="Calibri"/>
                <w:b/>
                <w:color w:val="000000"/>
                <w:sz w:val="16"/>
              </w:rPr>
              <w:t>Unsecured Past Due RW</w:t>
            </w:r>
          </w:p>
        </w:tc>
        <w:tc>
          <w:tcPr>
            <w:tcW w:type="dxa" w:w="3456"/>
            <w:shd w:fill="FFFFFF" w:val="clear"/>
          </w:tcPr>
          <w:p>
            <w:pPr>
              <w:jc w:val="left"/>
            </w:pPr>
            <w:r/>
            <w:r>
              <w:rPr>
                <w:rFonts w:ascii="Calibri" w:hAnsi="Calibri"/>
                <w:b w:val="0"/>
                <w:color w:val="000000"/>
                <w:sz w:val="16"/>
              </w:rPr>
              <w:t>150% for non-sovereign, non-real-estate exposures (ERBA NPR §__.111)</w:t>
            </w:r>
          </w:p>
        </w:tc>
        <w:tc>
          <w:tcPr>
            <w:tcW w:type="dxa" w:w="3456"/>
            <w:shd w:fill="FFFFFF" w:val="clear"/>
          </w:tcPr>
          <w:p>
            <w:pPr>
              <w:jc w:val="left"/>
            </w:pPr>
            <w:r/>
            <w:r>
              <w:rPr>
                <w:rFonts w:ascii="Calibri" w:hAnsi="Calibri"/>
                <w:b w:val="0"/>
                <w:color w:val="000000"/>
                <w:sz w:val="16"/>
              </w:rPr>
              <w:t>150% (PS1/26 Ch.3 Table 3.12)</w:t>
            </w:r>
          </w:p>
        </w:tc>
        <w:tc>
          <w:tcPr>
            <w:tcW w:type="dxa" w:w="3456"/>
            <w:shd w:fill="FFFFFF" w:val="clear"/>
          </w:tcPr>
          <w:p>
            <w:pPr>
              <w:jc w:val="left"/>
            </w:pPr>
            <w:r/>
            <w:r>
              <w:rPr>
                <w:rFonts w:ascii="Calibri" w:hAnsi="Calibri"/>
                <w:b w:val="0"/>
                <w:color w:val="000000"/>
                <w:sz w:val="16"/>
              </w:rPr>
              <w:t>150% standard (CRR3 Art 127(1))</w:t>
            </w:r>
          </w:p>
        </w:tc>
      </w:tr>
      <w:tr>
        <w:tc>
          <w:tcPr>
            <w:tcW w:type="dxa" w:w="3456"/>
            <w:shd w:fill="F2F2F2" w:val="clear"/>
          </w:tcPr>
          <w:p>
            <w:pPr>
              <w:jc w:val="left"/>
            </w:pPr>
            <w:r/>
            <w:r>
              <w:rPr>
                <w:rFonts w:ascii="Calibri" w:hAnsi="Calibri"/>
                <w:b/>
                <w:color w:val="000000"/>
                <w:sz w:val="16"/>
              </w:rPr>
              <w:t>Provisions &gt;= 20%</w:t>
            </w:r>
          </w:p>
        </w:tc>
        <w:tc>
          <w:tcPr>
            <w:tcW w:type="dxa" w:w="3456"/>
            <w:shd w:fill="F2F2F2" w:val="clear"/>
          </w:tcPr>
          <w:p>
            <w:pPr>
              <w:jc w:val="left"/>
            </w:pPr>
            <w:r/>
            <w:r>
              <w:rPr>
                <w:rFonts w:ascii="Calibri" w:hAnsi="Calibri"/>
                <w:b w:val="0"/>
                <w:color w:val="000000"/>
                <w:sz w:val="16"/>
              </w:rPr>
              <w:t>150% (no provision-based reduction in US) (ERBA NPR §__.111)</w:t>
            </w:r>
          </w:p>
        </w:tc>
        <w:tc>
          <w:tcPr>
            <w:tcW w:type="dxa" w:w="3456"/>
            <w:shd w:fill="F2F2F2" w:val="clear"/>
          </w:tcPr>
          <w:p>
            <w:pPr>
              <w:jc w:val="left"/>
            </w:pPr>
            <w:r/>
            <w:r>
              <w:rPr>
                <w:rFonts w:ascii="Calibri" w:hAnsi="Calibri"/>
                <w:b w:val="0"/>
                <w:color w:val="000000"/>
                <w:sz w:val="16"/>
              </w:rPr>
              <w:t>150% (PS1/26 Ch.3 Table 3.12)</w:t>
            </w:r>
          </w:p>
        </w:tc>
        <w:tc>
          <w:tcPr>
            <w:tcW w:type="dxa" w:w="3456"/>
            <w:shd w:fill="F2F2F2" w:val="clear"/>
          </w:tcPr>
          <w:p>
            <w:pPr>
              <w:jc w:val="left"/>
            </w:pPr>
            <w:r/>
            <w:r>
              <w:rPr>
                <w:rFonts w:ascii="Calibri" w:hAnsi="Calibri"/>
                <w:b w:val="0"/>
                <w:color w:val="000000"/>
                <w:sz w:val="16"/>
              </w:rPr>
              <w:t>100% if specific provisions &gt;= 20% of unsecured portion (CRR3 Art 127(1)(a)) - EU MORE FAVORABLE</w:t>
            </w:r>
          </w:p>
        </w:tc>
      </w:tr>
      <w:tr>
        <w:tc>
          <w:tcPr>
            <w:tcW w:type="dxa" w:w="3456"/>
            <w:shd w:fill="FFFFFF" w:val="clear"/>
          </w:tcPr>
          <w:p>
            <w:pPr>
              <w:jc w:val="left"/>
            </w:pPr>
            <w:r/>
            <w:r>
              <w:rPr>
                <w:rFonts w:ascii="Calibri" w:hAnsi="Calibri"/>
                <w:b/>
                <w:color w:val="000000"/>
                <w:sz w:val="16"/>
              </w:rPr>
              <w:t>Provisions &gt;= 50%</w:t>
            </w:r>
          </w:p>
        </w:tc>
        <w:tc>
          <w:tcPr>
            <w:tcW w:type="dxa" w:w="3456"/>
            <w:shd w:fill="FFFFFF" w:val="clear"/>
          </w:tcPr>
          <w:p>
            <w:pPr>
              <w:jc w:val="left"/>
            </w:pPr>
            <w:r/>
            <w:r>
              <w:rPr>
                <w:rFonts w:ascii="Calibri" w:hAnsi="Calibri"/>
                <w:b w:val="0"/>
                <w:color w:val="000000"/>
                <w:sz w:val="16"/>
              </w:rPr>
              <w:t>150% (no further reduction) (ERBA NPR §__.111)</w:t>
            </w:r>
          </w:p>
        </w:tc>
        <w:tc>
          <w:tcPr>
            <w:tcW w:type="dxa" w:w="3456"/>
            <w:shd w:fill="FFFFFF" w:val="clear"/>
          </w:tcPr>
          <w:p>
            <w:pPr>
              <w:jc w:val="left"/>
            </w:pPr>
            <w:r/>
            <w:r>
              <w:rPr>
                <w:rFonts w:ascii="Calibri" w:hAnsi="Calibri"/>
                <w:b w:val="0"/>
                <w:color w:val="000000"/>
                <w:sz w:val="16"/>
              </w:rPr>
              <w:t>100% (PS1/26 Ch.3 Table 3.12)</w:t>
            </w:r>
          </w:p>
        </w:tc>
        <w:tc>
          <w:tcPr>
            <w:tcW w:type="dxa" w:w="3456"/>
            <w:shd w:fill="FFFFFF" w:val="clear"/>
          </w:tcPr>
          <w:p>
            <w:pPr>
              <w:jc w:val="left"/>
            </w:pPr>
            <w:r/>
            <w:r>
              <w:rPr>
                <w:rFonts w:ascii="Calibri" w:hAnsi="Calibri"/>
                <w:b w:val="0"/>
                <w:color w:val="000000"/>
                <w:sz w:val="16"/>
              </w:rPr>
              <w:t>100% (CRR3 Art 127(1)(a))</w:t>
            </w:r>
          </w:p>
        </w:tc>
      </w:tr>
      <w:tr>
        <w:tc>
          <w:tcPr>
            <w:tcW w:type="dxa" w:w="3456"/>
            <w:shd w:fill="F2F2F2" w:val="clear"/>
          </w:tcPr>
          <w:p>
            <w:pPr>
              <w:jc w:val="left"/>
            </w:pPr>
            <w:r/>
            <w:r>
              <w:rPr>
                <w:rFonts w:ascii="Calibri" w:hAnsi="Calibri"/>
                <w:b/>
                <w:color w:val="000000"/>
                <w:sz w:val="16"/>
              </w:rPr>
              <w:t>RE-Secured Past Due</w:t>
            </w:r>
          </w:p>
        </w:tc>
        <w:tc>
          <w:tcPr>
            <w:tcW w:type="dxa" w:w="3456"/>
            <w:shd w:fill="F2F2F2" w:val="clear"/>
          </w:tcPr>
          <w:p>
            <w:pPr>
              <w:jc w:val="left"/>
            </w:pPr>
            <w:r/>
            <w:r>
              <w:rPr>
                <w:rFonts w:ascii="Calibri" w:hAnsi="Calibri"/>
                <w:b w:val="0"/>
                <w:color w:val="000000"/>
                <w:sz w:val="16"/>
              </w:rPr>
              <w:t>150% for past-due real estate exposures, except residential mortgage exposures not dependent on property cash flows: 100% (ERBA NPR P.71 fn 106, P.74 fn 111)</w:t>
            </w:r>
          </w:p>
        </w:tc>
        <w:tc>
          <w:tcPr>
            <w:tcW w:type="dxa" w:w="3456"/>
            <w:shd w:fill="F2F2F2" w:val="clear"/>
          </w:tcPr>
          <w:p>
            <w:pPr>
              <w:jc w:val="left"/>
            </w:pPr>
            <w:r/>
            <w:r>
              <w:rPr>
                <w:rFonts w:ascii="Calibri" w:hAnsi="Calibri"/>
                <w:b w:val="0"/>
                <w:color w:val="000000"/>
                <w:sz w:val="16"/>
              </w:rPr>
              <w:t>100% minimum for past-due RE (PS1/26 Ch.3.10)</w:t>
            </w:r>
          </w:p>
        </w:tc>
        <w:tc>
          <w:tcPr>
            <w:tcW w:type="dxa" w:w="3456"/>
            <w:shd w:fill="F2F2F2" w:val="clear"/>
          </w:tcPr>
          <w:p>
            <w:pPr>
              <w:jc w:val="left"/>
            </w:pPr>
            <w:r/>
            <w:r>
              <w:rPr>
                <w:rFonts w:ascii="Calibri" w:hAnsi="Calibri"/>
                <w:b w:val="0"/>
                <w:color w:val="000000"/>
                <w:sz w:val="16"/>
              </w:rPr>
              <w:t>100% minimum (CRR3 Art 127(3))</w:t>
            </w:r>
          </w:p>
        </w:tc>
      </w:tr>
    </w:tbl>
    <w:p>
      <w:r>
        <w:rPr>
          <w:rFonts w:ascii="Calibri" w:hAnsi="Calibri"/>
          <w:b/>
          <w:color w:val="002060"/>
          <w:sz w:val="22"/>
        </w:rPr>
        <w:t>6.4 Other Assets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Cash</w:t>
            </w:r>
          </w:p>
        </w:tc>
        <w:tc>
          <w:tcPr>
            <w:tcW w:type="dxa" w:w="3456"/>
            <w:shd w:fill="F2F2F2" w:val="clear"/>
          </w:tcPr>
          <w:p>
            <w:pPr>
              <w:jc w:val="left"/>
            </w:pPr>
            <w:r/>
            <w:r>
              <w:rPr>
                <w:rFonts w:ascii="Calibri" w:hAnsi="Calibri"/>
                <w:b w:val="0"/>
                <w:color w:val="000000"/>
                <w:sz w:val="16"/>
              </w:rPr>
              <w:t>0% (12 CFR 217.32(l))</w:t>
            </w:r>
          </w:p>
        </w:tc>
        <w:tc>
          <w:tcPr>
            <w:tcW w:type="dxa" w:w="3456"/>
            <w:shd w:fill="F2F2F2" w:val="clear"/>
          </w:tcPr>
          <w:p>
            <w:pPr>
              <w:jc w:val="left"/>
            </w:pPr>
            <w:r/>
            <w:r>
              <w:rPr>
                <w:rFonts w:ascii="Calibri" w:hAnsi="Calibri"/>
                <w:b w:val="0"/>
                <w:color w:val="000000"/>
                <w:sz w:val="16"/>
              </w:rPr>
              <w:t>0% (PS1/26 Ch.3.11)</w:t>
            </w:r>
          </w:p>
        </w:tc>
        <w:tc>
          <w:tcPr>
            <w:tcW w:type="dxa" w:w="3456"/>
            <w:shd w:fill="F2F2F2" w:val="clear"/>
          </w:tcPr>
          <w:p>
            <w:pPr>
              <w:jc w:val="left"/>
            </w:pPr>
            <w:r/>
            <w:r>
              <w:rPr>
                <w:rFonts w:ascii="Calibri" w:hAnsi="Calibri"/>
                <w:b w:val="0"/>
                <w:color w:val="000000"/>
                <w:sz w:val="16"/>
              </w:rPr>
              <w:t>0% (CRR3 Art 134(1))</w:t>
            </w:r>
          </w:p>
        </w:tc>
      </w:tr>
      <w:tr>
        <w:tc>
          <w:tcPr>
            <w:tcW w:type="dxa" w:w="3456"/>
            <w:shd w:fill="FFFFFF" w:val="clear"/>
          </w:tcPr>
          <w:p>
            <w:pPr>
              <w:jc w:val="left"/>
            </w:pPr>
            <w:r/>
            <w:r>
              <w:rPr>
                <w:rFonts w:ascii="Calibri" w:hAnsi="Calibri"/>
                <w:b/>
                <w:color w:val="000000"/>
                <w:sz w:val="16"/>
              </w:rPr>
              <w:t>Gold Bullion (Allocated)</w:t>
            </w:r>
          </w:p>
        </w:tc>
        <w:tc>
          <w:tcPr>
            <w:tcW w:type="dxa" w:w="3456"/>
            <w:shd w:fill="FFFFFF" w:val="clear"/>
          </w:tcPr>
          <w:p>
            <w:pPr>
              <w:jc w:val="left"/>
            </w:pPr>
            <w:r/>
            <w:r>
              <w:rPr>
                <w:rFonts w:ascii="Calibri" w:hAnsi="Calibri"/>
                <w:b w:val="0"/>
                <w:color w:val="000000"/>
                <w:sz w:val="16"/>
              </w:rPr>
              <w:t>0% (12 CFR 217.32(l))</w:t>
            </w:r>
          </w:p>
        </w:tc>
        <w:tc>
          <w:tcPr>
            <w:tcW w:type="dxa" w:w="3456"/>
            <w:shd w:fill="FFFFFF" w:val="clear"/>
          </w:tcPr>
          <w:p>
            <w:pPr>
              <w:jc w:val="left"/>
            </w:pPr>
            <w:r/>
            <w:r>
              <w:rPr>
                <w:rFonts w:ascii="Calibri" w:hAnsi="Calibri"/>
                <w:b w:val="0"/>
                <w:color w:val="000000"/>
                <w:sz w:val="16"/>
              </w:rPr>
              <w:t>0% (PS1/26 Ch.3.11)</w:t>
            </w:r>
          </w:p>
        </w:tc>
        <w:tc>
          <w:tcPr>
            <w:tcW w:type="dxa" w:w="3456"/>
            <w:shd w:fill="FFFFFF" w:val="clear"/>
          </w:tcPr>
          <w:p>
            <w:pPr>
              <w:jc w:val="left"/>
            </w:pPr>
            <w:r/>
            <w:r>
              <w:rPr>
                <w:rFonts w:ascii="Calibri" w:hAnsi="Calibri"/>
                <w:b w:val="0"/>
                <w:color w:val="000000"/>
                <w:sz w:val="16"/>
              </w:rPr>
              <w:t>0% (CRR3 Art 134(2))</w:t>
            </w:r>
          </w:p>
        </w:tc>
      </w:tr>
      <w:tr>
        <w:tc>
          <w:tcPr>
            <w:tcW w:type="dxa" w:w="3456"/>
            <w:shd w:fill="F2F2F2" w:val="clear"/>
          </w:tcPr>
          <w:p>
            <w:pPr>
              <w:jc w:val="left"/>
            </w:pPr>
            <w:r/>
            <w:r>
              <w:rPr>
                <w:rFonts w:ascii="Calibri" w:hAnsi="Calibri"/>
                <w:b/>
                <w:color w:val="000000"/>
                <w:sz w:val="16"/>
              </w:rPr>
              <w:t>Cash Items in Collection</w:t>
            </w:r>
          </w:p>
        </w:tc>
        <w:tc>
          <w:tcPr>
            <w:tcW w:type="dxa" w:w="3456"/>
            <w:shd w:fill="F2F2F2" w:val="clear"/>
          </w:tcPr>
          <w:p>
            <w:pPr>
              <w:jc w:val="left"/>
            </w:pPr>
            <w:r/>
            <w:r>
              <w:rPr>
                <w:rFonts w:ascii="Calibri" w:hAnsi="Calibri"/>
                <w:b w:val="0"/>
                <w:color w:val="000000"/>
                <w:sz w:val="16"/>
              </w:rPr>
              <w:t>20% (12 CFR 217.32(l))</w:t>
            </w:r>
          </w:p>
        </w:tc>
        <w:tc>
          <w:tcPr>
            <w:tcW w:type="dxa" w:w="3456"/>
            <w:shd w:fill="F2F2F2" w:val="clear"/>
          </w:tcPr>
          <w:p>
            <w:pPr>
              <w:jc w:val="left"/>
            </w:pPr>
            <w:r/>
            <w:r>
              <w:rPr>
                <w:rFonts w:ascii="Calibri" w:hAnsi="Calibri"/>
                <w:b w:val="0"/>
                <w:color w:val="000000"/>
                <w:sz w:val="16"/>
              </w:rPr>
              <w:t>20% (PS1/26 Ch.3.11)</w:t>
            </w:r>
          </w:p>
        </w:tc>
        <w:tc>
          <w:tcPr>
            <w:tcW w:type="dxa" w:w="3456"/>
            <w:shd w:fill="F2F2F2" w:val="clear"/>
          </w:tcPr>
          <w:p>
            <w:pPr>
              <w:jc w:val="left"/>
            </w:pPr>
            <w:r/>
            <w:r>
              <w:rPr>
                <w:rFonts w:ascii="Calibri" w:hAnsi="Calibri"/>
                <w:b w:val="0"/>
                <w:color w:val="000000"/>
                <w:sz w:val="16"/>
              </w:rPr>
              <w:t>20% (CRR3 Art 134(3))</w:t>
            </w:r>
          </w:p>
        </w:tc>
      </w:tr>
      <w:tr>
        <w:tc>
          <w:tcPr>
            <w:tcW w:type="dxa" w:w="3456"/>
            <w:shd w:fill="FFFFFF" w:val="clear"/>
          </w:tcPr>
          <w:p>
            <w:pPr>
              <w:jc w:val="left"/>
            </w:pPr>
            <w:r/>
            <w:r>
              <w:rPr>
                <w:rFonts w:ascii="Calibri" w:hAnsi="Calibri"/>
                <w:b/>
                <w:color w:val="000000"/>
                <w:sz w:val="16"/>
              </w:rPr>
              <w:t>Fixed Assets</w:t>
            </w:r>
          </w:p>
        </w:tc>
        <w:tc>
          <w:tcPr>
            <w:tcW w:type="dxa" w:w="3456"/>
            <w:shd w:fill="FFFFFF" w:val="clear"/>
          </w:tcPr>
          <w:p>
            <w:pPr>
              <w:jc w:val="left"/>
            </w:pPr>
            <w:r/>
            <w:r>
              <w:rPr>
                <w:rFonts w:ascii="Calibri" w:hAnsi="Calibri"/>
                <w:b w:val="0"/>
                <w:color w:val="000000"/>
                <w:sz w:val="16"/>
              </w:rPr>
              <w:t>100% (ERBA P.116)</w:t>
            </w:r>
          </w:p>
        </w:tc>
        <w:tc>
          <w:tcPr>
            <w:tcW w:type="dxa" w:w="3456"/>
            <w:shd w:fill="FFFFFF" w:val="clear"/>
          </w:tcPr>
          <w:p>
            <w:pPr>
              <w:jc w:val="left"/>
            </w:pPr>
            <w:r/>
            <w:r>
              <w:rPr>
                <w:rFonts w:ascii="Calibri" w:hAnsi="Calibri"/>
                <w:b w:val="0"/>
                <w:color w:val="000000"/>
                <w:sz w:val="16"/>
              </w:rPr>
              <w:t>100% (PS1/26 Ch.3.11)</w:t>
            </w:r>
          </w:p>
        </w:tc>
        <w:tc>
          <w:tcPr>
            <w:tcW w:type="dxa" w:w="3456"/>
            <w:shd w:fill="FFFFFF" w:val="clear"/>
          </w:tcPr>
          <w:p>
            <w:pPr>
              <w:jc w:val="left"/>
            </w:pPr>
            <w:r/>
            <w:r>
              <w:rPr>
                <w:rFonts w:ascii="Calibri" w:hAnsi="Calibri"/>
                <w:b w:val="0"/>
                <w:color w:val="000000"/>
                <w:sz w:val="16"/>
              </w:rPr>
              <w:t>100% (CRR3 Art 134(6))</w:t>
            </w:r>
          </w:p>
        </w:tc>
      </w:tr>
      <w:tr>
        <w:tc>
          <w:tcPr>
            <w:tcW w:type="dxa" w:w="3456"/>
            <w:shd w:fill="F2F2F2" w:val="clear"/>
          </w:tcPr>
          <w:p>
            <w:pPr>
              <w:jc w:val="left"/>
            </w:pPr>
            <w:r/>
            <w:r>
              <w:rPr>
                <w:rFonts w:ascii="Calibri" w:hAnsi="Calibri"/>
                <w:b/>
                <w:color w:val="000000"/>
                <w:sz w:val="16"/>
              </w:rPr>
              <w:t>All Other Assets</w:t>
            </w:r>
          </w:p>
        </w:tc>
        <w:tc>
          <w:tcPr>
            <w:tcW w:type="dxa" w:w="3456"/>
            <w:shd w:fill="F2F2F2" w:val="clear"/>
          </w:tcPr>
          <w:p>
            <w:pPr>
              <w:jc w:val="left"/>
            </w:pPr>
            <w:r/>
            <w:r>
              <w:rPr>
                <w:rFonts w:ascii="Calibri" w:hAnsi="Calibri"/>
                <w:b w:val="0"/>
                <w:color w:val="000000"/>
                <w:sz w:val="16"/>
              </w:rPr>
              <w:t>100% (ERBA P.116)</w:t>
            </w:r>
          </w:p>
        </w:tc>
        <w:tc>
          <w:tcPr>
            <w:tcW w:type="dxa" w:w="3456"/>
            <w:shd w:fill="F2F2F2" w:val="clear"/>
          </w:tcPr>
          <w:p>
            <w:pPr>
              <w:jc w:val="left"/>
            </w:pPr>
            <w:r/>
            <w:r>
              <w:rPr>
                <w:rFonts w:ascii="Calibri" w:hAnsi="Calibri"/>
                <w:b w:val="0"/>
                <w:color w:val="000000"/>
                <w:sz w:val="16"/>
              </w:rPr>
              <w:t>100% (PS1/26 Ch.3.11)</w:t>
            </w:r>
          </w:p>
        </w:tc>
        <w:tc>
          <w:tcPr>
            <w:tcW w:type="dxa" w:w="3456"/>
            <w:shd w:fill="F2F2F2" w:val="clear"/>
          </w:tcPr>
          <w:p>
            <w:pPr>
              <w:jc w:val="left"/>
            </w:pPr>
            <w:r/>
            <w:r>
              <w:rPr>
                <w:rFonts w:ascii="Calibri" w:hAnsi="Calibri"/>
                <w:b w:val="0"/>
                <w:color w:val="000000"/>
                <w:sz w:val="16"/>
              </w:rPr>
              <w:t>100% (CRR3 Art 134(7))</w:t>
            </w:r>
          </w:p>
        </w:tc>
      </w:tr>
      <w:tr>
        <w:tc>
          <w:tcPr>
            <w:tcW w:type="dxa" w:w="3456"/>
            <w:shd w:fill="FFFFFF" w:val="clear"/>
          </w:tcPr>
          <w:p>
            <w:pPr>
              <w:jc w:val="left"/>
            </w:pPr>
            <w:r/>
            <w:r>
              <w:rPr>
                <w:rFonts w:ascii="Calibri" w:hAnsi="Calibri"/>
                <w:b/>
                <w:color w:val="000000"/>
                <w:sz w:val="16"/>
              </w:rPr>
              <w:t>Defaulted Exposures</w:t>
            </w:r>
          </w:p>
        </w:tc>
        <w:tc>
          <w:tcPr>
            <w:tcW w:type="dxa" w:w="3456"/>
            <w:shd w:fill="FFFFFF" w:val="clear"/>
          </w:tcPr>
          <w:p>
            <w:pPr>
              <w:jc w:val="left"/>
            </w:pPr>
            <w:r/>
            <w:r>
              <w:rPr>
                <w:rFonts w:ascii="Calibri" w:hAnsi="Calibri"/>
                <w:b w:val="0"/>
                <w:color w:val="000000"/>
                <w:sz w:val="16"/>
              </w:rPr>
              <w:t>150% for non-RE defaulted (ERBA P.112)</w:t>
            </w:r>
          </w:p>
        </w:tc>
        <w:tc>
          <w:tcPr>
            <w:tcW w:type="dxa" w:w="3456"/>
            <w:shd w:fill="FFFFFF" w:val="clear"/>
          </w:tcPr>
          <w:p>
            <w:pPr>
              <w:jc w:val="left"/>
            </w:pPr>
            <w:r/>
            <w:r>
              <w:rPr>
                <w:rFonts w:ascii="Calibri" w:hAnsi="Calibri"/>
                <w:b w:val="0"/>
                <w:color w:val="000000"/>
                <w:sz w:val="16"/>
              </w:rPr>
              <w:t>150% (PS1/26 Ch.3.10)</w:t>
            </w:r>
          </w:p>
        </w:tc>
        <w:tc>
          <w:tcPr>
            <w:tcW w:type="dxa" w:w="3456"/>
            <w:shd w:fill="FFFFFF" w:val="clear"/>
          </w:tcPr>
          <w:p>
            <w:pPr>
              <w:jc w:val="left"/>
            </w:pPr>
            <w:r/>
            <w:r>
              <w:rPr>
                <w:rFonts w:ascii="Calibri" w:hAnsi="Calibri"/>
                <w:b w:val="0"/>
                <w:color w:val="000000"/>
                <w:sz w:val="16"/>
              </w:rPr>
              <w:t>150% (CRR3 Art 127(1))</w:t>
            </w:r>
          </w:p>
        </w:tc>
      </w:tr>
      <w:tr>
        <w:tc>
          <w:tcPr>
            <w:tcW w:type="dxa" w:w="3456"/>
            <w:shd w:fill="F2F2F2" w:val="clear"/>
          </w:tcPr>
          <w:p>
            <w:pPr>
              <w:jc w:val="left"/>
            </w:pPr>
            <w:r/>
            <w:r>
              <w:rPr>
                <w:rFonts w:ascii="Calibri" w:hAnsi="Calibri"/>
                <w:b/>
                <w:color w:val="000000"/>
                <w:sz w:val="16"/>
              </w:rPr>
              <w:t>Central Bank Exposures</w:t>
            </w:r>
          </w:p>
        </w:tc>
        <w:tc>
          <w:tcPr>
            <w:tcW w:type="dxa" w:w="3456"/>
            <w:shd w:fill="F2F2F2" w:val="clear"/>
          </w:tcPr>
          <w:p>
            <w:pPr>
              <w:jc w:val="left"/>
            </w:pPr>
            <w:r/>
            <w:r>
              <w:rPr>
                <w:rFonts w:ascii="Calibri" w:hAnsi="Calibri"/>
                <w:b w:val="0"/>
                <w:color w:val="000000"/>
                <w:sz w:val="16"/>
              </w:rPr>
              <w:t>0% for reserves at Fed (12 CFR 217.32(a))</w:t>
            </w:r>
          </w:p>
        </w:tc>
        <w:tc>
          <w:tcPr>
            <w:tcW w:type="dxa" w:w="3456"/>
            <w:shd w:fill="F2F2F2" w:val="clear"/>
          </w:tcPr>
          <w:p>
            <w:pPr>
              <w:jc w:val="left"/>
            </w:pPr>
            <w:r/>
            <w:r>
              <w:rPr>
                <w:rFonts w:ascii="Calibri" w:hAnsi="Calibri"/>
                <w:b w:val="0"/>
                <w:color w:val="000000"/>
                <w:sz w:val="16"/>
              </w:rPr>
              <w:t>0% for reserves at BoE (PS1/26 Ch.3.11)</w:t>
            </w:r>
          </w:p>
        </w:tc>
        <w:tc>
          <w:tcPr>
            <w:tcW w:type="dxa" w:w="3456"/>
            <w:shd w:fill="F2F2F2" w:val="clear"/>
          </w:tcPr>
          <w:p>
            <w:pPr>
              <w:jc w:val="left"/>
            </w:pPr>
            <w:r/>
            <w:r>
              <w:rPr>
                <w:rFonts w:ascii="Calibri" w:hAnsi="Calibri"/>
                <w:b w:val="0"/>
                <w:color w:val="000000"/>
                <w:sz w:val="16"/>
              </w:rPr>
              <w:t>0% for reserves at ECB/NCBs in domestic currency (CRR3 Art 114(4))</w:t>
            </w:r>
          </w:p>
        </w:tc>
      </w:tr>
      <w:tr>
        <w:tc>
          <w:tcPr>
            <w:tcW w:type="dxa" w:w="3456"/>
            <w:shd w:fill="FFFFFF" w:val="clear"/>
          </w:tcPr>
          <w:p>
            <w:pPr>
              <w:jc w:val="left"/>
            </w:pPr>
            <w:r/>
            <w:r>
              <w:rPr>
                <w:rFonts w:ascii="Calibri" w:hAnsi="Calibri"/>
                <w:b/>
                <w:color w:val="000000"/>
                <w:sz w:val="16"/>
              </w:rPr>
              <w:t>CCP Exposures</w:t>
            </w:r>
          </w:p>
        </w:tc>
        <w:tc>
          <w:tcPr>
            <w:tcW w:type="dxa" w:w="3456"/>
            <w:shd w:fill="FFFFFF" w:val="clear"/>
          </w:tcPr>
          <w:p>
            <w:pPr>
              <w:jc w:val="left"/>
            </w:pPr>
            <w:r/>
            <w:r>
              <w:rPr>
                <w:rFonts w:ascii="Calibri" w:hAnsi="Calibri"/>
                <w:b w:val="0"/>
                <w:color w:val="000000"/>
                <w:sz w:val="16"/>
              </w:rPr>
              <w:t>2% for qualifying CCPs (12 CFR 217.133)</w:t>
            </w:r>
          </w:p>
        </w:tc>
        <w:tc>
          <w:tcPr>
            <w:tcW w:type="dxa" w:w="3456"/>
            <w:shd w:fill="FFFFFF" w:val="clear"/>
          </w:tcPr>
          <w:p>
            <w:pPr>
              <w:jc w:val="left"/>
            </w:pPr>
            <w:r/>
            <w:r>
              <w:rPr>
                <w:rFonts w:ascii="Calibri" w:hAnsi="Calibri"/>
                <w:b w:val="0"/>
                <w:color w:val="000000"/>
                <w:sz w:val="16"/>
              </w:rPr>
              <w:t>2% for qualifying CCPs (PS1/26 Ch.8.5)</w:t>
            </w:r>
          </w:p>
        </w:tc>
        <w:tc>
          <w:tcPr>
            <w:tcW w:type="dxa" w:w="3456"/>
            <w:shd w:fill="FFFFFF" w:val="clear"/>
          </w:tcPr>
          <w:p>
            <w:pPr>
              <w:jc w:val="left"/>
            </w:pPr>
            <w:r/>
            <w:r>
              <w:rPr>
                <w:rFonts w:ascii="Calibri" w:hAnsi="Calibri"/>
                <w:b w:val="0"/>
                <w:color w:val="000000"/>
                <w:sz w:val="16"/>
              </w:rPr>
              <w:t>2% for qualifying CCPs (CRR3 Art 306(1)(a))</w:t>
            </w:r>
          </w:p>
        </w:tc>
      </w:tr>
      <w:tr>
        <w:tc>
          <w:tcPr>
            <w:tcW w:type="dxa" w:w="3456"/>
            <w:shd w:fill="F2F2F2" w:val="clear"/>
          </w:tcPr>
          <w:p>
            <w:pPr>
              <w:jc w:val="left"/>
            </w:pPr>
            <w:r/>
            <w:r>
              <w:rPr>
                <w:rFonts w:ascii="Calibri" w:hAnsi="Calibri"/>
                <w:b/>
                <w:color w:val="000000"/>
                <w:sz w:val="16"/>
              </w:rPr>
              <w:t>CCP Default Fund</w:t>
            </w:r>
          </w:p>
        </w:tc>
        <w:tc>
          <w:tcPr>
            <w:tcW w:type="dxa" w:w="3456"/>
            <w:shd w:fill="F2F2F2" w:val="clear"/>
          </w:tcPr>
          <w:p>
            <w:pPr>
              <w:jc w:val="left"/>
            </w:pPr>
            <w:r/>
            <w:r>
              <w:rPr>
                <w:rFonts w:ascii="Calibri" w:hAnsi="Calibri"/>
                <w:b w:val="0"/>
                <w:color w:val="000000"/>
                <w:sz w:val="16"/>
              </w:rPr>
              <w:t>Risk-sensitive per 12 CFR 217.133(d)</w:t>
            </w:r>
          </w:p>
        </w:tc>
        <w:tc>
          <w:tcPr>
            <w:tcW w:type="dxa" w:w="3456"/>
            <w:shd w:fill="F2F2F2" w:val="clear"/>
          </w:tcPr>
          <w:p>
            <w:pPr>
              <w:jc w:val="left"/>
            </w:pPr>
            <w:r/>
            <w:r>
              <w:rPr>
                <w:rFonts w:ascii="Calibri" w:hAnsi="Calibri"/>
                <w:b w:val="0"/>
                <w:color w:val="000000"/>
                <w:sz w:val="16"/>
              </w:rPr>
              <w:t>Risk-sensitive (PS1/26 Ch.8.5)</w:t>
            </w:r>
          </w:p>
        </w:tc>
        <w:tc>
          <w:tcPr>
            <w:tcW w:type="dxa" w:w="3456"/>
            <w:shd w:fill="F2F2F2" w:val="clear"/>
          </w:tcPr>
          <w:p>
            <w:pPr>
              <w:jc w:val="left"/>
            </w:pPr>
            <w:r/>
            <w:r>
              <w:rPr>
                <w:rFonts w:ascii="Calibri" w:hAnsi="Calibri"/>
                <w:b w:val="0"/>
                <w:color w:val="000000"/>
                <w:sz w:val="16"/>
              </w:rPr>
              <w:t>Risk-sensitive per CRR3 Art 308</w:t>
            </w:r>
          </w:p>
        </w:tc>
      </w:tr>
    </w:tbl>
    <w:p>
      <w:r>
        <w:br w:type="page"/>
      </w:r>
    </w:p>
    <w:p>
      <w:r>
        <w:rPr>
          <w:rFonts w:ascii="Calibri" w:hAnsi="Calibri"/>
          <w:b/>
          <w:color w:val="C8962E"/>
          <w:sz w:val="28"/>
        </w:rPr>
        <w:t>SECTION 7</w:t>
      </w:r>
    </w:p>
    <w:p>
      <w:r>
        <w:rPr>
          <w:rFonts w:ascii="Calibri" w:hAnsi="Calibri"/>
          <w:b/>
          <w:color w:val="002060"/>
          <w:sz w:val="32"/>
        </w:rPr>
        <w:t>Off-Balance Sheet CCFs: Commitment Divergence Analysis</w:t>
      </w:r>
    </w:p>
    <w:p>
      <w:r>
        <w:rPr>
          <w:color w:val="C8962E"/>
          <w:sz w:val="12"/>
        </w:rPr>
        <w:t>________________________________________________________________________________________________________________________</w:t>
      </w:r>
    </w:p>
    <w:p>
      <w:r>
        <w:rPr>
          <w:rFonts w:ascii="Calibri" w:hAnsi="Calibri"/>
          <w:color w:val="000000"/>
          <w:sz w:val="18"/>
        </w:rPr>
        <w:t>CRITICAL DIVERGENCE: The US applies a uniform 40% CCF to all commitments regardless of maturity, while the UK/EU split 20%/40% based on original maturity (&lt;=1Y / &gt;1Y). This creates material RWA impact for G-SIBs with large short-term commitment books.</w:t>
      </w:r>
    </w:p>
    <w:p>
      <w:r>
        <w:rPr>
          <w:rFonts w:ascii="Calibri" w:hAnsi="Calibri"/>
          <w:b/>
          <w:color w:val="002060"/>
          <w:sz w:val="22"/>
        </w:rPr>
        <w:t>7.1 Complete CCF Comparison Table</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CCF Categories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Unconditionally Cancellable (UCC)</w:t>
            </w:r>
          </w:p>
        </w:tc>
        <w:tc>
          <w:tcPr>
            <w:tcW w:type="dxa" w:w="3456"/>
            <w:shd w:fill="FFFFFF" w:val="clear"/>
          </w:tcPr>
          <w:p>
            <w:pPr>
              <w:jc w:val="left"/>
            </w:pPr>
            <w:r/>
            <w:r>
              <w:rPr>
                <w:rFonts w:ascii="Calibri" w:hAnsi="Calibri"/>
                <w:b w:val="0"/>
                <w:color w:val="000000"/>
                <w:sz w:val="16"/>
              </w:rPr>
              <w:t>10% (ERBA P.210, Category 12). Must be unconditionally cancellable without notice</w:t>
            </w:r>
          </w:p>
        </w:tc>
        <w:tc>
          <w:tcPr>
            <w:tcW w:type="dxa" w:w="3456"/>
            <w:shd w:fill="FFFFFF" w:val="clear"/>
          </w:tcPr>
          <w:p>
            <w:pPr>
              <w:jc w:val="left"/>
            </w:pPr>
            <w:r/>
            <w:r>
              <w:rPr>
                <w:rFonts w:ascii="Calibri" w:hAnsi="Calibri"/>
                <w:b w:val="0"/>
                <w:color w:val="000000"/>
                <w:sz w:val="16"/>
              </w:rPr>
              <w:t>10% (PS1/26 Ch.5 Table 5.1)</w:t>
            </w:r>
          </w:p>
        </w:tc>
        <w:tc>
          <w:tcPr>
            <w:tcW w:type="dxa" w:w="3456"/>
            <w:shd w:fill="FFFFFF" w:val="clear"/>
          </w:tcPr>
          <w:p>
            <w:pPr>
              <w:jc w:val="left"/>
            </w:pPr>
            <w:r/>
            <w:r>
              <w:rPr>
                <w:rFonts w:ascii="Calibri" w:hAnsi="Calibri"/>
                <w:b w:val="0"/>
                <w:color w:val="000000"/>
                <w:sz w:val="16"/>
              </w:rPr>
              <w:t>10% (CRR3 Art 111(1)(e))</w:t>
            </w:r>
          </w:p>
        </w:tc>
      </w:tr>
      <w:tr>
        <w:tc>
          <w:tcPr>
            <w:tcW w:type="dxa" w:w="3456"/>
            <w:shd w:fill="F2F2F2" w:val="clear"/>
          </w:tcPr>
          <w:p>
            <w:pPr>
              <w:jc w:val="left"/>
            </w:pPr>
            <w:r/>
            <w:r>
              <w:rPr>
                <w:rFonts w:ascii="Calibri" w:hAnsi="Calibri"/>
                <w:b/>
                <w:color w:val="000000"/>
                <w:sz w:val="16"/>
              </w:rPr>
              <w:t>Commitments &lt;=1Y (Non-UCC)</w:t>
            </w:r>
          </w:p>
        </w:tc>
        <w:tc>
          <w:tcPr>
            <w:tcW w:type="dxa" w:w="3456"/>
            <w:shd w:fill="F2F2F2" w:val="clear"/>
          </w:tcPr>
          <w:p>
            <w:pPr>
              <w:jc w:val="left"/>
            </w:pPr>
            <w:r/>
            <w:r>
              <w:rPr>
                <w:rFonts w:ascii="Calibri" w:hAnsi="Calibri"/>
                <w:b w:val="0"/>
                <w:color w:val="000000"/>
                <w:sz w:val="16"/>
              </w:rPr>
              <w:t>40% (ERBA P.210, Category 4). UNIFORM regardless of maturity - NO maturity split</w:t>
            </w:r>
          </w:p>
        </w:tc>
        <w:tc>
          <w:tcPr>
            <w:tcW w:type="dxa" w:w="3456"/>
            <w:shd w:fill="F2F2F2" w:val="clear"/>
          </w:tcPr>
          <w:p>
            <w:pPr>
              <w:jc w:val="left"/>
            </w:pPr>
            <w:r/>
            <w:r>
              <w:rPr>
                <w:rFonts w:ascii="Calibri" w:hAnsi="Calibri"/>
                <w:b w:val="0"/>
                <w:color w:val="000000"/>
                <w:sz w:val="16"/>
              </w:rPr>
              <w:t>20% for &lt;=1Y original maturity (PS1/26 Ch.5 Table 5.1) - CRITICAL DIVERGENCE</w:t>
            </w:r>
          </w:p>
        </w:tc>
        <w:tc>
          <w:tcPr>
            <w:tcW w:type="dxa" w:w="3456"/>
            <w:shd w:fill="F2F2F2" w:val="clear"/>
          </w:tcPr>
          <w:p>
            <w:pPr>
              <w:jc w:val="left"/>
            </w:pPr>
            <w:r/>
            <w:r>
              <w:rPr>
                <w:rFonts w:ascii="Calibri" w:hAnsi="Calibri"/>
                <w:b w:val="0"/>
                <w:color w:val="000000"/>
                <w:sz w:val="16"/>
              </w:rPr>
              <w:t>20% for &lt;=1Y original maturity (CRR3 Art 111(1)(d)(i)) - CRITICAL DIVERGENCE</w:t>
            </w:r>
          </w:p>
        </w:tc>
      </w:tr>
      <w:tr>
        <w:tc>
          <w:tcPr>
            <w:tcW w:type="dxa" w:w="3456"/>
            <w:shd w:fill="FFFFFF" w:val="clear"/>
          </w:tcPr>
          <w:p>
            <w:pPr>
              <w:jc w:val="left"/>
            </w:pPr>
            <w:r/>
            <w:r>
              <w:rPr>
                <w:rFonts w:ascii="Calibri" w:hAnsi="Calibri"/>
                <w:b/>
                <w:color w:val="000000"/>
                <w:sz w:val="16"/>
              </w:rPr>
              <w:t>Commitments &gt;1Y (Non-UCC)</w:t>
            </w:r>
          </w:p>
        </w:tc>
        <w:tc>
          <w:tcPr>
            <w:tcW w:type="dxa" w:w="3456"/>
            <w:shd w:fill="FFFFFF" w:val="clear"/>
          </w:tcPr>
          <w:p>
            <w:pPr>
              <w:jc w:val="left"/>
            </w:pPr>
            <w:r/>
            <w:r>
              <w:rPr>
                <w:rFonts w:ascii="Calibri" w:hAnsi="Calibri"/>
                <w:b w:val="0"/>
                <w:color w:val="000000"/>
                <w:sz w:val="16"/>
              </w:rPr>
              <w:t>40% (ERBA P.210, Category 4). Same as &lt;=1Y</w:t>
            </w:r>
          </w:p>
        </w:tc>
        <w:tc>
          <w:tcPr>
            <w:tcW w:type="dxa" w:w="3456"/>
            <w:shd w:fill="FFFFFF" w:val="clear"/>
          </w:tcPr>
          <w:p>
            <w:pPr>
              <w:jc w:val="left"/>
            </w:pPr>
            <w:r/>
            <w:r>
              <w:rPr>
                <w:rFonts w:ascii="Calibri" w:hAnsi="Calibri"/>
                <w:b w:val="0"/>
                <w:color w:val="000000"/>
                <w:sz w:val="16"/>
              </w:rPr>
              <w:t>40% for &gt;1Y original maturity (PS1/26 Ch.5 Table 5.1)</w:t>
            </w:r>
          </w:p>
        </w:tc>
        <w:tc>
          <w:tcPr>
            <w:tcW w:type="dxa" w:w="3456"/>
            <w:shd w:fill="FFFFFF" w:val="clear"/>
          </w:tcPr>
          <w:p>
            <w:pPr>
              <w:jc w:val="left"/>
            </w:pPr>
            <w:r/>
            <w:r>
              <w:rPr>
                <w:rFonts w:ascii="Calibri" w:hAnsi="Calibri"/>
                <w:b w:val="0"/>
                <w:color w:val="000000"/>
                <w:sz w:val="16"/>
              </w:rPr>
              <w:t>40% for &gt;1Y original maturity (CRR3 Art 111(1)(d)(ii))</w:t>
            </w:r>
          </w:p>
        </w:tc>
      </w:tr>
      <w:tr>
        <w:tc>
          <w:tcPr>
            <w:tcW w:type="dxa" w:w="3456"/>
            <w:shd w:fill="F2F2F2" w:val="clear"/>
          </w:tcPr>
          <w:p>
            <w:pPr>
              <w:jc w:val="left"/>
            </w:pPr>
            <w:r/>
            <w:r>
              <w:rPr>
                <w:rFonts w:ascii="Calibri" w:hAnsi="Calibri"/>
                <w:b/>
                <w:color w:val="000000"/>
                <w:sz w:val="16"/>
              </w:rPr>
              <w:t>Direct Credit Substitutes</w:t>
            </w:r>
          </w:p>
        </w:tc>
        <w:tc>
          <w:tcPr>
            <w:tcW w:type="dxa" w:w="3456"/>
            <w:shd w:fill="F2F2F2" w:val="clear"/>
          </w:tcPr>
          <w:p>
            <w:pPr>
              <w:jc w:val="left"/>
            </w:pPr>
            <w:r/>
            <w:r>
              <w:rPr>
                <w:rFonts w:ascii="Calibri" w:hAnsi="Calibri"/>
                <w:b w:val="0"/>
                <w:color w:val="000000"/>
                <w:sz w:val="16"/>
              </w:rPr>
              <w:t>100% (ERBA P.208, Category 1). Guarantees, standby LCs backing financial obligations</w:t>
            </w:r>
          </w:p>
        </w:tc>
        <w:tc>
          <w:tcPr>
            <w:tcW w:type="dxa" w:w="3456"/>
            <w:shd w:fill="F2F2F2" w:val="clear"/>
          </w:tcPr>
          <w:p>
            <w:pPr>
              <w:jc w:val="left"/>
            </w:pPr>
            <w:r/>
            <w:r>
              <w:rPr>
                <w:rFonts w:ascii="Calibri" w:hAnsi="Calibri"/>
                <w:b w:val="0"/>
                <w:color w:val="000000"/>
                <w:sz w:val="16"/>
              </w:rPr>
              <w:t>100% (PS1/26 Ch.5 Table 5.1)</w:t>
            </w:r>
          </w:p>
        </w:tc>
        <w:tc>
          <w:tcPr>
            <w:tcW w:type="dxa" w:w="3456"/>
            <w:shd w:fill="F2F2F2" w:val="clear"/>
          </w:tcPr>
          <w:p>
            <w:pPr>
              <w:jc w:val="left"/>
            </w:pPr>
            <w:r/>
            <w:r>
              <w:rPr>
                <w:rFonts w:ascii="Calibri" w:hAnsi="Calibri"/>
                <w:b w:val="0"/>
                <w:color w:val="000000"/>
                <w:sz w:val="16"/>
              </w:rPr>
              <w:t>100% (CRR3 Art 111(1)(a))</w:t>
            </w:r>
          </w:p>
        </w:tc>
      </w:tr>
      <w:tr>
        <w:tc>
          <w:tcPr>
            <w:tcW w:type="dxa" w:w="3456"/>
            <w:shd w:fill="FFFFFF" w:val="clear"/>
          </w:tcPr>
          <w:p>
            <w:pPr>
              <w:jc w:val="left"/>
            </w:pPr>
            <w:r/>
            <w:r>
              <w:rPr>
                <w:rFonts w:ascii="Calibri" w:hAnsi="Calibri"/>
                <w:b/>
                <w:color w:val="000000"/>
                <w:sz w:val="16"/>
              </w:rPr>
              <w:t>Transaction-Related Contingent</w:t>
            </w:r>
          </w:p>
        </w:tc>
        <w:tc>
          <w:tcPr>
            <w:tcW w:type="dxa" w:w="3456"/>
            <w:shd w:fill="FFFFFF" w:val="clear"/>
          </w:tcPr>
          <w:p>
            <w:pPr>
              <w:jc w:val="left"/>
            </w:pPr>
            <w:r/>
            <w:r>
              <w:rPr>
                <w:rFonts w:ascii="Calibri" w:hAnsi="Calibri"/>
                <w:b w:val="0"/>
                <w:color w:val="000000"/>
                <w:sz w:val="16"/>
              </w:rPr>
              <w:t>50% (ERBA P.208, Category 2). Performance bonds, bid bonds, warranties</w:t>
            </w:r>
          </w:p>
        </w:tc>
        <w:tc>
          <w:tcPr>
            <w:tcW w:type="dxa" w:w="3456"/>
            <w:shd w:fill="FFFFFF" w:val="clear"/>
          </w:tcPr>
          <w:p>
            <w:pPr>
              <w:jc w:val="left"/>
            </w:pPr>
            <w:r/>
            <w:r>
              <w:rPr>
                <w:rFonts w:ascii="Calibri" w:hAnsi="Calibri"/>
                <w:b w:val="0"/>
                <w:color w:val="000000"/>
                <w:sz w:val="16"/>
              </w:rPr>
              <w:t>50% (PS1/26 Ch.5 Table 5.1)</w:t>
            </w:r>
          </w:p>
        </w:tc>
        <w:tc>
          <w:tcPr>
            <w:tcW w:type="dxa" w:w="3456"/>
            <w:shd w:fill="FFFFFF" w:val="clear"/>
          </w:tcPr>
          <w:p>
            <w:pPr>
              <w:jc w:val="left"/>
            </w:pPr>
            <w:r/>
            <w:r>
              <w:rPr>
                <w:rFonts w:ascii="Calibri" w:hAnsi="Calibri"/>
                <w:b w:val="0"/>
                <w:color w:val="000000"/>
                <w:sz w:val="16"/>
              </w:rPr>
              <w:t>50% (CRR3 Art 111(1)(b))</w:t>
            </w:r>
          </w:p>
        </w:tc>
      </w:tr>
      <w:tr>
        <w:tc>
          <w:tcPr>
            <w:tcW w:type="dxa" w:w="3456"/>
            <w:shd w:fill="F2F2F2" w:val="clear"/>
          </w:tcPr>
          <w:p>
            <w:pPr>
              <w:jc w:val="left"/>
            </w:pPr>
            <w:r/>
            <w:r>
              <w:rPr>
                <w:rFonts w:ascii="Calibri" w:hAnsi="Calibri"/>
                <w:b/>
                <w:color w:val="000000"/>
                <w:sz w:val="16"/>
              </w:rPr>
              <w:t>Trade-Related Contingent</w:t>
            </w:r>
          </w:p>
        </w:tc>
        <w:tc>
          <w:tcPr>
            <w:tcW w:type="dxa" w:w="3456"/>
            <w:shd w:fill="F2F2F2" w:val="clear"/>
          </w:tcPr>
          <w:p>
            <w:pPr>
              <w:jc w:val="left"/>
            </w:pPr>
            <w:r/>
            <w:r>
              <w:rPr>
                <w:rFonts w:ascii="Calibri" w:hAnsi="Calibri"/>
                <w:b w:val="0"/>
                <w:color w:val="000000"/>
                <w:sz w:val="16"/>
              </w:rPr>
              <w:t>20% (ERBA P.208, Category 3). Short-term self-liquidating trade LCs</w:t>
            </w:r>
          </w:p>
        </w:tc>
        <w:tc>
          <w:tcPr>
            <w:tcW w:type="dxa" w:w="3456"/>
            <w:shd w:fill="F2F2F2" w:val="clear"/>
          </w:tcPr>
          <w:p>
            <w:pPr>
              <w:jc w:val="left"/>
            </w:pPr>
            <w:r/>
            <w:r>
              <w:rPr>
                <w:rFonts w:ascii="Calibri" w:hAnsi="Calibri"/>
                <w:b w:val="0"/>
                <w:color w:val="000000"/>
                <w:sz w:val="16"/>
              </w:rPr>
              <w:t>20% (PS1/26 Ch.5 Table 5.1)</w:t>
            </w:r>
          </w:p>
        </w:tc>
        <w:tc>
          <w:tcPr>
            <w:tcW w:type="dxa" w:w="3456"/>
            <w:shd w:fill="F2F2F2" w:val="clear"/>
          </w:tcPr>
          <w:p>
            <w:pPr>
              <w:jc w:val="left"/>
            </w:pPr>
            <w:r/>
            <w:r>
              <w:rPr>
                <w:rFonts w:ascii="Calibri" w:hAnsi="Calibri"/>
                <w:b w:val="0"/>
                <w:color w:val="000000"/>
                <w:sz w:val="16"/>
              </w:rPr>
              <w:t>20% (CRR3 Art 111(1)(c))</w:t>
            </w:r>
          </w:p>
        </w:tc>
      </w:tr>
      <w:tr>
        <w:tc>
          <w:tcPr>
            <w:tcW w:type="dxa" w:w="3456"/>
            <w:shd w:fill="FFFFFF" w:val="clear"/>
          </w:tcPr>
          <w:p>
            <w:pPr>
              <w:jc w:val="left"/>
            </w:pPr>
            <w:r/>
            <w:r>
              <w:rPr>
                <w:rFonts w:ascii="Calibri" w:hAnsi="Calibri"/>
                <w:b/>
                <w:color w:val="000000"/>
                <w:sz w:val="16"/>
              </w:rPr>
              <w:t>Securities Lending</w:t>
            </w:r>
          </w:p>
        </w:tc>
        <w:tc>
          <w:tcPr>
            <w:tcW w:type="dxa" w:w="3456"/>
            <w:shd w:fill="FFFFFF" w:val="clear"/>
          </w:tcPr>
          <w:p>
            <w:pPr>
              <w:jc w:val="left"/>
            </w:pPr>
            <w:r/>
            <w:r>
              <w:rPr>
                <w:rFonts w:ascii="Calibri" w:hAnsi="Calibri"/>
                <w:b w:val="0"/>
                <w:color w:val="000000"/>
                <w:sz w:val="16"/>
              </w:rPr>
              <w:t>100% (ERBA P.210, Category 5)</w:t>
            </w:r>
          </w:p>
        </w:tc>
        <w:tc>
          <w:tcPr>
            <w:tcW w:type="dxa" w:w="3456"/>
            <w:shd w:fill="FFFFFF" w:val="clear"/>
          </w:tcPr>
          <w:p>
            <w:pPr>
              <w:jc w:val="left"/>
            </w:pPr>
            <w:r/>
            <w:r>
              <w:rPr>
                <w:rFonts w:ascii="Calibri" w:hAnsi="Calibri"/>
                <w:b w:val="0"/>
                <w:color w:val="000000"/>
                <w:sz w:val="16"/>
              </w:rPr>
              <w:t>100% (PS1/26 Ch.5 Table 5.1)</w:t>
            </w:r>
          </w:p>
        </w:tc>
        <w:tc>
          <w:tcPr>
            <w:tcW w:type="dxa" w:w="3456"/>
            <w:shd w:fill="FFFFFF" w:val="clear"/>
          </w:tcPr>
          <w:p>
            <w:pPr>
              <w:jc w:val="left"/>
            </w:pPr>
            <w:r/>
            <w:r>
              <w:rPr>
                <w:rFonts w:ascii="Calibri" w:hAnsi="Calibri"/>
                <w:b w:val="0"/>
                <w:color w:val="000000"/>
                <w:sz w:val="16"/>
              </w:rPr>
              <w:t>100% (CRR3 Art 111(1)(a))</w:t>
            </w:r>
          </w:p>
        </w:tc>
      </w:tr>
      <w:tr>
        <w:tc>
          <w:tcPr>
            <w:tcW w:type="dxa" w:w="3456"/>
            <w:shd w:fill="F2F2F2" w:val="clear"/>
          </w:tcPr>
          <w:p>
            <w:pPr>
              <w:jc w:val="left"/>
            </w:pPr>
            <w:r/>
            <w:r>
              <w:rPr>
                <w:rFonts w:ascii="Calibri" w:hAnsi="Calibri"/>
                <w:b/>
                <w:color w:val="000000"/>
                <w:sz w:val="16"/>
              </w:rPr>
              <w:t>Repo-Style Transactions</w:t>
            </w:r>
          </w:p>
        </w:tc>
        <w:tc>
          <w:tcPr>
            <w:tcW w:type="dxa" w:w="3456"/>
            <w:shd w:fill="F2F2F2" w:val="clear"/>
          </w:tcPr>
          <w:p>
            <w:pPr>
              <w:jc w:val="left"/>
            </w:pPr>
            <w:r/>
            <w:r>
              <w:rPr>
                <w:rFonts w:ascii="Calibri" w:hAnsi="Calibri"/>
                <w:b w:val="0"/>
                <w:color w:val="000000"/>
                <w:sz w:val="16"/>
              </w:rPr>
              <w:t>100% (ERBA P.210, Category 6)</w:t>
            </w:r>
          </w:p>
        </w:tc>
        <w:tc>
          <w:tcPr>
            <w:tcW w:type="dxa" w:w="3456"/>
            <w:shd w:fill="F2F2F2" w:val="clear"/>
          </w:tcPr>
          <w:p>
            <w:pPr>
              <w:jc w:val="left"/>
            </w:pPr>
            <w:r/>
            <w:r>
              <w:rPr>
                <w:rFonts w:ascii="Calibri" w:hAnsi="Calibri"/>
                <w:b w:val="0"/>
                <w:color w:val="000000"/>
                <w:sz w:val="16"/>
              </w:rPr>
              <w:t>100% (PS1/26 Ch.5 Table 5.1)</w:t>
            </w:r>
          </w:p>
        </w:tc>
        <w:tc>
          <w:tcPr>
            <w:tcW w:type="dxa" w:w="3456"/>
            <w:shd w:fill="F2F2F2" w:val="clear"/>
          </w:tcPr>
          <w:p>
            <w:pPr>
              <w:jc w:val="left"/>
            </w:pPr>
            <w:r/>
            <w:r>
              <w:rPr>
                <w:rFonts w:ascii="Calibri" w:hAnsi="Calibri"/>
                <w:b w:val="0"/>
                <w:color w:val="000000"/>
                <w:sz w:val="16"/>
              </w:rPr>
              <w:t>100% (CRR3 Art 111(1)(a))</w:t>
            </w:r>
          </w:p>
        </w:tc>
      </w:tr>
      <w:tr>
        <w:tc>
          <w:tcPr>
            <w:tcW w:type="dxa" w:w="3456"/>
            <w:shd w:fill="FFFFFF" w:val="clear"/>
          </w:tcPr>
          <w:p>
            <w:pPr>
              <w:jc w:val="left"/>
            </w:pPr>
            <w:r/>
            <w:r>
              <w:rPr>
                <w:rFonts w:ascii="Calibri" w:hAnsi="Calibri"/>
                <w:b/>
                <w:color w:val="000000"/>
                <w:sz w:val="16"/>
              </w:rPr>
              <w:t>Asset Sale w/ Recourse</w:t>
            </w:r>
          </w:p>
        </w:tc>
        <w:tc>
          <w:tcPr>
            <w:tcW w:type="dxa" w:w="3456"/>
            <w:shd w:fill="FFFFFF" w:val="clear"/>
          </w:tcPr>
          <w:p>
            <w:pPr>
              <w:jc w:val="left"/>
            </w:pPr>
            <w:r/>
            <w:r>
              <w:rPr>
                <w:rFonts w:ascii="Calibri" w:hAnsi="Calibri"/>
                <w:b w:val="0"/>
                <w:color w:val="000000"/>
                <w:sz w:val="16"/>
              </w:rPr>
              <w:t>100% (ERBA P.210, Category 7)</w:t>
            </w:r>
          </w:p>
        </w:tc>
        <w:tc>
          <w:tcPr>
            <w:tcW w:type="dxa" w:w="3456"/>
            <w:shd w:fill="FFFFFF" w:val="clear"/>
          </w:tcPr>
          <w:p>
            <w:pPr>
              <w:jc w:val="left"/>
            </w:pPr>
            <w:r/>
            <w:r>
              <w:rPr>
                <w:rFonts w:ascii="Calibri" w:hAnsi="Calibri"/>
                <w:b w:val="0"/>
                <w:color w:val="000000"/>
                <w:sz w:val="16"/>
              </w:rPr>
              <w:t>100% (PS1/26 Ch.5 Table 5.1)</w:t>
            </w:r>
          </w:p>
        </w:tc>
        <w:tc>
          <w:tcPr>
            <w:tcW w:type="dxa" w:w="3456"/>
            <w:shd w:fill="FFFFFF" w:val="clear"/>
          </w:tcPr>
          <w:p>
            <w:pPr>
              <w:jc w:val="left"/>
            </w:pPr>
            <w:r/>
            <w:r>
              <w:rPr>
                <w:rFonts w:ascii="Calibri" w:hAnsi="Calibri"/>
                <w:b w:val="0"/>
                <w:color w:val="000000"/>
                <w:sz w:val="16"/>
              </w:rPr>
              <w:t>100% (CRR3 Art 111(1)(a))</w:t>
            </w:r>
          </w:p>
        </w:tc>
      </w:tr>
      <w:tr>
        <w:tc>
          <w:tcPr>
            <w:tcW w:type="dxa" w:w="3456"/>
            <w:shd w:fill="F2F2F2" w:val="clear"/>
          </w:tcPr>
          <w:p>
            <w:pPr>
              <w:jc w:val="left"/>
            </w:pPr>
            <w:r/>
            <w:r>
              <w:rPr>
                <w:rFonts w:ascii="Calibri" w:hAnsi="Calibri"/>
                <w:b/>
                <w:color w:val="000000"/>
                <w:sz w:val="16"/>
              </w:rPr>
              <w:t>Forward Asset Purchase</w:t>
            </w:r>
          </w:p>
        </w:tc>
        <w:tc>
          <w:tcPr>
            <w:tcW w:type="dxa" w:w="3456"/>
            <w:shd w:fill="F2F2F2" w:val="clear"/>
          </w:tcPr>
          <w:p>
            <w:pPr>
              <w:jc w:val="left"/>
            </w:pPr>
            <w:r/>
            <w:r>
              <w:rPr>
                <w:rFonts w:ascii="Calibri" w:hAnsi="Calibri"/>
                <w:b w:val="0"/>
                <w:color w:val="000000"/>
                <w:sz w:val="16"/>
              </w:rPr>
              <w:t>100% (ERBA P.210, Category 8)</w:t>
            </w:r>
          </w:p>
        </w:tc>
        <w:tc>
          <w:tcPr>
            <w:tcW w:type="dxa" w:w="3456"/>
            <w:shd w:fill="F2F2F2" w:val="clear"/>
          </w:tcPr>
          <w:p>
            <w:pPr>
              <w:jc w:val="left"/>
            </w:pPr>
            <w:r/>
            <w:r>
              <w:rPr>
                <w:rFonts w:ascii="Calibri" w:hAnsi="Calibri"/>
                <w:b w:val="0"/>
                <w:color w:val="000000"/>
                <w:sz w:val="16"/>
              </w:rPr>
              <w:t>100% (PS1/26 Ch.5 Table 5.1)</w:t>
            </w:r>
          </w:p>
        </w:tc>
        <w:tc>
          <w:tcPr>
            <w:tcW w:type="dxa" w:w="3456"/>
            <w:shd w:fill="F2F2F2" w:val="clear"/>
          </w:tcPr>
          <w:p>
            <w:pPr>
              <w:jc w:val="left"/>
            </w:pPr>
            <w:r/>
            <w:r>
              <w:rPr>
                <w:rFonts w:ascii="Calibri" w:hAnsi="Calibri"/>
                <w:b w:val="0"/>
                <w:color w:val="000000"/>
                <w:sz w:val="16"/>
              </w:rPr>
              <w:t>100% (CRR3 Art 111(1)(a))</w:t>
            </w:r>
          </w:p>
        </w:tc>
      </w:tr>
      <w:tr>
        <w:tc>
          <w:tcPr>
            <w:tcW w:type="dxa" w:w="3456"/>
            <w:shd w:fill="FFFFFF" w:val="clear"/>
          </w:tcPr>
          <w:p>
            <w:pPr>
              <w:jc w:val="left"/>
            </w:pPr>
            <w:r/>
            <w:r>
              <w:rPr>
                <w:rFonts w:ascii="Calibri" w:hAnsi="Calibri"/>
                <w:b/>
                <w:color w:val="000000"/>
                <w:sz w:val="16"/>
              </w:rPr>
              <w:t>NIF/RUF</w:t>
            </w:r>
          </w:p>
        </w:tc>
        <w:tc>
          <w:tcPr>
            <w:tcW w:type="dxa" w:w="3456"/>
            <w:shd w:fill="FFFFFF" w:val="clear"/>
          </w:tcPr>
          <w:p>
            <w:pPr>
              <w:jc w:val="left"/>
            </w:pPr>
            <w:r/>
            <w:r>
              <w:rPr>
                <w:rFonts w:ascii="Calibri" w:hAnsi="Calibri"/>
                <w:b w:val="0"/>
                <w:color w:val="000000"/>
                <w:sz w:val="16"/>
              </w:rPr>
              <w:t>50% (ERBA P.210, Category 9)</w:t>
            </w:r>
          </w:p>
        </w:tc>
        <w:tc>
          <w:tcPr>
            <w:tcW w:type="dxa" w:w="3456"/>
            <w:shd w:fill="FFFFFF" w:val="clear"/>
          </w:tcPr>
          <w:p>
            <w:pPr>
              <w:jc w:val="left"/>
            </w:pPr>
            <w:r/>
            <w:r>
              <w:rPr>
                <w:rFonts w:ascii="Calibri" w:hAnsi="Calibri"/>
                <w:b w:val="0"/>
                <w:color w:val="000000"/>
                <w:sz w:val="16"/>
              </w:rPr>
              <w:t>50% (PS1/26 Ch.5 Table 5.1)</w:t>
            </w:r>
          </w:p>
        </w:tc>
        <w:tc>
          <w:tcPr>
            <w:tcW w:type="dxa" w:w="3456"/>
            <w:shd w:fill="FFFFFF" w:val="clear"/>
          </w:tcPr>
          <w:p>
            <w:pPr>
              <w:jc w:val="left"/>
            </w:pPr>
            <w:r/>
            <w:r>
              <w:rPr>
                <w:rFonts w:ascii="Calibri" w:hAnsi="Calibri"/>
                <w:b w:val="0"/>
                <w:color w:val="000000"/>
                <w:sz w:val="16"/>
              </w:rPr>
              <w:t>50% (CRR3 Art 111(1)(b))</w:t>
            </w:r>
          </w:p>
        </w:tc>
      </w:tr>
      <w:tr>
        <w:tc>
          <w:tcPr>
            <w:tcW w:type="dxa" w:w="3456"/>
            <w:shd w:fill="F2F2F2" w:val="clear"/>
          </w:tcPr>
          <w:p>
            <w:pPr>
              <w:jc w:val="left"/>
            </w:pPr>
            <w:r/>
            <w:r>
              <w:rPr>
                <w:rFonts w:ascii="Calibri" w:hAnsi="Calibri"/>
                <w:b/>
                <w:color w:val="000000"/>
                <w:sz w:val="16"/>
              </w:rPr>
              <w:t>Forward Deposits</w:t>
            </w:r>
          </w:p>
        </w:tc>
        <w:tc>
          <w:tcPr>
            <w:tcW w:type="dxa" w:w="3456"/>
            <w:shd w:fill="F2F2F2" w:val="clear"/>
          </w:tcPr>
          <w:p>
            <w:pPr>
              <w:jc w:val="left"/>
            </w:pPr>
            <w:r/>
            <w:r>
              <w:rPr>
                <w:rFonts w:ascii="Calibri" w:hAnsi="Calibri"/>
                <w:b w:val="0"/>
                <w:color w:val="000000"/>
                <w:sz w:val="16"/>
              </w:rPr>
              <w:t>100% (ERBA P.210, Category 10)</w:t>
            </w:r>
          </w:p>
        </w:tc>
        <w:tc>
          <w:tcPr>
            <w:tcW w:type="dxa" w:w="3456"/>
            <w:shd w:fill="F2F2F2" w:val="clear"/>
          </w:tcPr>
          <w:p>
            <w:pPr>
              <w:jc w:val="left"/>
            </w:pPr>
            <w:r/>
            <w:r>
              <w:rPr>
                <w:rFonts w:ascii="Calibri" w:hAnsi="Calibri"/>
                <w:b w:val="0"/>
                <w:color w:val="000000"/>
                <w:sz w:val="16"/>
              </w:rPr>
              <w:t>100% (PS1/26 Ch.5 Table 5.1)</w:t>
            </w:r>
          </w:p>
        </w:tc>
        <w:tc>
          <w:tcPr>
            <w:tcW w:type="dxa" w:w="3456"/>
            <w:shd w:fill="F2F2F2" w:val="clear"/>
          </w:tcPr>
          <w:p>
            <w:pPr>
              <w:jc w:val="left"/>
            </w:pPr>
            <w:r/>
            <w:r>
              <w:rPr>
                <w:rFonts w:ascii="Calibri" w:hAnsi="Calibri"/>
                <w:b w:val="0"/>
                <w:color w:val="000000"/>
                <w:sz w:val="16"/>
              </w:rPr>
              <w:t>100% (CRR3 Art 111(1)(a))</w:t>
            </w:r>
          </w:p>
        </w:tc>
      </w:tr>
      <w:tr>
        <w:tc>
          <w:tcPr>
            <w:tcW w:type="dxa" w:w="3456"/>
            <w:shd w:fill="FFFFFF" w:val="clear"/>
          </w:tcPr>
          <w:p>
            <w:pPr>
              <w:jc w:val="left"/>
            </w:pPr>
            <w:r/>
            <w:r>
              <w:rPr>
                <w:rFonts w:ascii="Calibri" w:hAnsi="Calibri"/>
                <w:b/>
                <w:color w:val="000000"/>
                <w:sz w:val="16"/>
              </w:rPr>
              <w:t>Partly Paid Shares</w:t>
            </w:r>
          </w:p>
        </w:tc>
        <w:tc>
          <w:tcPr>
            <w:tcW w:type="dxa" w:w="3456"/>
            <w:shd w:fill="FFFFFF" w:val="clear"/>
          </w:tcPr>
          <w:p>
            <w:pPr>
              <w:jc w:val="left"/>
            </w:pPr>
            <w:r/>
            <w:r>
              <w:rPr>
                <w:rFonts w:ascii="Calibri" w:hAnsi="Calibri"/>
                <w:b w:val="0"/>
                <w:color w:val="000000"/>
                <w:sz w:val="16"/>
              </w:rPr>
              <w:t>100% of unpaid portion (ERBA P.210, Category 11)</w:t>
            </w:r>
          </w:p>
        </w:tc>
        <w:tc>
          <w:tcPr>
            <w:tcW w:type="dxa" w:w="3456"/>
            <w:shd w:fill="FFFFFF" w:val="clear"/>
          </w:tcPr>
          <w:p>
            <w:pPr>
              <w:jc w:val="left"/>
            </w:pPr>
            <w:r/>
            <w:r>
              <w:rPr>
                <w:rFonts w:ascii="Calibri" w:hAnsi="Calibri"/>
                <w:b w:val="0"/>
                <w:color w:val="000000"/>
                <w:sz w:val="16"/>
              </w:rPr>
              <w:t>100% (PS1/26 Ch.5 Table 5.1)</w:t>
            </w:r>
          </w:p>
        </w:tc>
        <w:tc>
          <w:tcPr>
            <w:tcW w:type="dxa" w:w="3456"/>
            <w:shd w:fill="FFFFFF" w:val="clear"/>
          </w:tcPr>
          <w:p>
            <w:pPr>
              <w:jc w:val="left"/>
            </w:pPr>
            <w:r/>
            <w:r>
              <w:rPr>
                <w:rFonts w:ascii="Calibri" w:hAnsi="Calibri"/>
                <w:b w:val="0"/>
                <w:color w:val="000000"/>
                <w:sz w:val="16"/>
              </w:rPr>
              <w:t>100% (CRR3 Art 111(1)(a))</w:t>
            </w:r>
          </w:p>
        </w:tc>
      </w:tr>
    </w:tbl>
    <w:p>
      <w:r>
        <w:rPr>
          <w:rFonts w:ascii="Calibri" w:hAnsi="Calibri"/>
          <w:b/>
          <w:color w:val="002060"/>
          <w:sz w:val="22"/>
        </w:rPr>
        <w:t>7.2 Capital Impact Analysis: Uniform 40% vs 20%/40% Split</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Metric</w:t>
            </w:r>
          </w:p>
        </w:tc>
        <w:tc>
          <w:tcPr>
            <w:tcW w:type="dxa" w:w="3456"/>
            <w:shd w:fill="002060" w:val="clear"/>
            <w:tcW w:w="3600" w:type="dxa"/>
          </w:tcPr>
          <w:p>
            <w:pPr>
              <w:jc w:val="center"/>
            </w:pPr>
            <w:r/>
            <w:r>
              <w:rPr>
                <w:rFonts w:ascii="Calibri" w:hAnsi="Calibri"/>
                <w:b/>
                <w:color w:val="FFFFFF"/>
                <w:sz w:val="16"/>
              </w:rPr>
              <w:t>US (40% Uniform)</w:t>
            </w:r>
          </w:p>
        </w:tc>
        <w:tc>
          <w:tcPr>
            <w:tcW w:type="dxa" w:w="3456"/>
            <w:shd w:fill="002060" w:val="clear"/>
            <w:tcW w:w="3600" w:type="dxa"/>
          </w:tcPr>
          <w:p>
            <w:pPr>
              <w:jc w:val="center"/>
            </w:pPr>
            <w:r/>
            <w:r>
              <w:rPr>
                <w:rFonts w:ascii="Calibri" w:hAnsi="Calibri"/>
                <w:b/>
                <w:color w:val="FFFFFF"/>
                <w:sz w:val="16"/>
              </w:rPr>
              <w:t>UK/EU (20%/40% Split)</w:t>
            </w:r>
          </w:p>
        </w:tc>
        <w:tc>
          <w:tcPr>
            <w:tcW w:type="dxa" w:w="3456"/>
            <w:shd w:fill="002060" w:val="clear"/>
            <w:tcW w:w="3600" w:type="dxa"/>
          </w:tcPr>
          <w:p>
            <w:pPr>
              <w:jc w:val="center"/>
            </w:pPr>
            <w:r/>
            <w:r>
              <w:rPr>
                <w:rFonts w:ascii="Calibri" w:hAnsi="Calibri"/>
                <w:b/>
                <w:color w:val="FFFFFF"/>
                <w:sz w:val="16"/>
              </w:rPr>
              <w:t>Difference</w:t>
            </w:r>
          </w:p>
        </w:tc>
      </w:tr>
      <w:tr>
        <w:tc>
          <w:tcPr>
            <w:tcW w:type="dxa" w:w="3456"/>
            <w:shd w:fill="F5E6C8" w:val="clear"/>
          </w:tcPr>
          <w:p>
            <w:pPr>
              <w:jc w:val="left"/>
            </w:pPr>
            <w:r/>
            <w:r>
              <w:rPr>
                <w:rFonts w:ascii="Calibri" w:hAnsi="Calibri"/>
                <w:b/>
                <w:color w:val="00143C"/>
                <w:sz w:val="16"/>
              </w:rPr>
              <w:t>Worked Example</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Short-Term Commitments (&lt;=1Y)</w:t>
            </w:r>
          </w:p>
        </w:tc>
        <w:tc>
          <w:tcPr>
            <w:tcW w:type="dxa" w:w="3456"/>
            <w:shd w:fill="FFFFFF" w:val="clear"/>
          </w:tcPr>
          <w:p>
            <w:pPr>
              <w:jc w:val="left"/>
            </w:pPr>
            <w:r/>
            <w:r>
              <w:rPr>
                <w:rFonts w:ascii="Calibri" w:hAnsi="Calibri"/>
                <w:b w:val="0"/>
                <w:color w:val="000000"/>
                <w:sz w:val="16"/>
              </w:rPr>
              <w:t>$500B * 40% = $200B EAD</w:t>
            </w:r>
          </w:p>
        </w:tc>
        <w:tc>
          <w:tcPr>
            <w:tcW w:type="dxa" w:w="3456"/>
            <w:shd w:fill="FFFFFF" w:val="clear"/>
          </w:tcPr>
          <w:p>
            <w:pPr>
              <w:jc w:val="left"/>
            </w:pPr>
            <w:r/>
            <w:r>
              <w:rPr>
                <w:rFonts w:ascii="Calibri" w:hAnsi="Calibri"/>
                <w:b w:val="0"/>
                <w:color w:val="000000"/>
                <w:sz w:val="16"/>
              </w:rPr>
              <w:t>$500B * 20% = $100B EAD</w:t>
            </w:r>
          </w:p>
        </w:tc>
        <w:tc>
          <w:tcPr>
            <w:tcW w:type="dxa" w:w="3456"/>
            <w:shd w:fill="FFFFFF" w:val="clear"/>
          </w:tcPr>
          <w:p>
            <w:pPr>
              <w:jc w:val="left"/>
            </w:pPr>
            <w:r/>
            <w:r>
              <w:rPr>
                <w:rFonts w:ascii="Calibri" w:hAnsi="Calibri"/>
                <w:b w:val="0"/>
                <w:color w:val="000000"/>
                <w:sz w:val="16"/>
              </w:rPr>
              <w:t>$100B higher EAD in US</w:t>
            </w:r>
          </w:p>
        </w:tc>
      </w:tr>
      <w:tr>
        <w:tc>
          <w:tcPr>
            <w:tcW w:type="dxa" w:w="3456"/>
            <w:shd w:fill="F2F2F2" w:val="clear"/>
          </w:tcPr>
          <w:p>
            <w:pPr>
              <w:jc w:val="left"/>
            </w:pPr>
            <w:r/>
            <w:r>
              <w:rPr>
                <w:rFonts w:ascii="Calibri" w:hAnsi="Calibri"/>
                <w:b/>
                <w:color w:val="000000"/>
                <w:sz w:val="16"/>
              </w:rPr>
              <w:t>Long-Term Commitments (&gt;1Y)</w:t>
            </w:r>
          </w:p>
        </w:tc>
        <w:tc>
          <w:tcPr>
            <w:tcW w:type="dxa" w:w="3456"/>
            <w:shd w:fill="F2F2F2" w:val="clear"/>
          </w:tcPr>
          <w:p>
            <w:pPr>
              <w:jc w:val="left"/>
            </w:pPr>
            <w:r/>
            <w:r>
              <w:rPr>
                <w:rFonts w:ascii="Calibri" w:hAnsi="Calibri"/>
                <w:b w:val="0"/>
                <w:color w:val="000000"/>
                <w:sz w:val="16"/>
              </w:rPr>
              <w:t>$200B * 40% = $80B EAD</w:t>
            </w:r>
          </w:p>
        </w:tc>
        <w:tc>
          <w:tcPr>
            <w:tcW w:type="dxa" w:w="3456"/>
            <w:shd w:fill="F2F2F2" w:val="clear"/>
          </w:tcPr>
          <w:p>
            <w:pPr>
              <w:jc w:val="left"/>
            </w:pPr>
            <w:r/>
            <w:r>
              <w:rPr>
                <w:rFonts w:ascii="Calibri" w:hAnsi="Calibri"/>
                <w:b w:val="0"/>
                <w:color w:val="000000"/>
                <w:sz w:val="16"/>
              </w:rPr>
              <w:t>$200B * 40% = $80B EAD</w:t>
            </w:r>
          </w:p>
        </w:tc>
        <w:tc>
          <w:tcPr>
            <w:tcW w:type="dxa" w:w="3456"/>
            <w:shd w:fill="F2F2F2" w:val="clear"/>
          </w:tcPr>
          <w:p>
            <w:pPr>
              <w:jc w:val="left"/>
            </w:pPr>
            <w:r/>
            <w:r>
              <w:rPr>
                <w:rFonts w:ascii="Calibri" w:hAnsi="Calibri"/>
                <w:b w:val="0"/>
                <w:color w:val="000000"/>
                <w:sz w:val="16"/>
              </w:rPr>
              <w:t>$0 difference</w:t>
            </w:r>
          </w:p>
        </w:tc>
      </w:tr>
      <w:tr>
        <w:tc>
          <w:tcPr>
            <w:tcW w:type="dxa" w:w="3456"/>
            <w:shd w:fill="FFFFFF" w:val="clear"/>
          </w:tcPr>
          <w:p>
            <w:pPr>
              <w:jc w:val="left"/>
            </w:pPr>
            <w:r/>
            <w:r>
              <w:rPr>
                <w:rFonts w:ascii="Calibri" w:hAnsi="Calibri"/>
                <w:b/>
                <w:color w:val="000000"/>
                <w:sz w:val="16"/>
              </w:rPr>
              <w:t>Total Commitment EAD</w:t>
            </w:r>
          </w:p>
        </w:tc>
        <w:tc>
          <w:tcPr>
            <w:tcW w:type="dxa" w:w="3456"/>
            <w:shd w:fill="FFFFFF" w:val="clear"/>
          </w:tcPr>
          <w:p>
            <w:pPr>
              <w:jc w:val="left"/>
            </w:pPr>
            <w:r/>
            <w:r>
              <w:rPr>
                <w:rFonts w:ascii="Calibri" w:hAnsi="Calibri"/>
                <w:b w:val="0"/>
                <w:color w:val="000000"/>
                <w:sz w:val="16"/>
              </w:rPr>
              <w:t>$280B</w:t>
            </w:r>
          </w:p>
        </w:tc>
        <w:tc>
          <w:tcPr>
            <w:tcW w:type="dxa" w:w="3456"/>
            <w:shd w:fill="FFFFFF" w:val="clear"/>
          </w:tcPr>
          <w:p>
            <w:pPr>
              <w:jc w:val="left"/>
            </w:pPr>
            <w:r/>
            <w:r>
              <w:rPr>
                <w:rFonts w:ascii="Calibri" w:hAnsi="Calibri"/>
                <w:b w:val="0"/>
                <w:color w:val="000000"/>
                <w:sz w:val="16"/>
              </w:rPr>
              <w:t>$180B</w:t>
            </w:r>
          </w:p>
        </w:tc>
        <w:tc>
          <w:tcPr>
            <w:tcW w:type="dxa" w:w="3456"/>
            <w:shd w:fill="FFFFFF" w:val="clear"/>
          </w:tcPr>
          <w:p>
            <w:pPr>
              <w:jc w:val="left"/>
            </w:pPr>
            <w:r/>
            <w:r>
              <w:rPr>
                <w:rFonts w:ascii="Calibri" w:hAnsi="Calibri"/>
                <w:b w:val="0"/>
                <w:color w:val="000000"/>
                <w:sz w:val="16"/>
              </w:rPr>
              <w:t>$100B additional in US</w:t>
            </w:r>
          </w:p>
        </w:tc>
      </w:tr>
      <w:tr>
        <w:tc>
          <w:tcPr>
            <w:tcW w:type="dxa" w:w="3456"/>
            <w:shd w:fill="F2F2F2" w:val="clear"/>
          </w:tcPr>
          <w:p>
            <w:pPr>
              <w:jc w:val="left"/>
            </w:pPr>
            <w:r/>
            <w:r>
              <w:rPr>
                <w:rFonts w:ascii="Calibri" w:hAnsi="Calibri"/>
                <w:b/>
                <w:color w:val="000000"/>
                <w:sz w:val="16"/>
              </w:rPr>
              <w:t>Avg RW (100% corporate)</w:t>
            </w:r>
          </w:p>
        </w:tc>
        <w:tc>
          <w:tcPr>
            <w:tcW w:type="dxa" w:w="3456"/>
            <w:shd w:fill="F2F2F2" w:val="clear"/>
          </w:tcPr>
          <w:p>
            <w:pPr>
              <w:jc w:val="left"/>
            </w:pPr>
            <w:r/>
            <w:r>
              <w:rPr>
                <w:rFonts w:ascii="Calibri" w:hAnsi="Calibri"/>
                <w:b w:val="0"/>
                <w:color w:val="000000"/>
                <w:sz w:val="16"/>
              </w:rPr>
              <w:t>$280B * 100% = $280B RWA</w:t>
            </w:r>
          </w:p>
        </w:tc>
        <w:tc>
          <w:tcPr>
            <w:tcW w:type="dxa" w:w="3456"/>
            <w:shd w:fill="F2F2F2" w:val="clear"/>
          </w:tcPr>
          <w:p>
            <w:pPr>
              <w:jc w:val="left"/>
            </w:pPr>
            <w:r/>
            <w:r>
              <w:rPr>
                <w:rFonts w:ascii="Calibri" w:hAnsi="Calibri"/>
                <w:b w:val="0"/>
                <w:color w:val="000000"/>
                <w:sz w:val="16"/>
              </w:rPr>
              <w:t>$180B * 100% = $180B RWA</w:t>
            </w:r>
          </w:p>
        </w:tc>
        <w:tc>
          <w:tcPr>
            <w:tcW w:type="dxa" w:w="3456"/>
            <w:shd w:fill="F2F2F2" w:val="clear"/>
          </w:tcPr>
          <w:p>
            <w:pPr>
              <w:jc w:val="left"/>
            </w:pPr>
            <w:r/>
            <w:r>
              <w:rPr>
                <w:rFonts w:ascii="Calibri" w:hAnsi="Calibri"/>
                <w:b w:val="0"/>
                <w:color w:val="000000"/>
                <w:sz w:val="16"/>
              </w:rPr>
              <w:t>$100B additional RWA</w:t>
            </w:r>
          </w:p>
        </w:tc>
      </w:tr>
      <w:tr>
        <w:tc>
          <w:tcPr>
            <w:tcW w:type="dxa" w:w="3456"/>
            <w:shd w:fill="FFFFFF" w:val="clear"/>
          </w:tcPr>
          <w:p>
            <w:pPr>
              <w:jc w:val="left"/>
            </w:pPr>
            <w:r/>
            <w:r>
              <w:rPr>
                <w:rFonts w:ascii="Calibri" w:hAnsi="Calibri"/>
                <w:b/>
                <w:color w:val="000000"/>
                <w:sz w:val="16"/>
              </w:rPr>
              <w:t>CET1 Impact (@4.5%)</w:t>
            </w:r>
          </w:p>
        </w:tc>
        <w:tc>
          <w:tcPr>
            <w:tcW w:type="dxa" w:w="3456"/>
            <w:shd w:fill="FFFFFF" w:val="clear"/>
          </w:tcPr>
          <w:p>
            <w:pPr>
              <w:jc w:val="left"/>
            </w:pPr>
            <w:r/>
            <w:r>
              <w:rPr>
                <w:rFonts w:ascii="Calibri" w:hAnsi="Calibri"/>
                <w:b w:val="0"/>
                <w:color w:val="000000"/>
                <w:sz w:val="16"/>
              </w:rPr>
              <w:t>$280B * 4.5% = $12.6B</w:t>
            </w:r>
          </w:p>
        </w:tc>
        <w:tc>
          <w:tcPr>
            <w:tcW w:type="dxa" w:w="3456"/>
            <w:shd w:fill="FFFFFF" w:val="clear"/>
          </w:tcPr>
          <w:p>
            <w:pPr>
              <w:jc w:val="left"/>
            </w:pPr>
            <w:r/>
            <w:r>
              <w:rPr>
                <w:rFonts w:ascii="Calibri" w:hAnsi="Calibri"/>
                <w:b w:val="0"/>
                <w:color w:val="000000"/>
                <w:sz w:val="16"/>
              </w:rPr>
              <w:t>$180B * 4.5% = $8.1B</w:t>
            </w:r>
          </w:p>
        </w:tc>
        <w:tc>
          <w:tcPr>
            <w:tcW w:type="dxa" w:w="3456"/>
            <w:shd w:fill="FFFFFF" w:val="clear"/>
          </w:tcPr>
          <w:p>
            <w:pPr>
              <w:jc w:val="left"/>
            </w:pPr>
            <w:r/>
            <w:r>
              <w:rPr>
                <w:rFonts w:ascii="Calibri" w:hAnsi="Calibri"/>
                <w:b w:val="0"/>
                <w:color w:val="000000"/>
                <w:sz w:val="16"/>
              </w:rPr>
              <w:t>$4.5B additional CET1 required</w:t>
            </w:r>
          </w:p>
        </w:tc>
      </w:tr>
      <w:tr>
        <w:tc>
          <w:tcPr>
            <w:tcW w:type="dxa" w:w="3456"/>
            <w:shd w:fill="F2F2F2" w:val="clear"/>
          </w:tcPr>
          <w:p>
            <w:pPr>
              <w:jc w:val="left"/>
            </w:pPr>
            <w:r/>
            <w:r>
              <w:rPr>
                <w:rFonts w:ascii="Calibri" w:hAnsi="Calibri"/>
                <w:b/>
                <w:color w:val="000000"/>
                <w:sz w:val="16"/>
              </w:rPr>
              <w:t>Total Capital Impact (@8%)</w:t>
            </w:r>
          </w:p>
        </w:tc>
        <w:tc>
          <w:tcPr>
            <w:tcW w:type="dxa" w:w="3456"/>
            <w:shd w:fill="F2F2F2" w:val="clear"/>
          </w:tcPr>
          <w:p>
            <w:pPr>
              <w:jc w:val="left"/>
            </w:pPr>
            <w:r/>
            <w:r>
              <w:rPr>
                <w:rFonts w:ascii="Calibri" w:hAnsi="Calibri"/>
                <w:b w:val="0"/>
                <w:color w:val="000000"/>
                <w:sz w:val="16"/>
              </w:rPr>
              <w:t>$280B * 8% = $22.4B</w:t>
            </w:r>
          </w:p>
        </w:tc>
        <w:tc>
          <w:tcPr>
            <w:tcW w:type="dxa" w:w="3456"/>
            <w:shd w:fill="F2F2F2" w:val="clear"/>
          </w:tcPr>
          <w:p>
            <w:pPr>
              <w:jc w:val="left"/>
            </w:pPr>
            <w:r/>
            <w:r>
              <w:rPr>
                <w:rFonts w:ascii="Calibri" w:hAnsi="Calibri"/>
                <w:b w:val="0"/>
                <w:color w:val="000000"/>
                <w:sz w:val="16"/>
              </w:rPr>
              <w:t>$180B * 8% = $14.4B</w:t>
            </w:r>
          </w:p>
        </w:tc>
        <w:tc>
          <w:tcPr>
            <w:tcW w:type="dxa" w:w="3456"/>
            <w:shd w:fill="F2F2F2" w:val="clear"/>
          </w:tcPr>
          <w:p>
            <w:pPr>
              <w:jc w:val="left"/>
            </w:pPr>
            <w:r/>
            <w:r>
              <w:rPr>
                <w:rFonts w:ascii="Calibri" w:hAnsi="Calibri"/>
                <w:b w:val="0"/>
                <w:color w:val="000000"/>
                <w:sz w:val="16"/>
              </w:rPr>
              <w:t>$8.0B additional total capital</w:t>
            </w:r>
          </w:p>
        </w:tc>
      </w:tr>
      <w:tr>
        <w:tc>
          <w:tcPr>
            <w:tcW w:type="dxa" w:w="3456"/>
            <w:shd w:fill="FFFFFF" w:val="clear"/>
          </w:tcPr>
          <w:p>
            <w:pPr>
              <w:jc w:val="left"/>
            </w:pPr>
            <w:r/>
            <w:r>
              <w:rPr>
                <w:rFonts w:ascii="Calibri" w:hAnsi="Calibri"/>
                <w:b/>
                <w:color w:val="000000"/>
                <w:sz w:val="16"/>
              </w:rPr>
              <w:t>RWA as % of G-SIB Total</w:t>
            </w:r>
          </w:p>
        </w:tc>
        <w:tc>
          <w:tcPr>
            <w:tcW w:type="dxa" w:w="3456"/>
            <w:shd w:fill="FFFFFF" w:val="clear"/>
          </w:tcPr>
          <w:p>
            <w:pPr>
              <w:jc w:val="left"/>
            </w:pPr>
            <w:r/>
            <w:r>
              <w:rPr>
                <w:rFonts w:ascii="Calibri" w:hAnsi="Calibri"/>
                <w:b w:val="0"/>
                <w:color w:val="000000"/>
                <w:sz w:val="16"/>
              </w:rPr>
              <w:t>~8.8% of $3.2T total RWA</w:t>
            </w:r>
          </w:p>
        </w:tc>
        <w:tc>
          <w:tcPr>
            <w:tcW w:type="dxa" w:w="3456"/>
            <w:shd w:fill="FFFFFF" w:val="clear"/>
          </w:tcPr>
          <w:p>
            <w:pPr>
              <w:jc w:val="left"/>
            </w:pPr>
            <w:r/>
            <w:r>
              <w:rPr>
                <w:rFonts w:ascii="Calibri" w:hAnsi="Calibri"/>
                <w:b w:val="0"/>
                <w:color w:val="000000"/>
                <w:sz w:val="16"/>
              </w:rPr>
              <w:t>~5.6% of $3.2T total RWA</w:t>
            </w:r>
          </w:p>
        </w:tc>
        <w:tc>
          <w:tcPr>
            <w:tcW w:type="dxa" w:w="3456"/>
            <w:shd w:fill="FFFFFF" w:val="clear"/>
          </w:tcPr>
          <w:p>
            <w:pPr>
              <w:jc w:val="left"/>
            </w:pPr>
            <w:r/>
            <w:r>
              <w:rPr>
                <w:rFonts w:ascii="Calibri" w:hAnsi="Calibri"/>
                <w:b w:val="0"/>
                <w:color w:val="000000"/>
                <w:sz w:val="16"/>
              </w:rPr>
              <w:t>3.2pp higher RWA density</w:t>
            </w:r>
          </w:p>
        </w:tc>
      </w:tr>
      <w:tr>
        <w:tc>
          <w:tcPr>
            <w:tcW w:type="dxa" w:w="3456"/>
            <w:shd w:fill="F2F2F2" w:val="clear"/>
          </w:tcPr>
          <w:p>
            <w:pPr>
              <w:jc w:val="left"/>
            </w:pPr>
            <w:r/>
            <w:r>
              <w:rPr>
                <w:rFonts w:ascii="Calibri" w:hAnsi="Calibri"/>
                <w:b/>
                <w:color w:val="000000"/>
                <w:sz w:val="16"/>
              </w:rPr>
              <w:t>CET1 Ratio Impact</w:t>
            </w:r>
          </w:p>
        </w:tc>
        <w:tc>
          <w:tcPr>
            <w:tcW w:type="dxa" w:w="3456"/>
            <w:shd w:fill="F2F2F2" w:val="clear"/>
          </w:tcPr>
          <w:p>
            <w:pPr>
              <w:jc w:val="left"/>
            </w:pPr>
            <w:r/>
            <w:r>
              <w:rPr>
                <w:rFonts w:ascii="Calibri" w:hAnsi="Calibri"/>
                <w:b w:val="0"/>
                <w:color w:val="000000"/>
                <w:sz w:val="16"/>
              </w:rPr>
              <w:t>~14bp reduction in CET1 ratio</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14bp lower CET1 ratio in US</w:t>
            </w:r>
          </w:p>
        </w:tc>
      </w:tr>
    </w:tbl>
    <w:p>
      <w:r>
        <w:rPr>
          <w:rFonts w:ascii="Calibri" w:hAnsi="Calibri"/>
          <w:color w:val="000000"/>
          <w:sz w:val="18"/>
        </w:rPr>
        <w:t>Policy Rationale: The US Federal Reserve's uniform 40% CCF reflects the view that short-term commitments are frequently renewed and function as de facto long-term commitments. The UK/EU approach follows the BCBS d424 standard with maturity-based distinction. For a Category I G-SIB with $500B+ in short-term commitments (primarily corporate credit lines and liquidity facilities), this single parameter divergence can generate $25-40B in additional RWA.</w:t>
      </w:r>
    </w:p>
    <w:p>
      <w:r>
        <w:br w:type="page"/>
      </w:r>
    </w:p>
    <w:p>
      <w:r>
        <w:rPr>
          <w:rFonts w:ascii="Calibri" w:hAnsi="Calibri"/>
          <w:b/>
          <w:color w:val="C8962E"/>
          <w:sz w:val="28"/>
        </w:rPr>
        <w:t>SECTION 8</w:t>
      </w:r>
    </w:p>
    <w:p>
      <w:r>
        <w:rPr>
          <w:rFonts w:ascii="Calibri" w:hAnsi="Calibri"/>
          <w:b/>
          <w:color w:val="002060"/>
          <w:sz w:val="32"/>
        </w:rPr>
        <w:t>Credit Risk Mitigation: Haircuts, Formulas &amp; Mechanics</w:t>
      </w:r>
    </w:p>
    <w:p>
      <w:r>
        <w:rPr>
          <w:color w:val="C8962E"/>
          <w:sz w:val="12"/>
        </w:rPr>
        <w:t>________________________________________________________________________________________________________________________</w:t>
      </w:r>
    </w:p>
    <w:p>
      <w:r>
        <w:rPr>
          <w:rFonts w:ascii="Calibri" w:hAnsi="Calibri"/>
          <w:b/>
          <w:color w:val="002060"/>
          <w:sz w:val="22"/>
        </w:rPr>
        <w:t>8.1 Comprehensive Approach: E* Formula</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E* Formula</w:t>
            </w:r>
          </w:p>
        </w:tc>
        <w:tc>
          <w:tcPr>
            <w:tcW w:type="dxa" w:w="3456"/>
            <w:shd w:fill="F2F2F2" w:val="clear"/>
          </w:tcPr>
          <w:p>
            <w:pPr>
              <w:jc w:val="left"/>
            </w:pPr>
            <w:r/>
            <w:r>
              <w:rPr>
                <w:rFonts w:ascii="Calibri" w:hAnsi="Calibri"/>
                <w:b w:val="0"/>
                <w:color w:val="000000"/>
                <w:sz w:val="16"/>
              </w:rPr>
              <w:t>NEW netting-set formula: E* = max(0, (sum E_i - sum C_i) + 0.4 x netexposure + 0.6 x grossexposure/sqrt(N) + sum E_fx x H_fx), netexposure = |sum E_s H_s|, grossexposure = sum E_s |H_s|, N = number of unique CUSIPs (excl. positions &lt; 1/10 of largest); reverts to the current single-transaction form when N components are empty; own-estimate haircuts no longer permitted (ERBA NPR §__.115; P.102-105)</w:t>
            </w:r>
          </w:p>
        </w:tc>
        <w:tc>
          <w:tcPr>
            <w:tcW w:type="dxa" w:w="3456"/>
            <w:shd w:fill="F2F2F2" w:val="clear"/>
          </w:tcPr>
          <w:p>
            <w:pPr>
              <w:jc w:val="left"/>
            </w:pPr>
            <w:r/>
            <w:r>
              <w:rPr>
                <w:rFonts w:ascii="Calibri" w:hAnsi="Calibri"/>
                <w:b w:val="0"/>
                <w:color w:val="000000"/>
                <w:sz w:val="16"/>
              </w:rPr>
              <w:t>Same formula (PS1/26 Ch.6.1)</w:t>
            </w:r>
          </w:p>
        </w:tc>
        <w:tc>
          <w:tcPr>
            <w:tcW w:type="dxa" w:w="3456"/>
            <w:shd w:fill="F2F2F2" w:val="clear"/>
          </w:tcPr>
          <w:p>
            <w:pPr>
              <w:jc w:val="left"/>
            </w:pPr>
            <w:r/>
            <w:r>
              <w:rPr>
                <w:rFonts w:ascii="Calibri" w:hAnsi="Calibri"/>
                <w:b w:val="0"/>
                <w:color w:val="000000"/>
                <w:sz w:val="16"/>
              </w:rPr>
              <w:t>Same formula (CRR3 Art 223(5))</w:t>
            </w:r>
          </w:p>
        </w:tc>
      </w:tr>
      <w:tr>
        <w:tc>
          <w:tcPr>
            <w:tcW w:type="dxa" w:w="3456"/>
            <w:shd w:fill="FFFFFF" w:val="clear"/>
          </w:tcPr>
          <w:p>
            <w:pPr>
              <w:jc w:val="left"/>
            </w:pPr>
            <w:r/>
            <w:r>
              <w:rPr>
                <w:rFonts w:ascii="Calibri" w:hAnsi="Calibri"/>
                <w:b/>
                <w:color w:val="000000"/>
                <w:sz w:val="16"/>
              </w:rPr>
              <w:t>Currency Mismatch Hfx</w:t>
            </w:r>
          </w:p>
        </w:tc>
        <w:tc>
          <w:tcPr>
            <w:tcW w:type="dxa" w:w="3456"/>
            <w:shd w:fill="FFFFFF" w:val="clear"/>
          </w:tcPr>
          <w:p>
            <w:pPr>
              <w:jc w:val="left"/>
            </w:pPr>
            <w:r/>
            <w:r>
              <w:rPr>
                <w:rFonts w:ascii="Calibri" w:hAnsi="Calibri"/>
                <w:b w:val="0"/>
                <w:color w:val="000000"/>
                <w:sz w:val="16"/>
              </w:rPr>
              <w:t>8% for 10-business-day holding period; scaled by sqrt(T_M/10) if revalued less than every 10 business days (ERBA NPR §__.115, §__.120; P.147)</w:t>
            </w:r>
          </w:p>
        </w:tc>
        <w:tc>
          <w:tcPr>
            <w:tcW w:type="dxa" w:w="3456"/>
            <w:shd w:fill="FFFFFF" w:val="clear"/>
          </w:tcPr>
          <w:p>
            <w:pPr>
              <w:jc w:val="left"/>
            </w:pPr>
            <w:r/>
            <w:r>
              <w:rPr>
                <w:rFonts w:ascii="Calibri" w:hAnsi="Calibri"/>
                <w:b w:val="0"/>
                <w:color w:val="000000"/>
                <w:sz w:val="16"/>
              </w:rPr>
              <w:t>8% for 10-day holding (PS1/26 Ch.6.1)</w:t>
            </w:r>
          </w:p>
        </w:tc>
        <w:tc>
          <w:tcPr>
            <w:tcW w:type="dxa" w:w="3456"/>
            <w:shd w:fill="FFFFFF" w:val="clear"/>
          </w:tcPr>
          <w:p>
            <w:pPr>
              <w:jc w:val="left"/>
            </w:pPr>
            <w:r/>
            <w:r>
              <w:rPr>
                <w:rFonts w:ascii="Calibri" w:hAnsi="Calibri"/>
                <w:b w:val="0"/>
                <w:color w:val="000000"/>
                <w:sz w:val="16"/>
              </w:rPr>
              <w:t>8% for 10-day holding (CRR3 Art 224(1) Table 1)</w:t>
            </w:r>
          </w:p>
        </w:tc>
      </w:tr>
      <w:tr>
        <w:tc>
          <w:tcPr>
            <w:tcW w:type="dxa" w:w="3456"/>
            <w:shd w:fill="F2F2F2" w:val="clear"/>
          </w:tcPr>
          <w:p>
            <w:pPr>
              <w:jc w:val="left"/>
            </w:pPr>
            <w:r/>
            <w:r>
              <w:rPr>
                <w:rFonts w:ascii="Calibri" w:hAnsi="Calibri"/>
                <w:b/>
                <w:color w:val="000000"/>
                <w:sz w:val="16"/>
              </w:rPr>
              <w:t>Maturity Mismatch Formula</w:t>
            </w:r>
          </w:p>
        </w:tc>
        <w:tc>
          <w:tcPr>
            <w:tcW w:type="dxa" w:w="3456"/>
            <w:shd w:fill="F2F2F2" w:val="clear"/>
          </w:tcPr>
          <w:p>
            <w:pPr>
              <w:jc w:val="left"/>
            </w:pPr>
            <w:r/>
            <w:r>
              <w:rPr>
                <w:rFonts w:ascii="Calibri" w:hAnsi="Calibri"/>
                <w:b w:val="0"/>
                <w:color w:val="000000"/>
                <w:sz w:val="16"/>
              </w:rPr>
              <w:t>Pm = E x (t - 0.25) / (T - 0.25) (ERBA NPR §__.120; P.146). t = lesser of T or residual maturity of the mitigant; T = lesser of 5 years or residual maturity of the exposure</w:t>
            </w:r>
          </w:p>
        </w:tc>
        <w:tc>
          <w:tcPr>
            <w:tcW w:type="dxa" w:w="3456"/>
            <w:shd w:fill="F2F2F2" w:val="clear"/>
          </w:tcPr>
          <w:p>
            <w:pPr>
              <w:jc w:val="left"/>
            </w:pPr>
            <w:r/>
            <w:r>
              <w:rPr>
                <w:rFonts w:ascii="Calibri" w:hAnsi="Calibri"/>
                <w:b w:val="0"/>
                <w:color w:val="000000"/>
                <w:sz w:val="16"/>
              </w:rPr>
              <w:t>Same formula (PS1/26 Ch.6.2)</w:t>
            </w:r>
          </w:p>
        </w:tc>
        <w:tc>
          <w:tcPr>
            <w:tcW w:type="dxa" w:w="3456"/>
            <w:shd w:fill="F2F2F2" w:val="clear"/>
          </w:tcPr>
          <w:p>
            <w:pPr>
              <w:jc w:val="left"/>
            </w:pPr>
            <w:r/>
            <w:r>
              <w:rPr>
                <w:rFonts w:ascii="Calibri" w:hAnsi="Calibri"/>
                <w:b w:val="0"/>
                <w:color w:val="000000"/>
                <w:sz w:val="16"/>
              </w:rPr>
              <w:t>Same formula (CRR3 Art 237-238)</w:t>
            </w:r>
          </w:p>
        </w:tc>
      </w:tr>
      <w:tr>
        <w:tc>
          <w:tcPr>
            <w:tcW w:type="dxa" w:w="3456"/>
            <w:shd w:fill="FFFFFF" w:val="clear"/>
          </w:tcPr>
          <w:p>
            <w:pPr>
              <w:jc w:val="left"/>
            </w:pPr>
            <w:r/>
            <w:r>
              <w:rPr>
                <w:rFonts w:ascii="Calibri" w:hAnsi="Calibri"/>
                <w:b/>
                <w:color w:val="000000"/>
                <w:sz w:val="16"/>
              </w:rPr>
              <w:t>Minimum Maturity</w:t>
            </w:r>
          </w:p>
        </w:tc>
        <w:tc>
          <w:tcPr>
            <w:tcW w:type="dxa" w:w="3456"/>
            <w:shd w:fill="FFFFFF" w:val="clear"/>
          </w:tcPr>
          <w:p>
            <w:pPr>
              <w:jc w:val="left"/>
            </w:pPr>
            <w:r/>
            <w:r>
              <w:rPr>
                <w:rFonts w:ascii="Calibri" w:hAnsi="Calibri"/>
                <w:b w:val="0"/>
                <w:color w:val="000000"/>
                <w:sz w:val="16"/>
              </w:rPr>
              <w:t>Mitigant original maturity &gt;= 1Y and residual maturity &gt; 3 months for recognition (ERBA NPR §__.120; P.139)</w:t>
            </w:r>
          </w:p>
        </w:tc>
        <w:tc>
          <w:tcPr>
            <w:tcW w:type="dxa" w:w="3456"/>
            <w:shd w:fill="FFFFFF" w:val="clear"/>
          </w:tcPr>
          <w:p>
            <w:pPr>
              <w:jc w:val="left"/>
            </w:pPr>
            <w:r/>
            <w:r>
              <w:rPr>
                <w:rFonts w:ascii="Calibri" w:hAnsi="Calibri"/>
                <w:b w:val="0"/>
                <w:color w:val="000000"/>
                <w:sz w:val="16"/>
              </w:rPr>
              <w:t>Same 1Y minimum (PS1/26 Ch.6.2)</w:t>
            </w:r>
          </w:p>
        </w:tc>
        <w:tc>
          <w:tcPr>
            <w:tcW w:type="dxa" w:w="3456"/>
            <w:shd w:fill="FFFFFF" w:val="clear"/>
          </w:tcPr>
          <w:p>
            <w:pPr>
              <w:jc w:val="left"/>
            </w:pPr>
            <w:r/>
            <w:r>
              <w:rPr>
                <w:rFonts w:ascii="Calibri" w:hAnsi="Calibri"/>
                <w:b w:val="0"/>
                <w:color w:val="000000"/>
                <w:sz w:val="16"/>
              </w:rPr>
              <w:t>Same 1Y minimum (CRR3 Art 237(1))</w:t>
            </w:r>
          </w:p>
        </w:tc>
      </w:tr>
    </w:tbl>
    <w:p>
      <w:r>
        <w:rPr>
          <w:rFonts w:ascii="Calibri" w:hAnsi="Calibri"/>
          <w:b/>
          <w:color w:val="002060"/>
          <w:sz w:val="22"/>
        </w:rPr>
        <w:t>8.2 Complete Supervisory Haircut Table (17 Entries)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3600" w:type="dxa"/>
          </w:tcPr>
          <w:p>
            <w:pPr>
              <w:jc w:val="center"/>
            </w:pPr>
            <w:r/>
            <w:r>
              <w:rPr>
                <w:rFonts w:ascii="Calibri" w:hAnsi="Calibri"/>
                <w:b/>
                <w:color w:val="FFFFFF"/>
                <w:sz w:val="16"/>
              </w:rPr>
              <w:t>Security Type / Maturity</w:t>
            </w:r>
          </w:p>
        </w:tc>
        <w:tc>
          <w:tcPr>
            <w:tcW w:type="dxa" w:w="3456"/>
            <w:shd w:fill="002060" w:val="clear"/>
            <w:tcW w:w="3311" w:type="dxa"/>
          </w:tcPr>
          <w:p>
            <w:pPr>
              <w:jc w:val="center"/>
            </w:pPr>
            <w:r/>
            <w:r>
              <w:rPr>
                <w:rFonts w:ascii="Calibri" w:hAnsi="Calibri"/>
                <w:b/>
                <w:color w:val="FFFFFF"/>
                <w:sz w:val="16"/>
              </w:rPr>
              <w:t>US (ERBA)</w:t>
            </w:r>
          </w:p>
        </w:tc>
        <w:tc>
          <w:tcPr>
            <w:tcW w:type="dxa" w:w="3456"/>
            <w:shd w:fill="002060" w:val="clear"/>
            <w:tcW w:w="3311" w:type="dxa"/>
          </w:tcPr>
          <w:p>
            <w:pPr>
              <w:jc w:val="center"/>
            </w:pPr>
            <w:r/>
            <w:r>
              <w:rPr>
                <w:rFonts w:ascii="Calibri" w:hAnsi="Calibri"/>
                <w:b/>
                <w:color w:val="FFFFFF"/>
                <w:sz w:val="16"/>
              </w:rPr>
              <w:t>UK (PS1/26)</w:t>
            </w:r>
          </w:p>
        </w:tc>
        <w:tc>
          <w:tcPr>
            <w:tcW w:type="dxa" w:w="3456"/>
            <w:shd w:fill="002060" w:val="clear"/>
            <w:tcW w:w="3456" w:type="dxa"/>
          </w:tcPr>
          <w:p>
            <w:pPr>
              <w:jc w:val="center"/>
            </w:pPr>
            <w:r/>
            <w:r>
              <w:rPr>
                <w:rFonts w:ascii="Calibri" w:hAnsi="Calibri"/>
                <w:b/>
                <w:color w:val="FFFFFF"/>
                <w:sz w:val="16"/>
              </w:rPr>
              <w:t>EU (CRR3)</w:t>
            </w:r>
          </w:p>
        </w:tc>
      </w:tr>
      <w:tr>
        <w:tc>
          <w:tcPr>
            <w:tcW w:type="dxa" w:w="3456"/>
            <w:shd w:fill="F5E6C8" w:val="clear"/>
          </w:tcPr>
          <w:p>
            <w:pPr>
              <w:jc w:val="left"/>
            </w:pPr>
            <w:r/>
            <w:r>
              <w:rPr>
                <w:rFonts w:ascii="Calibri" w:hAnsi="Calibri"/>
                <w:b/>
                <w:color w:val="00143C"/>
                <w:sz w:val="16"/>
              </w:rPr>
              <w:t>Supervisory Haircuts (10-Day Holding, Standard)</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Sovereign AAA-AA / &lt;=1Y</w:t>
            </w:r>
          </w:p>
        </w:tc>
        <w:tc>
          <w:tcPr>
            <w:tcW w:type="dxa" w:w="3456"/>
            <w:shd w:fill="FFFFFF" w:val="clear"/>
          </w:tcPr>
          <w:p>
            <w:pPr>
              <w:jc w:val="left"/>
            </w:pPr>
            <w:r/>
            <w:r>
              <w:rPr>
                <w:rFonts w:ascii="Calibri" w:hAnsi="Calibri"/>
                <w:b w:val="0"/>
                <w:color w:val="000000"/>
                <w:sz w:val="16"/>
              </w:rPr>
              <w:t>0.5% (issuer RW 0%) (Table 1 to §__.115; US keys haircuts to issuer risk weight, not rating)</w:t>
            </w:r>
          </w:p>
        </w:tc>
        <w:tc>
          <w:tcPr>
            <w:tcW w:type="dxa" w:w="3456"/>
            <w:shd w:fill="FFFFFF" w:val="clear"/>
          </w:tcPr>
          <w:p>
            <w:pPr>
              <w:jc w:val="left"/>
            </w:pPr>
            <w:r/>
            <w:r>
              <w:rPr>
                <w:rFonts w:ascii="Calibri" w:hAnsi="Calibri"/>
                <w:b w:val="0"/>
                <w:color w:val="000000"/>
                <w:sz w:val="16"/>
              </w:rPr>
              <w:t>0.5% (PS1/26 Ch.6 Table 6.1)</w:t>
            </w:r>
          </w:p>
        </w:tc>
        <w:tc>
          <w:tcPr>
            <w:tcW w:type="dxa" w:w="3456"/>
            <w:shd w:fill="FFFFFF" w:val="clear"/>
          </w:tcPr>
          <w:p>
            <w:pPr>
              <w:jc w:val="left"/>
            </w:pPr>
            <w:r/>
            <w:r>
              <w:rPr>
                <w:rFonts w:ascii="Calibri" w:hAnsi="Calibri"/>
                <w:b w:val="0"/>
                <w:color w:val="000000"/>
                <w:sz w:val="16"/>
              </w:rPr>
              <w:t>0.5% (CRR3 Art 224 Table 1)</w:t>
            </w:r>
          </w:p>
        </w:tc>
      </w:tr>
      <w:tr>
        <w:tc>
          <w:tcPr>
            <w:tcW w:type="dxa" w:w="3456"/>
            <w:shd w:fill="F2F2F2" w:val="clear"/>
          </w:tcPr>
          <w:p>
            <w:pPr>
              <w:jc w:val="left"/>
            </w:pPr>
            <w:r/>
            <w:r>
              <w:rPr>
                <w:rFonts w:ascii="Calibri" w:hAnsi="Calibri"/>
                <w:b/>
                <w:color w:val="000000"/>
                <w:sz w:val="16"/>
              </w:rPr>
              <w:t>Sovereign AAA-AA / 1-5Y</w:t>
            </w:r>
          </w:p>
        </w:tc>
        <w:tc>
          <w:tcPr>
            <w:tcW w:type="dxa" w:w="3456"/>
            <w:shd w:fill="F2F2F2" w:val="clear"/>
          </w:tcPr>
          <w:p>
            <w:pPr>
              <w:jc w:val="left"/>
            </w:pPr>
            <w:r/>
            <w:r>
              <w:rPr>
                <w:rFonts w:ascii="Calibri" w:hAnsi="Calibri"/>
                <w:b w:val="0"/>
                <w:color w:val="000000"/>
                <w:sz w:val="16"/>
              </w:rPr>
              <w:t>2% (issuer RW 0%; 1-3Y and 3-5Y) (Table 1 to §__.115)</w:t>
            </w:r>
          </w:p>
        </w:tc>
        <w:tc>
          <w:tcPr>
            <w:tcW w:type="dxa" w:w="3456"/>
            <w:shd w:fill="F2F2F2" w:val="clear"/>
          </w:tcPr>
          <w:p>
            <w:pPr>
              <w:jc w:val="left"/>
            </w:pPr>
            <w:r/>
            <w:r>
              <w:rPr>
                <w:rFonts w:ascii="Calibri" w:hAnsi="Calibri"/>
                <w:b w:val="0"/>
                <w:color w:val="000000"/>
                <w:sz w:val="16"/>
              </w:rPr>
              <w:t>2% (PS1/26 Ch.6 Table 6.1)</w:t>
            </w:r>
          </w:p>
        </w:tc>
        <w:tc>
          <w:tcPr>
            <w:tcW w:type="dxa" w:w="3456"/>
            <w:shd w:fill="F2F2F2" w:val="clear"/>
          </w:tcPr>
          <w:p>
            <w:pPr>
              <w:jc w:val="left"/>
            </w:pPr>
            <w:r/>
            <w:r>
              <w:rPr>
                <w:rFonts w:ascii="Calibri" w:hAnsi="Calibri"/>
                <w:b w:val="0"/>
                <w:color w:val="000000"/>
                <w:sz w:val="16"/>
              </w:rPr>
              <w:t>2% (CRR3 Art 224 Table 1)</w:t>
            </w:r>
          </w:p>
        </w:tc>
      </w:tr>
      <w:tr>
        <w:tc>
          <w:tcPr>
            <w:tcW w:type="dxa" w:w="3456"/>
            <w:shd w:fill="FFFFFF" w:val="clear"/>
          </w:tcPr>
          <w:p>
            <w:pPr>
              <w:jc w:val="left"/>
            </w:pPr>
            <w:r/>
            <w:r>
              <w:rPr>
                <w:rFonts w:ascii="Calibri" w:hAnsi="Calibri"/>
                <w:b/>
                <w:color w:val="000000"/>
                <w:sz w:val="16"/>
              </w:rPr>
              <w:t>Sovereign AAA-AA / &gt;5Y</w:t>
            </w:r>
          </w:p>
        </w:tc>
        <w:tc>
          <w:tcPr>
            <w:tcW w:type="dxa" w:w="3456"/>
            <w:shd w:fill="FFFFFF" w:val="clear"/>
          </w:tcPr>
          <w:p>
            <w:pPr>
              <w:jc w:val="left"/>
            </w:pPr>
            <w:r/>
            <w:r>
              <w:rPr>
                <w:rFonts w:ascii="Calibri" w:hAnsi="Calibri"/>
                <w:b w:val="0"/>
                <w:color w:val="000000"/>
                <w:sz w:val="16"/>
              </w:rPr>
              <w:t>4% (issuer RW 0%; 5-10Y and &gt;10Y) (Table 1 to §__.115)</w:t>
            </w:r>
          </w:p>
        </w:tc>
        <w:tc>
          <w:tcPr>
            <w:tcW w:type="dxa" w:w="3456"/>
            <w:shd w:fill="FFFFFF" w:val="clear"/>
          </w:tcPr>
          <w:p>
            <w:pPr>
              <w:jc w:val="left"/>
            </w:pPr>
            <w:r/>
            <w:r>
              <w:rPr>
                <w:rFonts w:ascii="Calibri" w:hAnsi="Calibri"/>
                <w:b w:val="0"/>
                <w:color w:val="000000"/>
                <w:sz w:val="16"/>
              </w:rPr>
              <w:t>4% (PS1/26 Ch.6 Table 6.1)</w:t>
            </w:r>
          </w:p>
        </w:tc>
        <w:tc>
          <w:tcPr>
            <w:tcW w:type="dxa" w:w="3456"/>
            <w:shd w:fill="FFFFFF" w:val="clear"/>
          </w:tcPr>
          <w:p>
            <w:pPr>
              <w:jc w:val="left"/>
            </w:pPr>
            <w:r/>
            <w:r>
              <w:rPr>
                <w:rFonts w:ascii="Calibri" w:hAnsi="Calibri"/>
                <w:b w:val="0"/>
                <w:color w:val="000000"/>
                <w:sz w:val="16"/>
              </w:rPr>
              <w:t>4% (CRR3 Art 224 Table 1)</w:t>
            </w:r>
          </w:p>
        </w:tc>
      </w:tr>
      <w:tr>
        <w:tc>
          <w:tcPr>
            <w:tcW w:type="dxa" w:w="3456"/>
            <w:shd w:fill="F2F2F2" w:val="clear"/>
          </w:tcPr>
          <w:p>
            <w:pPr>
              <w:jc w:val="left"/>
            </w:pPr>
            <w:r/>
            <w:r>
              <w:rPr>
                <w:rFonts w:ascii="Calibri" w:hAnsi="Calibri"/>
                <w:b/>
                <w:color w:val="000000"/>
                <w:sz w:val="16"/>
              </w:rPr>
              <w:t>Sovereign A-BBB / &lt;=1Y</w:t>
            </w:r>
          </w:p>
        </w:tc>
        <w:tc>
          <w:tcPr>
            <w:tcW w:type="dxa" w:w="3456"/>
            <w:shd w:fill="F2F2F2" w:val="clear"/>
          </w:tcPr>
          <w:p>
            <w:pPr>
              <w:jc w:val="left"/>
            </w:pPr>
            <w:r/>
            <w:r>
              <w:rPr>
                <w:rFonts w:ascii="Calibri" w:hAnsi="Calibri"/>
                <w:b w:val="0"/>
                <w:color w:val="000000"/>
                <w:sz w:val="16"/>
              </w:rPr>
              <w:t>1% (issuer RW 20% or 50%) (Table 1 to §__.115)</w:t>
            </w:r>
          </w:p>
        </w:tc>
        <w:tc>
          <w:tcPr>
            <w:tcW w:type="dxa" w:w="3456"/>
            <w:shd w:fill="F2F2F2" w:val="clear"/>
          </w:tcPr>
          <w:p>
            <w:pPr>
              <w:jc w:val="left"/>
            </w:pPr>
            <w:r/>
            <w:r>
              <w:rPr>
                <w:rFonts w:ascii="Calibri" w:hAnsi="Calibri"/>
                <w:b w:val="0"/>
                <w:color w:val="000000"/>
                <w:sz w:val="16"/>
              </w:rPr>
              <w:t>1% (PS1/26 Ch.6 Table 6.1)</w:t>
            </w:r>
          </w:p>
        </w:tc>
        <w:tc>
          <w:tcPr>
            <w:tcW w:type="dxa" w:w="3456"/>
            <w:shd w:fill="F2F2F2" w:val="clear"/>
          </w:tcPr>
          <w:p>
            <w:pPr>
              <w:jc w:val="left"/>
            </w:pPr>
            <w:r/>
            <w:r>
              <w:rPr>
                <w:rFonts w:ascii="Calibri" w:hAnsi="Calibri"/>
                <w:b w:val="0"/>
                <w:color w:val="000000"/>
                <w:sz w:val="16"/>
              </w:rPr>
              <w:t>1% (CRR3 Art 224 Table 1)</w:t>
            </w:r>
          </w:p>
        </w:tc>
      </w:tr>
      <w:tr>
        <w:tc>
          <w:tcPr>
            <w:tcW w:type="dxa" w:w="3456"/>
            <w:shd w:fill="FFFFFF" w:val="clear"/>
          </w:tcPr>
          <w:p>
            <w:pPr>
              <w:jc w:val="left"/>
            </w:pPr>
            <w:r/>
            <w:r>
              <w:rPr>
                <w:rFonts w:ascii="Calibri" w:hAnsi="Calibri"/>
                <w:b/>
                <w:color w:val="000000"/>
                <w:sz w:val="16"/>
              </w:rPr>
              <w:t>Sovereign A-BBB / 1-5Y</w:t>
            </w:r>
          </w:p>
        </w:tc>
        <w:tc>
          <w:tcPr>
            <w:tcW w:type="dxa" w:w="3456"/>
            <w:shd w:fill="FFFFFF" w:val="clear"/>
          </w:tcPr>
          <w:p>
            <w:pPr>
              <w:jc w:val="left"/>
            </w:pPr>
            <w:r/>
            <w:r>
              <w:rPr>
                <w:rFonts w:ascii="Calibri" w:hAnsi="Calibri"/>
                <w:b w:val="0"/>
                <w:color w:val="000000"/>
                <w:sz w:val="16"/>
              </w:rPr>
              <w:t>3% (issuer RW 20% or 50%) (Table 1 to §__.115)</w:t>
            </w:r>
          </w:p>
        </w:tc>
        <w:tc>
          <w:tcPr>
            <w:tcW w:type="dxa" w:w="3456"/>
            <w:shd w:fill="FFFFFF" w:val="clear"/>
          </w:tcPr>
          <w:p>
            <w:pPr>
              <w:jc w:val="left"/>
            </w:pPr>
            <w:r/>
            <w:r>
              <w:rPr>
                <w:rFonts w:ascii="Calibri" w:hAnsi="Calibri"/>
                <w:b w:val="0"/>
                <w:color w:val="000000"/>
                <w:sz w:val="16"/>
              </w:rPr>
              <w:t>3% (PS1/26 Ch.6 Table 6.1)</w:t>
            </w:r>
          </w:p>
        </w:tc>
        <w:tc>
          <w:tcPr>
            <w:tcW w:type="dxa" w:w="3456"/>
            <w:shd w:fill="FFFFFF" w:val="clear"/>
          </w:tcPr>
          <w:p>
            <w:pPr>
              <w:jc w:val="left"/>
            </w:pPr>
            <w:r/>
            <w:r>
              <w:rPr>
                <w:rFonts w:ascii="Calibri" w:hAnsi="Calibri"/>
                <w:b w:val="0"/>
                <w:color w:val="000000"/>
                <w:sz w:val="16"/>
              </w:rPr>
              <w:t>3% (CRR3 Art 224 Table 1)</w:t>
            </w:r>
          </w:p>
        </w:tc>
      </w:tr>
      <w:tr>
        <w:tc>
          <w:tcPr>
            <w:tcW w:type="dxa" w:w="3456"/>
            <w:shd w:fill="F2F2F2" w:val="clear"/>
          </w:tcPr>
          <w:p>
            <w:pPr>
              <w:jc w:val="left"/>
            </w:pPr>
            <w:r/>
            <w:r>
              <w:rPr>
                <w:rFonts w:ascii="Calibri" w:hAnsi="Calibri"/>
                <w:b/>
                <w:color w:val="000000"/>
                <w:sz w:val="16"/>
              </w:rPr>
              <w:t>Sovereign A-BBB / &gt;5Y</w:t>
            </w:r>
          </w:p>
        </w:tc>
        <w:tc>
          <w:tcPr>
            <w:tcW w:type="dxa" w:w="3456"/>
            <w:shd w:fill="F2F2F2" w:val="clear"/>
          </w:tcPr>
          <w:p>
            <w:pPr>
              <w:jc w:val="left"/>
            </w:pPr>
            <w:r/>
            <w:r>
              <w:rPr>
                <w:rFonts w:ascii="Calibri" w:hAnsi="Calibri"/>
                <w:b w:val="0"/>
                <w:color w:val="000000"/>
                <w:sz w:val="16"/>
              </w:rPr>
              <w:t>6% (issuer RW 20% or 50%) (Table 1 to §__.115)</w:t>
            </w:r>
          </w:p>
        </w:tc>
        <w:tc>
          <w:tcPr>
            <w:tcW w:type="dxa" w:w="3456"/>
            <w:shd w:fill="F2F2F2" w:val="clear"/>
          </w:tcPr>
          <w:p>
            <w:pPr>
              <w:jc w:val="left"/>
            </w:pPr>
            <w:r/>
            <w:r>
              <w:rPr>
                <w:rFonts w:ascii="Calibri" w:hAnsi="Calibri"/>
                <w:b w:val="0"/>
                <w:color w:val="000000"/>
                <w:sz w:val="16"/>
              </w:rPr>
              <w:t>6% (PS1/26 Ch.6 Table 6.1)</w:t>
            </w:r>
          </w:p>
        </w:tc>
        <w:tc>
          <w:tcPr>
            <w:tcW w:type="dxa" w:w="3456"/>
            <w:shd w:fill="F2F2F2" w:val="clear"/>
          </w:tcPr>
          <w:p>
            <w:pPr>
              <w:jc w:val="left"/>
            </w:pPr>
            <w:r/>
            <w:r>
              <w:rPr>
                <w:rFonts w:ascii="Calibri" w:hAnsi="Calibri"/>
                <w:b w:val="0"/>
                <w:color w:val="000000"/>
                <w:sz w:val="16"/>
              </w:rPr>
              <w:t>6% (CRR3 Art 224 Table 1)</w:t>
            </w:r>
          </w:p>
        </w:tc>
      </w:tr>
      <w:tr>
        <w:tc>
          <w:tcPr>
            <w:tcW w:type="dxa" w:w="3456"/>
            <w:shd w:fill="FFFFFF" w:val="clear"/>
          </w:tcPr>
          <w:p>
            <w:pPr>
              <w:jc w:val="left"/>
            </w:pPr>
            <w:r/>
            <w:r>
              <w:rPr>
                <w:rFonts w:ascii="Calibri" w:hAnsi="Calibri"/>
                <w:b/>
                <w:color w:val="000000"/>
                <w:sz w:val="16"/>
              </w:rPr>
              <w:t>Sovereign BB / all</w:t>
            </w:r>
          </w:p>
        </w:tc>
        <w:tc>
          <w:tcPr>
            <w:tcW w:type="dxa" w:w="3456"/>
            <w:shd w:fill="FFFFFF" w:val="clear"/>
          </w:tcPr>
          <w:p>
            <w:pPr>
              <w:jc w:val="left"/>
            </w:pPr>
            <w:r/>
            <w:r>
              <w:rPr>
                <w:rFonts w:ascii="Calibri" w:hAnsi="Calibri"/>
                <w:b w:val="0"/>
                <w:color w:val="000000"/>
                <w:sz w:val="16"/>
              </w:rPr>
              <w:t>15% (issuer RW 100%); sovereign RW &gt; 100%: 30% 'other' (Table 1 to §__.115)</w:t>
            </w:r>
          </w:p>
        </w:tc>
        <w:tc>
          <w:tcPr>
            <w:tcW w:type="dxa" w:w="3456"/>
            <w:shd w:fill="FFFFFF" w:val="clear"/>
          </w:tcPr>
          <w:p>
            <w:pPr>
              <w:jc w:val="left"/>
            </w:pPr>
            <w:r/>
            <w:r>
              <w:rPr>
                <w:rFonts w:ascii="Calibri" w:hAnsi="Calibri"/>
                <w:b w:val="0"/>
                <w:color w:val="000000"/>
                <w:sz w:val="16"/>
              </w:rPr>
              <w:t>15% (PS1/26 Ch.6 Table 6.1)</w:t>
            </w:r>
          </w:p>
        </w:tc>
        <w:tc>
          <w:tcPr>
            <w:tcW w:type="dxa" w:w="3456"/>
            <w:shd w:fill="FFFFFF" w:val="clear"/>
          </w:tcPr>
          <w:p>
            <w:pPr>
              <w:jc w:val="left"/>
            </w:pPr>
            <w:r/>
            <w:r>
              <w:rPr>
                <w:rFonts w:ascii="Calibri" w:hAnsi="Calibri"/>
                <w:b w:val="0"/>
                <w:color w:val="000000"/>
                <w:sz w:val="16"/>
              </w:rPr>
              <w:t>15% (CRR3 Art 224 Table 1)</w:t>
            </w:r>
          </w:p>
        </w:tc>
      </w:tr>
      <w:tr>
        <w:tc>
          <w:tcPr>
            <w:tcW w:type="dxa" w:w="3456"/>
            <w:shd w:fill="F2F2F2" w:val="clear"/>
          </w:tcPr>
          <w:p>
            <w:pPr>
              <w:jc w:val="left"/>
            </w:pPr>
            <w:r/>
            <w:r>
              <w:rPr>
                <w:rFonts w:ascii="Calibri" w:hAnsi="Calibri"/>
                <w:b/>
                <w:color w:val="000000"/>
                <w:sz w:val="16"/>
              </w:rPr>
              <w:t>Corp/Bank AAA-AA / &lt;=1Y</w:t>
            </w:r>
          </w:p>
        </w:tc>
        <w:tc>
          <w:tcPr>
            <w:tcW w:type="dxa" w:w="3456"/>
            <w:shd w:fill="F2F2F2" w:val="clear"/>
          </w:tcPr>
          <w:p>
            <w:pPr>
              <w:jc w:val="left"/>
            </w:pPr>
            <w:r/>
            <w:r>
              <w:rPr>
                <w:rFonts w:ascii="Calibri" w:hAnsi="Calibri"/>
                <w:b w:val="0"/>
                <w:color w:val="000000"/>
                <w:sz w:val="16"/>
              </w:rPr>
              <w:t>2% - all 'other investment grade' non-GSE, non-securitization debt (no rating split); GSE 1%; senior securitization RW&lt;100% 4% (Table 1 to §__.115)</w:t>
            </w:r>
          </w:p>
        </w:tc>
        <w:tc>
          <w:tcPr>
            <w:tcW w:type="dxa" w:w="3456"/>
            <w:shd w:fill="F2F2F2" w:val="clear"/>
          </w:tcPr>
          <w:p>
            <w:pPr>
              <w:jc w:val="left"/>
            </w:pPr>
            <w:r/>
            <w:r>
              <w:rPr>
                <w:rFonts w:ascii="Calibri" w:hAnsi="Calibri"/>
                <w:b w:val="0"/>
                <w:color w:val="000000"/>
                <w:sz w:val="16"/>
              </w:rPr>
              <w:t>1% (PS1/26 Ch.6 Table 6.1)</w:t>
            </w:r>
          </w:p>
        </w:tc>
        <w:tc>
          <w:tcPr>
            <w:tcW w:type="dxa" w:w="3456"/>
            <w:shd w:fill="F2F2F2" w:val="clear"/>
          </w:tcPr>
          <w:p>
            <w:pPr>
              <w:jc w:val="left"/>
            </w:pPr>
            <w:r/>
            <w:r>
              <w:rPr>
                <w:rFonts w:ascii="Calibri" w:hAnsi="Calibri"/>
                <w:b w:val="0"/>
                <w:color w:val="000000"/>
                <w:sz w:val="16"/>
              </w:rPr>
              <w:t>1% (CRR3 Art 224 Table 1)</w:t>
            </w:r>
          </w:p>
        </w:tc>
      </w:tr>
      <w:tr>
        <w:tc>
          <w:tcPr>
            <w:tcW w:type="dxa" w:w="3456"/>
            <w:shd w:fill="FFFFFF" w:val="clear"/>
          </w:tcPr>
          <w:p>
            <w:pPr>
              <w:jc w:val="left"/>
            </w:pPr>
            <w:r/>
            <w:r>
              <w:rPr>
                <w:rFonts w:ascii="Calibri" w:hAnsi="Calibri"/>
                <w:b/>
                <w:color w:val="000000"/>
                <w:sz w:val="16"/>
              </w:rPr>
              <w:t>Corp/Bank AAA-AA / 1-5Y</w:t>
            </w:r>
          </w:p>
        </w:tc>
        <w:tc>
          <w:tcPr>
            <w:tcW w:type="dxa" w:w="3456"/>
            <w:shd w:fill="FFFFFF" w:val="clear"/>
          </w:tcPr>
          <w:p>
            <w:pPr>
              <w:jc w:val="left"/>
            </w:pPr>
            <w:r/>
            <w:r>
              <w:rPr>
                <w:rFonts w:ascii="Calibri" w:hAnsi="Calibri"/>
                <w:b w:val="0"/>
                <w:color w:val="000000"/>
                <w:sz w:val="16"/>
              </w:rPr>
              <w:t>4% (1-3Y) / 6% (3-5Y); GSE 4%; senior securitization 12% (Table 1 to §__.115)</w:t>
            </w:r>
          </w:p>
        </w:tc>
        <w:tc>
          <w:tcPr>
            <w:tcW w:type="dxa" w:w="3456"/>
            <w:shd w:fill="FFFFFF" w:val="clear"/>
          </w:tcPr>
          <w:p>
            <w:pPr>
              <w:jc w:val="left"/>
            </w:pPr>
            <w:r/>
            <w:r>
              <w:rPr>
                <w:rFonts w:ascii="Calibri" w:hAnsi="Calibri"/>
                <w:b w:val="0"/>
                <w:color w:val="000000"/>
                <w:sz w:val="16"/>
              </w:rPr>
              <w:t>4% (PS1/26 Ch.6 Table 6.1)</w:t>
            </w:r>
          </w:p>
        </w:tc>
        <w:tc>
          <w:tcPr>
            <w:tcW w:type="dxa" w:w="3456"/>
            <w:shd w:fill="FFFFFF" w:val="clear"/>
          </w:tcPr>
          <w:p>
            <w:pPr>
              <w:jc w:val="left"/>
            </w:pPr>
            <w:r/>
            <w:r>
              <w:rPr>
                <w:rFonts w:ascii="Calibri" w:hAnsi="Calibri"/>
                <w:b w:val="0"/>
                <w:color w:val="000000"/>
                <w:sz w:val="16"/>
              </w:rPr>
              <w:t>4% (CRR3 Art 224 Table 1)</w:t>
            </w:r>
          </w:p>
        </w:tc>
      </w:tr>
      <w:tr>
        <w:tc>
          <w:tcPr>
            <w:tcW w:type="dxa" w:w="3456"/>
            <w:shd w:fill="F2F2F2" w:val="clear"/>
          </w:tcPr>
          <w:p>
            <w:pPr>
              <w:jc w:val="left"/>
            </w:pPr>
            <w:r/>
            <w:r>
              <w:rPr>
                <w:rFonts w:ascii="Calibri" w:hAnsi="Calibri"/>
                <w:b/>
                <w:color w:val="000000"/>
                <w:sz w:val="16"/>
              </w:rPr>
              <w:t>Corp/Bank AAA-AA / &gt;5Y</w:t>
            </w:r>
          </w:p>
        </w:tc>
        <w:tc>
          <w:tcPr>
            <w:tcW w:type="dxa" w:w="3456"/>
            <w:shd w:fill="F2F2F2" w:val="clear"/>
          </w:tcPr>
          <w:p>
            <w:pPr>
              <w:jc w:val="left"/>
            </w:pPr>
            <w:r/>
            <w:r>
              <w:rPr>
                <w:rFonts w:ascii="Calibri" w:hAnsi="Calibri"/>
                <w:b w:val="0"/>
                <w:color w:val="000000"/>
                <w:sz w:val="16"/>
              </w:rPr>
              <w:t>12% (5-10Y) / 20% (&gt;10Y); GSE 8%; senior securitization 24% (Table 1 to §__.115)</w:t>
            </w:r>
          </w:p>
        </w:tc>
        <w:tc>
          <w:tcPr>
            <w:tcW w:type="dxa" w:w="3456"/>
            <w:shd w:fill="F2F2F2" w:val="clear"/>
          </w:tcPr>
          <w:p>
            <w:pPr>
              <w:jc w:val="left"/>
            </w:pPr>
            <w:r/>
            <w:r>
              <w:rPr>
                <w:rFonts w:ascii="Calibri" w:hAnsi="Calibri"/>
                <w:b w:val="0"/>
                <w:color w:val="000000"/>
                <w:sz w:val="16"/>
              </w:rPr>
              <w:t>8% (PS1/26 Ch.6 Table 6.1)</w:t>
            </w:r>
          </w:p>
        </w:tc>
        <w:tc>
          <w:tcPr>
            <w:tcW w:type="dxa" w:w="3456"/>
            <w:shd w:fill="F2F2F2" w:val="clear"/>
          </w:tcPr>
          <w:p>
            <w:pPr>
              <w:jc w:val="left"/>
            </w:pPr>
            <w:r/>
            <w:r>
              <w:rPr>
                <w:rFonts w:ascii="Calibri" w:hAnsi="Calibri"/>
                <w:b w:val="0"/>
                <w:color w:val="000000"/>
                <w:sz w:val="16"/>
              </w:rPr>
              <w:t>8% (CRR3 Art 224 Table 1)</w:t>
            </w:r>
          </w:p>
        </w:tc>
      </w:tr>
      <w:tr>
        <w:tc>
          <w:tcPr>
            <w:tcW w:type="dxa" w:w="3456"/>
            <w:shd w:fill="FFFFFF" w:val="clear"/>
          </w:tcPr>
          <w:p>
            <w:pPr>
              <w:jc w:val="left"/>
            </w:pPr>
            <w:r/>
            <w:r>
              <w:rPr>
                <w:rFonts w:ascii="Calibri" w:hAnsi="Calibri"/>
                <w:b/>
                <w:color w:val="000000"/>
                <w:sz w:val="16"/>
              </w:rPr>
              <w:t>Corp/Bank A-BBB / &lt;=1Y</w:t>
            </w:r>
          </w:p>
        </w:tc>
        <w:tc>
          <w:tcPr>
            <w:tcW w:type="dxa" w:w="3456"/>
            <w:shd w:fill="FFFFFF" w:val="clear"/>
          </w:tcPr>
          <w:p>
            <w:pPr>
              <w:jc w:val="left"/>
            </w:pPr>
            <w:r/>
            <w:r>
              <w:rPr>
                <w:rFonts w:ascii="Calibri" w:hAnsi="Calibri"/>
                <w:b w:val="0"/>
                <w:color w:val="000000"/>
                <w:sz w:val="16"/>
              </w:rPr>
              <w:t>2% (same single IG column as above) (Table 1 to §__.115)</w:t>
            </w:r>
          </w:p>
        </w:tc>
        <w:tc>
          <w:tcPr>
            <w:tcW w:type="dxa" w:w="3456"/>
            <w:shd w:fill="FFFFFF" w:val="clear"/>
          </w:tcPr>
          <w:p>
            <w:pPr>
              <w:jc w:val="left"/>
            </w:pPr>
            <w:r/>
            <w:r>
              <w:rPr>
                <w:rFonts w:ascii="Calibri" w:hAnsi="Calibri"/>
                <w:b w:val="0"/>
                <w:color w:val="000000"/>
                <w:sz w:val="16"/>
              </w:rPr>
              <w:t>2% (PS1/26 Ch.6 Table 6.1)</w:t>
            </w:r>
          </w:p>
        </w:tc>
        <w:tc>
          <w:tcPr>
            <w:tcW w:type="dxa" w:w="3456"/>
            <w:shd w:fill="FFFFFF" w:val="clear"/>
          </w:tcPr>
          <w:p>
            <w:pPr>
              <w:jc w:val="left"/>
            </w:pPr>
            <w:r/>
            <w:r>
              <w:rPr>
                <w:rFonts w:ascii="Calibri" w:hAnsi="Calibri"/>
                <w:b w:val="0"/>
                <w:color w:val="000000"/>
                <w:sz w:val="16"/>
              </w:rPr>
              <w:t>2% (CRR3 Art 224 Table 1)</w:t>
            </w:r>
          </w:p>
        </w:tc>
      </w:tr>
      <w:tr>
        <w:tc>
          <w:tcPr>
            <w:tcW w:type="dxa" w:w="3456"/>
            <w:shd w:fill="F2F2F2" w:val="clear"/>
          </w:tcPr>
          <w:p>
            <w:pPr>
              <w:jc w:val="left"/>
            </w:pPr>
            <w:r/>
            <w:r>
              <w:rPr>
                <w:rFonts w:ascii="Calibri" w:hAnsi="Calibri"/>
                <w:b/>
                <w:color w:val="000000"/>
                <w:sz w:val="16"/>
              </w:rPr>
              <w:t>Corp/Bank A-BBB / 1-5Y</w:t>
            </w:r>
          </w:p>
        </w:tc>
        <w:tc>
          <w:tcPr>
            <w:tcW w:type="dxa" w:w="3456"/>
            <w:shd w:fill="F2F2F2" w:val="clear"/>
          </w:tcPr>
          <w:p>
            <w:pPr>
              <w:jc w:val="left"/>
            </w:pPr>
            <w:r/>
            <w:r>
              <w:rPr>
                <w:rFonts w:ascii="Calibri" w:hAnsi="Calibri"/>
                <w:b w:val="0"/>
                <w:color w:val="000000"/>
                <w:sz w:val="16"/>
              </w:rPr>
              <w:t>4% (1-3Y) / 6% (3-5Y) (Table 1 to §__.115)</w:t>
            </w:r>
          </w:p>
        </w:tc>
        <w:tc>
          <w:tcPr>
            <w:tcW w:type="dxa" w:w="3456"/>
            <w:shd w:fill="F2F2F2" w:val="clear"/>
          </w:tcPr>
          <w:p>
            <w:pPr>
              <w:jc w:val="left"/>
            </w:pPr>
            <w:r/>
            <w:r>
              <w:rPr>
                <w:rFonts w:ascii="Calibri" w:hAnsi="Calibri"/>
                <w:b w:val="0"/>
                <w:color w:val="000000"/>
                <w:sz w:val="16"/>
              </w:rPr>
              <w:t>6% (PS1/26 Ch.6 Table 6.1)</w:t>
            </w:r>
          </w:p>
        </w:tc>
        <w:tc>
          <w:tcPr>
            <w:tcW w:type="dxa" w:w="3456"/>
            <w:shd w:fill="F2F2F2" w:val="clear"/>
          </w:tcPr>
          <w:p>
            <w:pPr>
              <w:jc w:val="left"/>
            </w:pPr>
            <w:r/>
            <w:r>
              <w:rPr>
                <w:rFonts w:ascii="Calibri" w:hAnsi="Calibri"/>
                <w:b w:val="0"/>
                <w:color w:val="000000"/>
                <w:sz w:val="16"/>
              </w:rPr>
              <w:t>6% (CRR3 Art 224 Table 1)</w:t>
            </w:r>
          </w:p>
        </w:tc>
      </w:tr>
      <w:tr>
        <w:tc>
          <w:tcPr>
            <w:tcW w:type="dxa" w:w="3456"/>
            <w:shd w:fill="FFFFFF" w:val="clear"/>
          </w:tcPr>
          <w:p>
            <w:pPr>
              <w:jc w:val="left"/>
            </w:pPr>
            <w:r/>
            <w:r>
              <w:rPr>
                <w:rFonts w:ascii="Calibri" w:hAnsi="Calibri"/>
                <w:b/>
                <w:color w:val="000000"/>
                <w:sz w:val="16"/>
              </w:rPr>
              <w:t>Corp/Bank A-BBB / &gt;5Y</w:t>
            </w:r>
          </w:p>
        </w:tc>
        <w:tc>
          <w:tcPr>
            <w:tcW w:type="dxa" w:w="3456"/>
            <w:shd w:fill="FFFFFF" w:val="clear"/>
          </w:tcPr>
          <w:p>
            <w:pPr>
              <w:jc w:val="left"/>
            </w:pPr>
            <w:r/>
            <w:r>
              <w:rPr>
                <w:rFonts w:ascii="Calibri" w:hAnsi="Calibri"/>
                <w:b w:val="0"/>
                <w:color w:val="000000"/>
                <w:sz w:val="16"/>
              </w:rPr>
              <w:t>12% (5-10Y) / 20% (&gt;10Y) (Table 1 to §__.115)</w:t>
            </w:r>
          </w:p>
        </w:tc>
        <w:tc>
          <w:tcPr>
            <w:tcW w:type="dxa" w:w="3456"/>
            <w:shd w:fill="FFFFFF" w:val="clear"/>
          </w:tcPr>
          <w:p>
            <w:pPr>
              <w:jc w:val="left"/>
            </w:pPr>
            <w:r/>
            <w:r>
              <w:rPr>
                <w:rFonts w:ascii="Calibri" w:hAnsi="Calibri"/>
                <w:b w:val="0"/>
                <w:color w:val="000000"/>
                <w:sz w:val="16"/>
              </w:rPr>
              <w:t>12% (PS1/26 Ch.6 Table 6.1)</w:t>
            </w:r>
          </w:p>
        </w:tc>
        <w:tc>
          <w:tcPr>
            <w:tcW w:type="dxa" w:w="3456"/>
            <w:shd w:fill="FFFFFF" w:val="clear"/>
          </w:tcPr>
          <w:p>
            <w:pPr>
              <w:jc w:val="left"/>
            </w:pPr>
            <w:r/>
            <w:r>
              <w:rPr>
                <w:rFonts w:ascii="Calibri" w:hAnsi="Calibri"/>
                <w:b w:val="0"/>
                <w:color w:val="000000"/>
                <w:sz w:val="16"/>
              </w:rPr>
              <w:t>12% (CRR3 Art 224 Table 1)</w:t>
            </w:r>
          </w:p>
        </w:tc>
      </w:tr>
      <w:tr>
        <w:tc>
          <w:tcPr>
            <w:tcW w:type="dxa" w:w="3456"/>
            <w:shd w:fill="F2F2F2" w:val="clear"/>
          </w:tcPr>
          <w:p>
            <w:pPr>
              <w:jc w:val="left"/>
            </w:pPr>
            <w:r/>
            <w:r>
              <w:rPr>
                <w:rFonts w:ascii="Calibri" w:hAnsi="Calibri"/>
                <w:b/>
                <w:color w:val="000000"/>
                <w:sz w:val="16"/>
              </w:rPr>
              <w:t>Corp/Bank BB / all</w:t>
            </w:r>
          </w:p>
        </w:tc>
        <w:tc>
          <w:tcPr>
            <w:tcW w:type="dxa" w:w="3456"/>
            <w:shd w:fill="F2F2F2" w:val="clear"/>
          </w:tcPr>
          <w:p>
            <w:pPr>
              <w:jc w:val="left"/>
            </w:pPr>
            <w:r/>
            <w:r>
              <w:rPr>
                <w:rFonts w:ascii="Calibri" w:hAnsi="Calibri"/>
                <w:b w:val="0"/>
                <w:color w:val="000000"/>
                <w:sz w:val="16"/>
              </w:rPr>
              <w:t>30% - non-investment-grade debt falls in 'other exposure types' (Table 1 to §__.115; ERBA NPR P.107 fn 137)</w:t>
            </w:r>
          </w:p>
        </w:tc>
        <w:tc>
          <w:tcPr>
            <w:tcW w:type="dxa" w:w="3456"/>
            <w:shd w:fill="F2F2F2" w:val="clear"/>
          </w:tcPr>
          <w:p>
            <w:pPr>
              <w:jc w:val="left"/>
            </w:pPr>
            <w:r/>
            <w:r>
              <w:rPr>
                <w:rFonts w:ascii="Calibri" w:hAnsi="Calibri"/>
                <w:b w:val="0"/>
                <w:color w:val="000000"/>
                <w:sz w:val="16"/>
              </w:rPr>
              <w:t>25% (PS1/26 Ch.6 Table 6.1)</w:t>
            </w:r>
          </w:p>
        </w:tc>
        <w:tc>
          <w:tcPr>
            <w:tcW w:type="dxa" w:w="3456"/>
            <w:shd w:fill="F2F2F2" w:val="clear"/>
          </w:tcPr>
          <w:p>
            <w:pPr>
              <w:jc w:val="left"/>
            </w:pPr>
            <w:r/>
            <w:r>
              <w:rPr>
                <w:rFonts w:ascii="Calibri" w:hAnsi="Calibri"/>
                <w:b w:val="0"/>
                <w:color w:val="000000"/>
                <w:sz w:val="16"/>
              </w:rPr>
              <w:t>25% (CRR3 Art 224 Table 1)</w:t>
            </w:r>
          </w:p>
        </w:tc>
      </w:tr>
      <w:tr>
        <w:tc>
          <w:tcPr>
            <w:tcW w:type="dxa" w:w="3456"/>
            <w:shd w:fill="FFFFFF" w:val="clear"/>
          </w:tcPr>
          <w:p>
            <w:pPr>
              <w:jc w:val="left"/>
            </w:pPr>
            <w:r/>
            <w:r>
              <w:rPr>
                <w:rFonts w:ascii="Calibri" w:hAnsi="Calibri"/>
                <w:b/>
                <w:color w:val="000000"/>
                <w:sz w:val="16"/>
              </w:rPr>
              <w:t>Main Index Equities</w:t>
            </w:r>
          </w:p>
        </w:tc>
        <w:tc>
          <w:tcPr>
            <w:tcW w:type="dxa" w:w="3456"/>
            <w:shd w:fill="FFFFFF" w:val="clear"/>
          </w:tcPr>
          <w:p>
            <w:pPr>
              <w:jc w:val="left"/>
            </w:pPr>
            <w:r/>
            <w:r>
              <w:rPr>
                <w:rFonts w:ascii="Calibri" w:hAnsi="Calibri"/>
                <w:b w:val="0"/>
                <w:color w:val="000000"/>
                <w:sz w:val="16"/>
              </w:rPr>
              <w:t>20% (incl. convertible bonds) (Table 1 to §__.115; ERBA NPR P.107-108)</w:t>
            </w:r>
          </w:p>
        </w:tc>
        <w:tc>
          <w:tcPr>
            <w:tcW w:type="dxa" w:w="3456"/>
            <w:shd w:fill="FFFFFF" w:val="clear"/>
          </w:tcPr>
          <w:p>
            <w:pPr>
              <w:jc w:val="left"/>
            </w:pPr>
            <w:r/>
            <w:r>
              <w:rPr>
                <w:rFonts w:ascii="Calibri" w:hAnsi="Calibri"/>
                <w:b w:val="0"/>
                <w:color w:val="000000"/>
                <w:sz w:val="16"/>
              </w:rPr>
              <w:t>15% (PS1/26 Ch.6 Table 6.1)</w:t>
            </w:r>
          </w:p>
        </w:tc>
        <w:tc>
          <w:tcPr>
            <w:tcW w:type="dxa" w:w="3456"/>
            <w:shd w:fill="FFFFFF" w:val="clear"/>
          </w:tcPr>
          <w:p>
            <w:pPr>
              <w:jc w:val="left"/>
            </w:pPr>
            <w:r/>
            <w:r>
              <w:rPr>
                <w:rFonts w:ascii="Calibri" w:hAnsi="Calibri"/>
                <w:b w:val="0"/>
                <w:color w:val="000000"/>
                <w:sz w:val="16"/>
              </w:rPr>
              <w:t>15% (CRR3 Art 224 Table 1)</w:t>
            </w:r>
          </w:p>
        </w:tc>
      </w:tr>
      <w:tr>
        <w:tc>
          <w:tcPr>
            <w:tcW w:type="dxa" w:w="3456"/>
            <w:shd w:fill="F2F2F2" w:val="clear"/>
          </w:tcPr>
          <w:p>
            <w:pPr>
              <w:jc w:val="left"/>
            </w:pPr>
            <w:r/>
            <w:r>
              <w:rPr>
                <w:rFonts w:ascii="Calibri" w:hAnsi="Calibri"/>
                <w:b/>
                <w:color w:val="000000"/>
                <w:sz w:val="16"/>
              </w:rPr>
              <w:t>Other Listed Equities</w:t>
            </w:r>
          </w:p>
        </w:tc>
        <w:tc>
          <w:tcPr>
            <w:tcW w:type="dxa" w:w="3456"/>
            <w:shd w:fill="F2F2F2" w:val="clear"/>
          </w:tcPr>
          <w:p>
            <w:pPr>
              <w:jc w:val="left"/>
            </w:pPr>
            <w:r/>
            <w:r>
              <w:rPr>
                <w:rFonts w:ascii="Calibri" w:hAnsi="Calibri"/>
                <w:b w:val="0"/>
                <w:color w:val="000000"/>
                <w:sz w:val="16"/>
              </w:rPr>
              <w:t>30% (Table 1 to §__.115)</w:t>
            </w:r>
          </w:p>
        </w:tc>
        <w:tc>
          <w:tcPr>
            <w:tcW w:type="dxa" w:w="3456"/>
            <w:shd w:fill="F2F2F2" w:val="clear"/>
          </w:tcPr>
          <w:p>
            <w:pPr>
              <w:jc w:val="left"/>
            </w:pPr>
            <w:r/>
            <w:r>
              <w:rPr>
                <w:rFonts w:ascii="Calibri" w:hAnsi="Calibri"/>
                <w:b w:val="0"/>
                <w:color w:val="000000"/>
                <w:sz w:val="16"/>
              </w:rPr>
              <w:t>25% (PS1/26 Ch.6 Table 6.1)</w:t>
            </w:r>
          </w:p>
        </w:tc>
        <w:tc>
          <w:tcPr>
            <w:tcW w:type="dxa" w:w="3456"/>
            <w:shd w:fill="F2F2F2" w:val="clear"/>
          </w:tcPr>
          <w:p>
            <w:pPr>
              <w:jc w:val="left"/>
            </w:pPr>
            <w:r/>
            <w:r>
              <w:rPr>
                <w:rFonts w:ascii="Calibri" w:hAnsi="Calibri"/>
                <w:b w:val="0"/>
                <w:color w:val="000000"/>
                <w:sz w:val="16"/>
              </w:rPr>
              <w:t>25% (CRR3 Art 224 Table 1)</w:t>
            </w:r>
          </w:p>
        </w:tc>
      </w:tr>
      <w:tr>
        <w:tc>
          <w:tcPr>
            <w:tcW w:type="dxa" w:w="3456"/>
            <w:shd w:fill="FFFFFF" w:val="clear"/>
          </w:tcPr>
          <w:p>
            <w:pPr>
              <w:jc w:val="left"/>
            </w:pPr>
            <w:r/>
            <w:r>
              <w:rPr>
                <w:rFonts w:ascii="Calibri" w:hAnsi="Calibri"/>
                <w:b/>
                <w:color w:val="000000"/>
                <w:sz w:val="16"/>
              </w:rPr>
              <w:t>Cash / Same Currency</w:t>
            </w:r>
          </w:p>
        </w:tc>
        <w:tc>
          <w:tcPr>
            <w:tcW w:type="dxa" w:w="3456"/>
            <w:shd w:fill="FFFFFF" w:val="clear"/>
          </w:tcPr>
          <w:p>
            <w:pPr>
              <w:jc w:val="left"/>
            </w:pPr>
            <w:r/>
            <w:r>
              <w:rPr>
                <w:rFonts w:ascii="Calibri" w:hAnsi="Calibri"/>
                <w:b w:val="0"/>
                <w:color w:val="000000"/>
                <w:sz w:val="16"/>
              </w:rPr>
              <w:t>0% (Table 1 to §__.115)</w:t>
            </w:r>
          </w:p>
        </w:tc>
        <w:tc>
          <w:tcPr>
            <w:tcW w:type="dxa" w:w="3456"/>
            <w:shd w:fill="FFFFFF" w:val="clear"/>
          </w:tcPr>
          <w:p>
            <w:pPr>
              <w:jc w:val="left"/>
            </w:pPr>
            <w:r/>
            <w:r>
              <w:rPr>
                <w:rFonts w:ascii="Calibri" w:hAnsi="Calibri"/>
                <w:b w:val="0"/>
                <w:color w:val="000000"/>
                <w:sz w:val="16"/>
              </w:rPr>
              <w:t>0% (PS1/26 Ch.6 Table 6.1)</w:t>
            </w:r>
          </w:p>
        </w:tc>
        <w:tc>
          <w:tcPr>
            <w:tcW w:type="dxa" w:w="3456"/>
            <w:shd w:fill="FFFFFF" w:val="clear"/>
          </w:tcPr>
          <w:p>
            <w:pPr>
              <w:jc w:val="left"/>
            </w:pPr>
            <w:r/>
            <w:r>
              <w:rPr>
                <w:rFonts w:ascii="Calibri" w:hAnsi="Calibri"/>
                <w:b w:val="0"/>
                <w:color w:val="000000"/>
                <w:sz w:val="16"/>
              </w:rPr>
              <w:t>0% (CRR3 Art 224 Table 1)</w:t>
            </w:r>
          </w:p>
        </w:tc>
      </w:tr>
      <w:tr>
        <w:tc>
          <w:tcPr>
            <w:tcW w:type="dxa" w:w="3456"/>
            <w:shd w:fill="F2F2F2" w:val="clear"/>
          </w:tcPr>
          <w:p>
            <w:pPr>
              <w:jc w:val="left"/>
            </w:pPr>
            <w:r/>
            <w:r>
              <w:rPr>
                <w:rFonts w:ascii="Calibri" w:hAnsi="Calibri"/>
                <w:b/>
                <w:color w:val="000000"/>
                <w:sz w:val="16"/>
              </w:rPr>
              <w:t>Gold</w:t>
            </w:r>
          </w:p>
        </w:tc>
        <w:tc>
          <w:tcPr>
            <w:tcW w:type="dxa" w:w="3456"/>
            <w:shd w:fill="F2F2F2" w:val="clear"/>
          </w:tcPr>
          <w:p>
            <w:pPr>
              <w:jc w:val="left"/>
            </w:pPr>
            <w:r/>
            <w:r>
              <w:rPr>
                <w:rFonts w:ascii="Calibri" w:hAnsi="Calibri"/>
                <w:b w:val="0"/>
                <w:color w:val="000000"/>
                <w:sz w:val="16"/>
              </w:rPr>
              <w:t>20% (Table 1 to §__.115)</w:t>
            </w:r>
          </w:p>
        </w:tc>
        <w:tc>
          <w:tcPr>
            <w:tcW w:type="dxa" w:w="3456"/>
            <w:shd w:fill="F2F2F2" w:val="clear"/>
          </w:tcPr>
          <w:p>
            <w:pPr>
              <w:jc w:val="left"/>
            </w:pPr>
            <w:r/>
            <w:r>
              <w:rPr>
                <w:rFonts w:ascii="Calibri" w:hAnsi="Calibri"/>
                <w:b w:val="0"/>
                <w:color w:val="000000"/>
                <w:sz w:val="16"/>
              </w:rPr>
              <w:t>15% (PS1/26 Ch.6 Table 6.1)</w:t>
            </w:r>
          </w:p>
        </w:tc>
        <w:tc>
          <w:tcPr>
            <w:tcW w:type="dxa" w:w="3456"/>
            <w:shd w:fill="F2F2F2" w:val="clear"/>
          </w:tcPr>
          <w:p>
            <w:pPr>
              <w:jc w:val="left"/>
            </w:pPr>
            <w:r/>
            <w:r>
              <w:rPr>
                <w:rFonts w:ascii="Calibri" w:hAnsi="Calibri"/>
                <w:b w:val="0"/>
                <w:color w:val="000000"/>
                <w:sz w:val="16"/>
              </w:rPr>
              <w:t>15% (CRR3 Art 224 Table 1)</w:t>
            </w:r>
          </w:p>
        </w:tc>
      </w:tr>
      <w:tr>
        <w:tc>
          <w:tcPr>
            <w:tcW w:type="dxa" w:w="3456"/>
            <w:shd w:fill="FFFFFF" w:val="clear"/>
          </w:tcPr>
          <w:p>
            <w:pPr>
              <w:jc w:val="left"/>
            </w:pPr>
            <w:r/>
            <w:r>
              <w:rPr>
                <w:rFonts w:ascii="Calibri" w:hAnsi="Calibri"/>
                <w:b/>
                <w:color w:val="000000"/>
                <w:sz w:val="16"/>
              </w:rPr>
              <w:t>Mutual Funds / ETFs</w:t>
            </w:r>
          </w:p>
        </w:tc>
        <w:tc>
          <w:tcPr>
            <w:tcW w:type="dxa" w:w="3456"/>
            <w:shd w:fill="FFFFFF" w:val="clear"/>
          </w:tcPr>
          <w:p>
            <w:pPr>
              <w:jc w:val="left"/>
            </w:pPr>
            <w:r/>
            <w:r>
              <w:rPr>
                <w:rFonts w:ascii="Calibri" w:hAnsi="Calibri"/>
                <w:b w:val="0"/>
                <w:color w:val="000000"/>
                <w:sz w:val="16"/>
              </w:rPr>
              <w:t>Highest haircut applicable to any security the fund may hold (weighted average if full look-through) (Table 1 to §__.115)</w:t>
            </w:r>
          </w:p>
        </w:tc>
        <w:tc>
          <w:tcPr>
            <w:tcW w:type="dxa" w:w="3456"/>
            <w:shd w:fill="FFFFFF" w:val="clear"/>
          </w:tcPr>
          <w:p>
            <w:pPr>
              <w:jc w:val="left"/>
            </w:pPr>
            <w:r/>
            <w:r>
              <w:rPr>
                <w:rFonts w:ascii="Calibri" w:hAnsi="Calibri"/>
                <w:b w:val="0"/>
                <w:color w:val="000000"/>
                <w:sz w:val="16"/>
              </w:rPr>
              <w:t>Per look-through (PS1/26 Ch.6)</w:t>
            </w:r>
          </w:p>
        </w:tc>
        <w:tc>
          <w:tcPr>
            <w:tcW w:type="dxa" w:w="3456"/>
            <w:shd w:fill="FFFFFF" w:val="clear"/>
          </w:tcPr>
          <w:p>
            <w:pPr>
              <w:jc w:val="left"/>
            </w:pPr>
            <w:r/>
            <w:r>
              <w:rPr>
                <w:rFonts w:ascii="Calibri" w:hAnsi="Calibri"/>
                <w:b w:val="0"/>
                <w:color w:val="000000"/>
                <w:sz w:val="16"/>
              </w:rPr>
              <w:t>Per look-through (CRR3 Art 224)</w:t>
            </w:r>
          </w:p>
        </w:tc>
      </w:tr>
    </w:tbl>
    <w:p>
      <w:r>
        <w:rPr>
          <w:rFonts w:ascii="Calibri" w:hAnsi="Calibri"/>
          <w:b/>
          <w:color w:val="002060"/>
          <w:sz w:val="22"/>
        </w:rPr>
        <w:t>8.3 Holding Period Scaling &amp; Credit Derivative Adjustments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Holding Period Scaling</w:t>
            </w:r>
          </w:p>
        </w:tc>
        <w:tc>
          <w:tcPr>
            <w:tcW w:type="dxa" w:w="3456"/>
            <w:shd w:fill="F2F2F2" w:val="clear"/>
          </w:tcPr>
          <w:p>
            <w:pPr>
              <w:jc w:val="left"/>
            </w:pPr>
            <w:r/>
            <w:r>
              <w:rPr>
                <w:rFonts w:ascii="Calibri" w:hAnsi="Calibri"/>
                <w:b w:val="0"/>
                <w:color w:val="000000"/>
                <w:sz w:val="16"/>
              </w:rPr>
              <w:t>H_a = H_s x sqrt(T_m / T_s), T_s = 10 bd margin loans / 5 bd repo-style; repo-style haircuts may be scaled by sqrt(1/2) (ERBA NPR §__.115)</w:t>
            </w:r>
          </w:p>
        </w:tc>
        <w:tc>
          <w:tcPr>
            <w:tcW w:type="dxa" w:w="3456"/>
            <w:shd w:fill="F2F2F2" w:val="clear"/>
          </w:tcPr>
          <w:p>
            <w:pPr>
              <w:jc w:val="left"/>
            </w:pPr>
            <w:r/>
            <w:r>
              <w:rPr>
                <w:rFonts w:ascii="Calibri" w:hAnsi="Calibri"/>
                <w:b w:val="0"/>
                <w:color w:val="000000"/>
                <w:sz w:val="16"/>
              </w:rPr>
              <w:t>Same formula (PS1/26 Ch.6.3)</w:t>
            </w:r>
          </w:p>
        </w:tc>
        <w:tc>
          <w:tcPr>
            <w:tcW w:type="dxa" w:w="3456"/>
            <w:shd w:fill="F2F2F2" w:val="clear"/>
          </w:tcPr>
          <w:p>
            <w:pPr>
              <w:jc w:val="left"/>
            </w:pPr>
            <w:r/>
            <w:r>
              <w:rPr>
                <w:rFonts w:ascii="Calibri" w:hAnsi="Calibri"/>
                <w:b w:val="0"/>
                <w:color w:val="000000"/>
                <w:sz w:val="16"/>
              </w:rPr>
              <w:t>Same formula (CRR3 Art 224(2))</w:t>
            </w:r>
          </w:p>
        </w:tc>
      </w:tr>
      <w:tr>
        <w:tc>
          <w:tcPr>
            <w:tcW w:type="dxa" w:w="3456"/>
            <w:shd w:fill="FFFFFF" w:val="clear"/>
          </w:tcPr>
          <w:p>
            <w:pPr>
              <w:jc w:val="left"/>
            </w:pPr>
            <w:r/>
            <w:r>
              <w:rPr>
                <w:rFonts w:ascii="Calibri" w:hAnsi="Calibri"/>
                <w:b/>
                <w:color w:val="000000"/>
                <w:sz w:val="16"/>
              </w:rPr>
              <w:t>Repo Holding Period</w:t>
            </w:r>
          </w:p>
        </w:tc>
        <w:tc>
          <w:tcPr>
            <w:tcW w:type="dxa" w:w="3456"/>
            <w:shd w:fill="FFFFFF" w:val="clear"/>
          </w:tcPr>
          <w:p>
            <w:pPr>
              <w:jc w:val="left"/>
            </w:pPr>
            <w:r/>
            <w:r>
              <w:rPr>
                <w:rFonts w:ascii="Calibri" w:hAnsi="Calibri"/>
                <w:b w:val="0"/>
                <w:color w:val="000000"/>
                <w:sz w:val="16"/>
              </w:rPr>
              <w:t>5 business days (ERBA NPR §__.115)</w:t>
            </w:r>
          </w:p>
        </w:tc>
        <w:tc>
          <w:tcPr>
            <w:tcW w:type="dxa" w:w="3456"/>
            <w:shd w:fill="FFFFFF" w:val="clear"/>
          </w:tcPr>
          <w:p>
            <w:pPr>
              <w:jc w:val="left"/>
            </w:pPr>
            <w:r/>
            <w:r>
              <w:rPr>
                <w:rFonts w:ascii="Calibri" w:hAnsi="Calibri"/>
                <w:b w:val="0"/>
                <w:color w:val="000000"/>
                <w:sz w:val="16"/>
              </w:rPr>
              <w:t>5 business days (PS1/26 Ch.6.3)</w:t>
            </w:r>
          </w:p>
        </w:tc>
        <w:tc>
          <w:tcPr>
            <w:tcW w:type="dxa" w:w="3456"/>
            <w:shd w:fill="FFFFFF" w:val="clear"/>
          </w:tcPr>
          <w:p>
            <w:pPr>
              <w:jc w:val="left"/>
            </w:pPr>
            <w:r/>
            <w:r>
              <w:rPr>
                <w:rFonts w:ascii="Calibri" w:hAnsi="Calibri"/>
                <w:b w:val="0"/>
                <w:color w:val="000000"/>
                <w:sz w:val="16"/>
              </w:rPr>
              <w:t>5 business days (CRR3 Art 224(2))</w:t>
            </w:r>
          </w:p>
        </w:tc>
      </w:tr>
      <w:tr>
        <w:tc>
          <w:tcPr>
            <w:tcW w:type="dxa" w:w="3456"/>
            <w:shd w:fill="F2F2F2" w:val="clear"/>
          </w:tcPr>
          <w:p>
            <w:pPr>
              <w:jc w:val="left"/>
            </w:pPr>
            <w:r/>
            <w:r>
              <w:rPr>
                <w:rFonts w:ascii="Calibri" w:hAnsi="Calibri"/>
                <w:b/>
                <w:color w:val="000000"/>
                <w:sz w:val="16"/>
              </w:rPr>
              <w:t>Other Capital Mkt</w:t>
            </w:r>
          </w:p>
        </w:tc>
        <w:tc>
          <w:tcPr>
            <w:tcW w:type="dxa" w:w="3456"/>
            <w:shd w:fill="F2F2F2" w:val="clear"/>
          </w:tcPr>
          <w:p>
            <w:pPr>
              <w:jc w:val="left"/>
            </w:pPr>
            <w:r/>
            <w:r>
              <w:rPr>
                <w:rFonts w:ascii="Calibri" w:hAnsi="Calibri"/>
                <w:b w:val="0"/>
                <w:color w:val="000000"/>
                <w:sz w:val="16"/>
              </w:rPr>
              <w:t>10 business days (margin loans; derivatives MPOR floor 10 bd) (ERBA NPR §__.114-115)</w:t>
            </w:r>
          </w:p>
        </w:tc>
        <w:tc>
          <w:tcPr>
            <w:tcW w:type="dxa" w:w="3456"/>
            <w:shd w:fill="F2F2F2" w:val="clear"/>
          </w:tcPr>
          <w:p>
            <w:pPr>
              <w:jc w:val="left"/>
            </w:pPr>
            <w:r/>
            <w:r>
              <w:rPr>
                <w:rFonts w:ascii="Calibri" w:hAnsi="Calibri"/>
                <w:b w:val="0"/>
                <w:color w:val="000000"/>
                <w:sz w:val="16"/>
              </w:rPr>
              <w:t>10 business days (PS1/26 Ch.6.3)</w:t>
            </w:r>
          </w:p>
        </w:tc>
        <w:tc>
          <w:tcPr>
            <w:tcW w:type="dxa" w:w="3456"/>
            <w:shd w:fill="F2F2F2" w:val="clear"/>
          </w:tcPr>
          <w:p>
            <w:pPr>
              <w:jc w:val="left"/>
            </w:pPr>
            <w:r/>
            <w:r>
              <w:rPr>
                <w:rFonts w:ascii="Calibri" w:hAnsi="Calibri"/>
                <w:b w:val="0"/>
                <w:color w:val="000000"/>
                <w:sz w:val="16"/>
              </w:rPr>
              <w:t>10 business days (CRR3 Art 224(2))</w:t>
            </w:r>
          </w:p>
        </w:tc>
      </w:tr>
      <w:tr>
        <w:tc>
          <w:tcPr>
            <w:tcW w:type="dxa" w:w="3456"/>
            <w:shd w:fill="FFFFFF" w:val="clear"/>
          </w:tcPr>
          <w:p>
            <w:pPr>
              <w:jc w:val="left"/>
            </w:pPr>
            <w:r/>
            <w:r>
              <w:rPr>
                <w:rFonts w:ascii="Calibri" w:hAnsi="Calibri"/>
                <w:b/>
                <w:color w:val="000000"/>
                <w:sz w:val="16"/>
              </w:rPr>
              <w:t>Secured Lending</w:t>
            </w:r>
          </w:p>
        </w:tc>
        <w:tc>
          <w:tcPr>
            <w:tcW w:type="dxa" w:w="3456"/>
            <w:shd w:fill="FFFFFF" w:val="clear"/>
          </w:tcPr>
          <w:p>
            <w:pPr>
              <w:jc w:val="left"/>
            </w:pPr>
            <w:r/>
            <w:r>
              <w:rPr>
                <w:rFonts w:ascii="Calibri" w:hAnsi="Calibri"/>
                <w:b w:val="0"/>
                <w:color w:val="000000"/>
                <w:sz w:val="16"/>
              </w:rPr>
              <w:t>20 business days where netting set has &gt; 5,000 trades or illiquid collateral; doubled if &gt; 2 margin disputes in prior 2 quarters (ERBA NPR §__.114-115)</w:t>
            </w:r>
          </w:p>
        </w:tc>
        <w:tc>
          <w:tcPr>
            <w:tcW w:type="dxa" w:w="3456"/>
            <w:shd w:fill="FFFFFF" w:val="clear"/>
          </w:tcPr>
          <w:p>
            <w:pPr>
              <w:jc w:val="left"/>
            </w:pPr>
            <w:r/>
            <w:r>
              <w:rPr>
                <w:rFonts w:ascii="Calibri" w:hAnsi="Calibri"/>
                <w:b w:val="0"/>
                <w:color w:val="000000"/>
                <w:sz w:val="16"/>
              </w:rPr>
              <w:t>20 business days (PS1/26 Ch.6.3)</w:t>
            </w:r>
          </w:p>
        </w:tc>
        <w:tc>
          <w:tcPr>
            <w:tcW w:type="dxa" w:w="3456"/>
            <w:shd w:fill="FFFFFF" w:val="clear"/>
          </w:tcPr>
          <w:p>
            <w:pPr>
              <w:jc w:val="left"/>
            </w:pPr>
            <w:r/>
            <w:r>
              <w:rPr>
                <w:rFonts w:ascii="Calibri" w:hAnsi="Calibri"/>
                <w:b w:val="0"/>
                <w:color w:val="000000"/>
                <w:sz w:val="16"/>
              </w:rPr>
              <w:t>20 business days (CRR3 Art 224(2))</w:t>
            </w:r>
          </w:p>
        </w:tc>
      </w:tr>
      <w:tr>
        <w:tc>
          <w:tcPr>
            <w:tcW w:type="dxa" w:w="3456"/>
            <w:shd w:fill="F2F2F2" w:val="clear"/>
          </w:tcPr>
          <w:p>
            <w:pPr>
              <w:jc w:val="left"/>
            </w:pPr>
            <w:r/>
            <w:r>
              <w:rPr>
                <w:rFonts w:ascii="Calibri" w:hAnsi="Calibri"/>
                <w:b/>
                <w:color w:val="000000"/>
                <w:sz w:val="16"/>
              </w:rPr>
              <w:t>Credit Deriv Restructuring</w:t>
            </w:r>
          </w:p>
        </w:tc>
        <w:tc>
          <w:tcPr>
            <w:tcW w:type="dxa" w:w="3456"/>
            <w:shd w:fill="F2F2F2" w:val="clear"/>
          </w:tcPr>
          <w:p>
            <w:pPr>
              <w:jc w:val="left"/>
            </w:pPr>
            <w:r/>
            <w:r>
              <w:rPr>
                <w:rFonts w:ascii="Calibri" w:hAnsi="Calibri"/>
                <w:b w:val="0"/>
                <w:color w:val="000000"/>
                <w:sz w:val="16"/>
              </w:rPr>
              <w:t>Credit derivatives WITHOUT restructuring as a credit event: effective notional reduced by 40% (x 0.60), unless unanimous-consent amendment terms and US Bankruptcy Code-type regime apply (ERBA NPR §__.120; P.133)</w:t>
            </w:r>
          </w:p>
        </w:tc>
        <w:tc>
          <w:tcPr>
            <w:tcW w:type="dxa" w:w="3456"/>
            <w:shd w:fill="F2F2F2" w:val="clear"/>
          </w:tcPr>
          <w:p>
            <w:pPr>
              <w:jc w:val="left"/>
            </w:pPr>
            <w:r/>
            <w:r>
              <w:rPr>
                <w:rFonts w:ascii="Calibri" w:hAnsi="Calibri"/>
                <w:b w:val="0"/>
                <w:color w:val="000000"/>
                <w:sz w:val="16"/>
              </w:rPr>
              <w:t>40% adjustment (PS1/26 Ch.6.4)</w:t>
            </w:r>
          </w:p>
        </w:tc>
        <w:tc>
          <w:tcPr>
            <w:tcW w:type="dxa" w:w="3456"/>
            <w:shd w:fill="F2F2F2" w:val="clear"/>
          </w:tcPr>
          <w:p>
            <w:pPr>
              <w:jc w:val="left"/>
            </w:pPr>
            <w:r/>
            <w:r>
              <w:rPr>
                <w:rFonts w:ascii="Calibri" w:hAnsi="Calibri"/>
                <w:b w:val="0"/>
                <w:color w:val="000000"/>
                <w:sz w:val="16"/>
              </w:rPr>
              <w:t>40% adjustment (CRR3 Art 233(3))</w:t>
            </w:r>
          </w:p>
        </w:tc>
      </w:tr>
      <w:tr>
        <w:tc>
          <w:tcPr>
            <w:tcW w:type="dxa" w:w="3456"/>
            <w:shd w:fill="FFFFFF" w:val="clear"/>
          </w:tcPr>
          <w:p>
            <w:pPr>
              <w:jc w:val="left"/>
            </w:pPr>
            <w:r/>
            <w:r>
              <w:rPr>
                <w:rFonts w:ascii="Calibri" w:hAnsi="Calibri"/>
                <w:b/>
                <w:color w:val="000000"/>
                <w:sz w:val="16"/>
              </w:rPr>
              <w:t>Simple Approach Floor</w:t>
            </w:r>
          </w:p>
        </w:tc>
        <w:tc>
          <w:tcPr>
            <w:tcW w:type="dxa" w:w="3456"/>
            <w:shd w:fill="FFFFFF" w:val="clear"/>
          </w:tcPr>
          <w:p>
            <w:pPr>
              <w:jc w:val="left"/>
            </w:pPr>
            <w:r/>
            <w:r>
              <w:rPr>
                <w:rFonts w:ascii="Calibri" w:hAnsi="Calibri"/>
                <w:b w:val="0"/>
                <w:color w:val="000000"/>
                <w:sz w:val="16"/>
              </w:rPr>
              <w:t>20% RW floor under simple approach; 0% for cash on deposit; 0% for sovereign RW-0 collateral discounted 20%; revalue at least every 6 months (ERBA NPR §__.121; P.136-140)</w:t>
            </w:r>
          </w:p>
        </w:tc>
        <w:tc>
          <w:tcPr>
            <w:tcW w:type="dxa" w:w="3456"/>
            <w:shd w:fill="FFFFFF" w:val="clear"/>
          </w:tcPr>
          <w:p>
            <w:pPr>
              <w:jc w:val="left"/>
            </w:pPr>
            <w:r/>
            <w:r>
              <w:rPr>
                <w:rFonts w:ascii="Calibri" w:hAnsi="Calibri"/>
                <w:b w:val="0"/>
                <w:color w:val="000000"/>
                <w:sz w:val="16"/>
              </w:rPr>
              <w:t>20% floor (PS1/26 Ch.6.5)</w:t>
            </w:r>
          </w:p>
        </w:tc>
        <w:tc>
          <w:tcPr>
            <w:tcW w:type="dxa" w:w="3456"/>
            <w:shd w:fill="FFFFFF" w:val="clear"/>
          </w:tcPr>
          <w:p>
            <w:pPr>
              <w:jc w:val="left"/>
            </w:pPr>
            <w:r/>
            <w:r>
              <w:rPr>
                <w:rFonts w:ascii="Calibri" w:hAnsi="Calibri"/>
                <w:b w:val="0"/>
                <w:color w:val="000000"/>
                <w:sz w:val="16"/>
              </w:rPr>
              <w:t>20% floor (CRR3 Art 222(5))</w:t>
            </w:r>
          </w:p>
        </w:tc>
      </w:tr>
      <w:tr>
        <w:tc>
          <w:tcPr>
            <w:tcW w:type="dxa" w:w="3456"/>
            <w:shd w:fill="F2F2F2" w:val="clear"/>
          </w:tcPr>
          <w:p>
            <w:pPr>
              <w:jc w:val="left"/>
            </w:pPr>
            <w:r/>
            <w:r>
              <w:rPr>
                <w:rFonts w:ascii="Calibri" w:hAnsi="Calibri"/>
                <w:b/>
                <w:color w:val="000000"/>
                <w:sz w:val="16"/>
              </w:rPr>
              <w:t>Netting Agreement</w:t>
            </w:r>
          </w:p>
        </w:tc>
        <w:tc>
          <w:tcPr>
            <w:tcW w:type="dxa" w:w="3456"/>
            <w:shd w:fill="F2F2F2" w:val="clear"/>
          </w:tcPr>
          <w:p>
            <w:pPr>
              <w:jc w:val="left"/>
            </w:pPr>
            <w:r/>
            <w:r>
              <w:rPr>
                <w:rFonts w:ascii="Calibri" w:hAnsi="Calibri"/>
                <w:b w:val="0"/>
                <w:color w:val="000000"/>
                <w:sz w:val="16"/>
              </w:rPr>
              <w:t>Must meet legal enforceability across all relevant jurisdictions (12 CFR 217.37(c)(1)). Master agreement (ISDA, GMRA) with close-out netting</w:t>
            </w:r>
          </w:p>
        </w:tc>
        <w:tc>
          <w:tcPr>
            <w:tcW w:type="dxa" w:w="3456"/>
            <w:shd w:fill="F2F2F2" w:val="clear"/>
          </w:tcPr>
          <w:p>
            <w:pPr>
              <w:jc w:val="left"/>
            </w:pPr>
            <w:r/>
            <w:r>
              <w:rPr>
                <w:rFonts w:ascii="Calibri" w:hAnsi="Calibri"/>
                <w:b w:val="0"/>
                <w:color w:val="000000"/>
                <w:sz w:val="16"/>
              </w:rPr>
              <w:t>Legal enforceability + master agreement (PS1/26 Ch.6.6)</w:t>
            </w:r>
          </w:p>
        </w:tc>
        <w:tc>
          <w:tcPr>
            <w:tcW w:type="dxa" w:w="3456"/>
            <w:shd w:fill="F2F2F2" w:val="clear"/>
          </w:tcPr>
          <w:p>
            <w:pPr>
              <w:jc w:val="left"/>
            </w:pPr>
            <w:r/>
            <w:r>
              <w:rPr>
                <w:rFonts w:ascii="Calibri" w:hAnsi="Calibri"/>
                <w:b w:val="0"/>
                <w:color w:val="000000"/>
                <w:sz w:val="16"/>
              </w:rPr>
              <w:t>Legal enforceability + netting opinion (CRR3 Art 295-298)</w:t>
            </w:r>
          </w:p>
        </w:tc>
      </w:tr>
    </w:tbl>
    <w:p>
      <w:r>
        <w:rPr>
          <w:rFonts w:ascii="Calibri" w:hAnsi="Calibri"/>
          <w:b/>
          <w:color w:val="002060"/>
          <w:sz w:val="22"/>
        </w:rPr>
        <w:t>8.4 Eligible Guarantors &amp; Protection Providers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Sovereign Guarantors</w:t>
            </w:r>
          </w:p>
        </w:tc>
        <w:tc>
          <w:tcPr>
            <w:tcW w:type="dxa" w:w="3456"/>
            <w:shd w:fill="F2F2F2" w:val="clear"/>
          </w:tcPr>
          <w:p>
            <w:pPr>
              <w:jc w:val="left"/>
            </w:pPr>
            <w:r/>
            <w:r>
              <w:rPr>
                <w:rFonts w:ascii="Calibri" w:hAnsi="Calibri"/>
                <w:b w:val="0"/>
                <w:color w:val="000000"/>
                <w:sz w:val="16"/>
              </w:rPr>
              <w:t>Eligible (12 CFR 217.36(a))</w:t>
            </w:r>
          </w:p>
        </w:tc>
        <w:tc>
          <w:tcPr>
            <w:tcW w:type="dxa" w:w="3456"/>
            <w:shd w:fill="F2F2F2" w:val="clear"/>
          </w:tcPr>
          <w:p>
            <w:pPr>
              <w:jc w:val="left"/>
            </w:pPr>
            <w:r/>
            <w:r>
              <w:rPr>
                <w:rFonts w:ascii="Calibri" w:hAnsi="Calibri"/>
                <w:b w:val="0"/>
                <w:color w:val="000000"/>
                <w:sz w:val="16"/>
              </w:rPr>
              <w:t>Eligible (PS1/26 Ch.6.7)</w:t>
            </w:r>
          </w:p>
        </w:tc>
        <w:tc>
          <w:tcPr>
            <w:tcW w:type="dxa" w:w="3456"/>
            <w:shd w:fill="F2F2F2" w:val="clear"/>
          </w:tcPr>
          <w:p>
            <w:pPr>
              <w:jc w:val="left"/>
            </w:pPr>
            <w:r/>
            <w:r>
              <w:rPr>
                <w:rFonts w:ascii="Calibri" w:hAnsi="Calibri"/>
                <w:b w:val="0"/>
                <w:color w:val="000000"/>
                <w:sz w:val="16"/>
              </w:rPr>
              <w:t>Eligible (CRR3 Art 213(1)(a))</w:t>
            </w:r>
          </w:p>
        </w:tc>
      </w:tr>
      <w:tr>
        <w:tc>
          <w:tcPr>
            <w:tcW w:type="dxa" w:w="3456"/>
            <w:shd w:fill="FFFFFF" w:val="clear"/>
          </w:tcPr>
          <w:p>
            <w:pPr>
              <w:jc w:val="left"/>
            </w:pPr>
            <w:r/>
            <w:r>
              <w:rPr>
                <w:rFonts w:ascii="Calibri" w:hAnsi="Calibri"/>
                <w:b/>
                <w:color w:val="000000"/>
                <w:sz w:val="16"/>
              </w:rPr>
              <w:t>PSE Guarantors</w:t>
            </w:r>
          </w:p>
        </w:tc>
        <w:tc>
          <w:tcPr>
            <w:tcW w:type="dxa" w:w="3456"/>
            <w:shd w:fill="FFFFFF" w:val="clear"/>
          </w:tcPr>
          <w:p>
            <w:pPr>
              <w:jc w:val="left"/>
            </w:pPr>
            <w:r/>
            <w:r>
              <w:rPr>
                <w:rFonts w:ascii="Calibri" w:hAnsi="Calibri"/>
                <w:b w:val="0"/>
                <w:color w:val="000000"/>
                <w:sz w:val="16"/>
              </w:rPr>
              <w:t>Eligible if treated as sovereign (12 CFR 217.36(a))</w:t>
            </w:r>
          </w:p>
        </w:tc>
        <w:tc>
          <w:tcPr>
            <w:tcW w:type="dxa" w:w="3456"/>
            <w:shd w:fill="FFFFFF" w:val="clear"/>
          </w:tcPr>
          <w:p>
            <w:pPr>
              <w:jc w:val="left"/>
            </w:pPr>
            <w:r/>
            <w:r>
              <w:rPr>
                <w:rFonts w:ascii="Calibri" w:hAnsi="Calibri"/>
                <w:b w:val="0"/>
                <w:color w:val="000000"/>
                <w:sz w:val="16"/>
              </w:rPr>
              <w:t>Eligible (PS1/26 Ch.6.7)</w:t>
            </w:r>
          </w:p>
        </w:tc>
        <w:tc>
          <w:tcPr>
            <w:tcW w:type="dxa" w:w="3456"/>
            <w:shd w:fill="FFFFFF" w:val="clear"/>
          </w:tcPr>
          <w:p>
            <w:pPr>
              <w:jc w:val="left"/>
            </w:pPr>
            <w:r/>
            <w:r>
              <w:rPr>
                <w:rFonts w:ascii="Calibri" w:hAnsi="Calibri"/>
                <w:b w:val="0"/>
                <w:color w:val="000000"/>
                <w:sz w:val="16"/>
              </w:rPr>
              <w:t>Eligible (CRR3 Art 213(1)(b))</w:t>
            </w:r>
          </w:p>
        </w:tc>
      </w:tr>
      <w:tr>
        <w:tc>
          <w:tcPr>
            <w:tcW w:type="dxa" w:w="3456"/>
            <w:shd w:fill="F2F2F2" w:val="clear"/>
          </w:tcPr>
          <w:p>
            <w:pPr>
              <w:jc w:val="left"/>
            </w:pPr>
            <w:r/>
            <w:r>
              <w:rPr>
                <w:rFonts w:ascii="Calibri" w:hAnsi="Calibri"/>
                <w:b/>
                <w:color w:val="000000"/>
                <w:sz w:val="16"/>
              </w:rPr>
              <w:t>Bank Guarantors</w:t>
            </w:r>
          </w:p>
        </w:tc>
        <w:tc>
          <w:tcPr>
            <w:tcW w:type="dxa" w:w="3456"/>
            <w:shd w:fill="F2F2F2" w:val="clear"/>
          </w:tcPr>
          <w:p>
            <w:pPr>
              <w:jc w:val="left"/>
            </w:pPr>
            <w:r/>
            <w:r>
              <w:rPr>
                <w:rFonts w:ascii="Calibri" w:hAnsi="Calibri"/>
                <w:b w:val="0"/>
                <w:color w:val="000000"/>
                <w:sz w:val="16"/>
              </w:rPr>
              <w:t>Eligible (12 CFR 217.36(a))</w:t>
            </w:r>
          </w:p>
        </w:tc>
        <w:tc>
          <w:tcPr>
            <w:tcW w:type="dxa" w:w="3456"/>
            <w:shd w:fill="F2F2F2" w:val="clear"/>
          </w:tcPr>
          <w:p>
            <w:pPr>
              <w:jc w:val="left"/>
            </w:pPr>
            <w:r/>
            <w:r>
              <w:rPr>
                <w:rFonts w:ascii="Calibri" w:hAnsi="Calibri"/>
                <w:b w:val="0"/>
                <w:color w:val="000000"/>
                <w:sz w:val="16"/>
              </w:rPr>
              <w:t>Eligible (PS1/26 Ch.6.7)</w:t>
            </w:r>
          </w:p>
        </w:tc>
        <w:tc>
          <w:tcPr>
            <w:tcW w:type="dxa" w:w="3456"/>
            <w:shd w:fill="F2F2F2" w:val="clear"/>
          </w:tcPr>
          <w:p>
            <w:pPr>
              <w:jc w:val="left"/>
            </w:pPr>
            <w:r/>
            <w:r>
              <w:rPr>
                <w:rFonts w:ascii="Calibri" w:hAnsi="Calibri"/>
                <w:b w:val="0"/>
                <w:color w:val="000000"/>
                <w:sz w:val="16"/>
              </w:rPr>
              <w:t>Eligible (CRR3 Art 213(1)(c))</w:t>
            </w:r>
          </w:p>
        </w:tc>
      </w:tr>
      <w:tr>
        <w:tc>
          <w:tcPr>
            <w:tcW w:type="dxa" w:w="3456"/>
            <w:shd w:fill="FFFFFF" w:val="clear"/>
          </w:tcPr>
          <w:p>
            <w:pPr>
              <w:jc w:val="left"/>
            </w:pPr>
            <w:r/>
            <w:r>
              <w:rPr>
                <w:rFonts w:ascii="Calibri" w:hAnsi="Calibri"/>
                <w:b/>
                <w:color w:val="000000"/>
                <w:sz w:val="16"/>
              </w:rPr>
              <w:t>Corporate Guarantors</w:t>
            </w:r>
          </w:p>
        </w:tc>
        <w:tc>
          <w:tcPr>
            <w:tcW w:type="dxa" w:w="3456"/>
            <w:shd w:fill="FFFFFF" w:val="clear"/>
          </w:tcPr>
          <w:p>
            <w:pPr>
              <w:jc w:val="left"/>
            </w:pPr>
            <w:r/>
            <w:r>
              <w:rPr>
                <w:rFonts w:ascii="Calibri" w:hAnsi="Calibri"/>
                <w:b w:val="0"/>
                <w:color w:val="000000"/>
                <w:sz w:val="16"/>
              </w:rPr>
              <w:t>Eligible if IG (ERBA P.248)</w:t>
            </w:r>
          </w:p>
        </w:tc>
        <w:tc>
          <w:tcPr>
            <w:tcW w:type="dxa" w:w="3456"/>
            <w:shd w:fill="FFFFFF" w:val="clear"/>
          </w:tcPr>
          <w:p>
            <w:pPr>
              <w:jc w:val="left"/>
            </w:pPr>
            <w:r/>
            <w:r>
              <w:rPr>
                <w:rFonts w:ascii="Calibri" w:hAnsi="Calibri"/>
                <w:b w:val="0"/>
                <w:color w:val="000000"/>
                <w:sz w:val="16"/>
              </w:rPr>
              <w:t>Eligible if externally rated (PS1/26 Ch.6.7)</w:t>
            </w:r>
          </w:p>
        </w:tc>
        <w:tc>
          <w:tcPr>
            <w:tcW w:type="dxa" w:w="3456"/>
            <w:shd w:fill="FFFFFF" w:val="clear"/>
          </w:tcPr>
          <w:p>
            <w:pPr>
              <w:jc w:val="left"/>
            </w:pPr>
            <w:r/>
            <w:r>
              <w:rPr>
                <w:rFonts w:ascii="Calibri" w:hAnsi="Calibri"/>
                <w:b w:val="0"/>
                <w:color w:val="000000"/>
                <w:sz w:val="16"/>
              </w:rPr>
              <w:t>Eligible if externally rated (CRR3 Art 213(1)(c))</w:t>
            </w:r>
          </w:p>
        </w:tc>
      </w:tr>
      <w:tr>
        <w:tc>
          <w:tcPr>
            <w:tcW w:type="dxa" w:w="3456"/>
            <w:shd w:fill="F2F2F2" w:val="clear"/>
          </w:tcPr>
          <w:p>
            <w:pPr>
              <w:jc w:val="left"/>
            </w:pPr>
            <w:r/>
            <w:r>
              <w:rPr>
                <w:rFonts w:ascii="Calibri" w:hAnsi="Calibri"/>
                <w:b/>
                <w:color w:val="000000"/>
                <w:sz w:val="16"/>
              </w:rPr>
              <w:t>Substitution Approach</w:t>
            </w:r>
          </w:p>
        </w:tc>
        <w:tc>
          <w:tcPr>
            <w:tcW w:type="dxa" w:w="3456"/>
            <w:shd w:fill="F2F2F2" w:val="clear"/>
          </w:tcPr>
          <w:p>
            <w:pPr>
              <w:jc w:val="left"/>
            </w:pPr>
            <w:r/>
            <w:r>
              <w:rPr>
                <w:rFonts w:ascii="Calibri" w:hAnsi="Calibri"/>
                <w:b w:val="0"/>
                <w:color w:val="000000"/>
                <w:sz w:val="16"/>
              </w:rPr>
              <w:t>RW of guarantor substituted for obligor RW on covered portion (12 CFR 217.36(b))</w:t>
            </w:r>
          </w:p>
        </w:tc>
        <w:tc>
          <w:tcPr>
            <w:tcW w:type="dxa" w:w="3456"/>
            <w:shd w:fill="F2F2F2" w:val="clear"/>
          </w:tcPr>
          <w:p>
            <w:pPr>
              <w:jc w:val="left"/>
            </w:pPr>
            <w:r/>
            <w:r>
              <w:rPr>
                <w:rFonts w:ascii="Calibri" w:hAnsi="Calibri"/>
                <w:b w:val="0"/>
                <w:color w:val="000000"/>
                <w:sz w:val="16"/>
              </w:rPr>
              <w:t>Same substitution (PS1/26 Ch.6.7)</w:t>
            </w:r>
          </w:p>
        </w:tc>
        <w:tc>
          <w:tcPr>
            <w:tcW w:type="dxa" w:w="3456"/>
            <w:shd w:fill="F2F2F2" w:val="clear"/>
          </w:tcPr>
          <w:p>
            <w:pPr>
              <w:jc w:val="left"/>
            </w:pPr>
            <w:r/>
            <w:r>
              <w:rPr>
                <w:rFonts w:ascii="Calibri" w:hAnsi="Calibri"/>
                <w:b w:val="0"/>
                <w:color w:val="000000"/>
                <w:sz w:val="16"/>
              </w:rPr>
              <w:t>Same substitution (CRR3 Art 235)</w:t>
            </w:r>
          </w:p>
        </w:tc>
      </w:tr>
    </w:tbl>
    <w:p>
      <w:r>
        <w:br w:type="page"/>
      </w:r>
    </w:p>
    <w:p>
      <w:r>
        <w:rPr>
          <w:rFonts w:ascii="Calibri" w:hAnsi="Calibri"/>
          <w:b/>
          <w:color w:val="C8962E"/>
          <w:sz w:val="28"/>
        </w:rPr>
        <w:t>SECTION 9</w:t>
      </w:r>
    </w:p>
    <w:p>
      <w:r>
        <w:rPr>
          <w:rFonts w:ascii="Calibri" w:hAnsi="Calibri"/>
          <w:b/>
          <w:color w:val="002060"/>
          <w:sz w:val="32"/>
        </w:rPr>
        <w:t>SA-CCR: Supervisory Factors, RC, PFE &amp; Alpha Parameters</w:t>
      </w:r>
    </w:p>
    <w:p>
      <w:r>
        <w:rPr>
          <w:color w:val="C8962E"/>
          <w:sz w:val="12"/>
        </w:rPr>
        <w:t>________________________________________________________________________________________________________________________</w:t>
      </w:r>
    </w:p>
    <w:p>
      <w:r>
        <w:rPr>
          <w:rFonts w:ascii="Calibri" w:hAnsi="Calibri"/>
          <w:color w:val="000000"/>
          <w:sz w:val="18"/>
        </w:rPr>
        <w:t>Complete comparison of SA-CCR methodology including all 13 supervisory factors, replacement cost formulas, alpha parameter divergence, and multiplier mechanics.</w:t>
      </w:r>
    </w:p>
    <w:p>
      <w:r>
        <w:rPr>
          <w:rFonts w:ascii="Calibri" w:hAnsi="Calibri"/>
          <w:b/>
          <w:color w:val="002060"/>
          <w:sz w:val="22"/>
        </w:rPr>
        <w:t>9.1 Supervisory Factors by Asset Class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Interest Rate SF</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IR: 0-2Y</w:t>
            </w:r>
          </w:p>
        </w:tc>
        <w:tc>
          <w:tcPr>
            <w:tcW w:type="dxa" w:w="3456"/>
            <w:shd w:fill="FFFFFF" w:val="clear"/>
          </w:tcPr>
          <w:p>
            <w:pPr>
              <w:jc w:val="left"/>
            </w:pPr>
            <w:r/>
            <w:r>
              <w:rPr>
                <w:rFonts w:ascii="Calibri" w:hAnsi="Calibri"/>
                <w:b w:val="0"/>
                <w:color w:val="000000"/>
                <w:sz w:val="16"/>
              </w:rPr>
              <w:t>0.50% - single IR supervisory factor for all maturity buckets (Table 2 to §__.114); maturity buckets enter via supervisory duration SD = max((e^(-0.05S/250) - e^(-0.05E/250))/0.05, 0.04)</w:t>
            </w:r>
          </w:p>
        </w:tc>
        <w:tc>
          <w:tcPr>
            <w:tcW w:type="dxa" w:w="3456"/>
            <w:shd w:fill="FFFFFF" w:val="clear"/>
          </w:tcPr>
          <w:p>
            <w:pPr>
              <w:jc w:val="left"/>
            </w:pPr>
            <w:r/>
            <w:r>
              <w:rPr>
                <w:rFonts w:ascii="Calibri" w:hAnsi="Calibri"/>
                <w:b w:val="0"/>
                <w:color w:val="000000"/>
                <w:sz w:val="16"/>
              </w:rPr>
              <w:t>0.50% (PS1/26 Ch.8 Table 8.1)</w:t>
            </w:r>
          </w:p>
        </w:tc>
        <w:tc>
          <w:tcPr>
            <w:tcW w:type="dxa" w:w="3456"/>
            <w:shd w:fill="FFFFFF" w:val="clear"/>
          </w:tcPr>
          <w:p>
            <w:pPr>
              <w:jc w:val="left"/>
            </w:pPr>
            <w:r/>
            <w:r>
              <w:rPr>
                <w:rFonts w:ascii="Calibri" w:hAnsi="Calibri"/>
                <w:b w:val="0"/>
                <w:color w:val="000000"/>
                <w:sz w:val="16"/>
              </w:rPr>
              <w:t>0.50% (CRR3 Art 280a)</w:t>
            </w:r>
          </w:p>
        </w:tc>
      </w:tr>
      <w:tr>
        <w:tc>
          <w:tcPr>
            <w:tcW w:type="dxa" w:w="3456"/>
            <w:shd w:fill="F2F2F2" w:val="clear"/>
          </w:tcPr>
          <w:p>
            <w:pPr>
              <w:jc w:val="left"/>
            </w:pPr>
            <w:r/>
            <w:r>
              <w:rPr>
                <w:rFonts w:ascii="Calibri" w:hAnsi="Calibri"/>
                <w:b/>
                <w:color w:val="000000"/>
                <w:sz w:val="16"/>
              </w:rPr>
              <w:t>IR: 2-5Y</w:t>
            </w:r>
          </w:p>
        </w:tc>
        <w:tc>
          <w:tcPr>
            <w:tcW w:type="dxa" w:w="3456"/>
            <w:shd w:fill="F2F2F2" w:val="clear"/>
          </w:tcPr>
          <w:p>
            <w:pPr>
              <w:jc w:val="left"/>
            </w:pPr>
            <w:r/>
            <w:r>
              <w:rPr>
                <w:rFonts w:ascii="Calibri" w:hAnsi="Calibri"/>
                <w:b w:val="0"/>
                <w:color w:val="000000"/>
                <w:sz w:val="16"/>
              </w:rPr>
              <w:t>0.50% (Table 2 to §__.114; supervisory option volatility 50%)</w:t>
            </w:r>
          </w:p>
        </w:tc>
        <w:tc>
          <w:tcPr>
            <w:tcW w:type="dxa" w:w="3456"/>
            <w:shd w:fill="F2F2F2" w:val="clear"/>
          </w:tcPr>
          <w:p>
            <w:pPr>
              <w:jc w:val="left"/>
            </w:pPr>
            <w:r/>
            <w:r>
              <w:rPr>
                <w:rFonts w:ascii="Calibri" w:hAnsi="Calibri"/>
                <w:b w:val="0"/>
                <w:color w:val="000000"/>
                <w:sz w:val="16"/>
              </w:rPr>
              <w:t>0.30% (PS1/26 Ch.8 Table 8.1)</w:t>
            </w:r>
          </w:p>
        </w:tc>
        <w:tc>
          <w:tcPr>
            <w:tcW w:type="dxa" w:w="3456"/>
            <w:shd w:fill="F2F2F2" w:val="clear"/>
          </w:tcPr>
          <w:p>
            <w:pPr>
              <w:jc w:val="left"/>
            </w:pPr>
            <w:r/>
            <w:r>
              <w:rPr>
                <w:rFonts w:ascii="Calibri" w:hAnsi="Calibri"/>
                <w:b w:val="0"/>
                <w:color w:val="000000"/>
                <w:sz w:val="16"/>
              </w:rPr>
              <w:t>0.30% (CRR3 Art 280a)</w:t>
            </w:r>
          </w:p>
        </w:tc>
      </w:tr>
      <w:tr>
        <w:tc>
          <w:tcPr>
            <w:tcW w:type="dxa" w:w="3456"/>
            <w:shd w:fill="FFFFFF" w:val="clear"/>
          </w:tcPr>
          <w:p>
            <w:pPr>
              <w:jc w:val="left"/>
            </w:pPr>
            <w:r/>
            <w:r>
              <w:rPr>
                <w:rFonts w:ascii="Calibri" w:hAnsi="Calibri"/>
                <w:b/>
                <w:color w:val="000000"/>
                <w:sz w:val="16"/>
              </w:rPr>
              <w:t>IR: 5Y+</w:t>
            </w:r>
          </w:p>
        </w:tc>
        <w:tc>
          <w:tcPr>
            <w:tcW w:type="dxa" w:w="3456"/>
            <w:shd w:fill="FFFFFF" w:val="clear"/>
          </w:tcPr>
          <w:p>
            <w:pPr>
              <w:jc w:val="left"/>
            </w:pPr>
            <w:r/>
            <w:r>
              <w:rPr>
                <w:rFonts w:ascii="Calibri" w:hAnsi="Calibri"/>
                <w:b w:val="0"/>
                <w:color w:val="000000"/>
                <w:sz w:val="16"/>
              </w:rPr>
              <w:t>0.50% (Table 2 to §__.114)</w:t>
            </w:r>
          </w:p>
        </w:tc>
        <w:tc>
          <w:tcPr>
            <w:tcW w:type="dxa" w:w="3456"/>
            <w:shd w:fill="FFFFFF" w:val="clear"/>
          </w:tcPr>
          <w:p>
            <w:pPr>
              <w:jc w:val="left"/>
            </w:pPr>
            <w:r/>
            <w:r>
              <w:rPr>
                <w:rFonts w:ascii="Calibri" w:hAnsi="Calibri"/>
                <w:b w:val="0"/>
                <w:color w:val="000000"/>
                <w:sz w:val="16"/>
              </w:rPr>
              <w:t>0.60% (PS1/26 Ch.8 Table 8.1)</w:t>
            </w:r>
          </w:p>
        </w:tc>
        <w:tc>
          <w:tcPr>
            <w:tcW w:type="dxa" w:w="3456"/>
            <w:shd w:fill="FFFFFF" w:val="clear"/>
          </w:tcPr>
          <w:p>
            <w:pPr>
              <w:jc w:val="left"/>
            </w:pPr>
            <w:r/>
            <w:r>
              <w:rPr>
                <w:rFonts w:ascii="Calibri" w:hAnsi="Calibri"/>
                <w:b w:val="0"/>
                <w:color w:val="000000"/>
                <w:sz w:val="16"/>
              </w:rPr>
              <w:t>0.60% (CRR3 Art 280a)</w:t>
            </w:r>
          </w:p>
        </w:tc>
      </w:tr>
      <w:tr>
        <w:tc>
          <w:tcPr>
            <w:tcW w:type="dxa" w:w="3456"/>
            <w:shd w:fill="F5E6C8" w:val="clear"/>
          </w:tcPr>
          <w:p>
            <w:pPr>
              <w:jc w:val="left"/>
            </w:pPr>
            <w:r/>
            <w:r>
              <w:rPr>
                <w:rFonts w:ascii="Calibri" w:hAnsi="Calibri"/>
                <w:b/>
                <w:color w:val="00143C"/>
                <w:sz w:val="16"/>
              </w:rPr>
              <w:t>FX SF</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FX: All</w:t>
            </w:r>
          </w:p>
        </w:tc>
        <w:tc>
          <w:tcPr>
            <w:tcW w:type="dxa" w:w="3456"/>
            <w:shd w:fill="FFFFFF" w:val="clear"/>
          </w:tcPr>
          <w:p>
            <w:pPr>
              <w:jc w:val="left"/>
            </w:pPr>
            <w:r/>
            <w:r>
              <w:rPr>
                <w:rFonts w:ascii="Calibri" w:hAnsi="Calibri"/>
                <w:b w:val="0"/>
                <w:color w:val="000000"/>
                <w:sz w:val="16"/>
              </w:rPr>
              <w:t>4.0% (volatility 15%) (Table 2 to §__.114)</w:t>
            </w:r>
          </w:p>
        </w:tc>
        <w:tc>
          <w:tcPr>
            <w:tcW w:type="dxa" w:w="3456"/>
            <w:shd w:fill="FFFFFF" w:val="clear"/>
          </w:tcPr>
          <w:p>
            <w:pPr>
              <w:jc w:val="left"/>
            </w:pPr>
            <w:r/>
            <w:r>
              <w:rPr>
                <w:rFonts w:ascii="Calibri" w:hAnsi="Calibri"/>
                <w:b w:val="0"/>
                <w:color w:val="000000"/>
                <w:sz w:val="16"/>
              </w:rPr>
              <w:t>4.0% (PS1/26 Ch.8 Table 8.1)</w:t>
            </w:r>
          </w:p>
        </w:tc>
        <w:tc>
          <w:tcPr>
            <w:tcW w:type="dxa" w:w="3456"/>
            <w:shd w:fill="FFFFFF" w:val="clear"/>
          </w:tcPr>
          <w:p>
            <w:pPr>
              <w:jc w:val="left"/>
            </w:pPr>
            <w:r/>
            <w:r>
              <w:rPr>
                <w:rFonts w:ascii="Calibri" w:hAnsi="Calibri"/>
                <w:b w:val="0"/>
                <w:color w:val="000000"/>
                <w:sz w:val="16"/>
              </w:rPr>
              <w:t>4.0% (CRR3 Art 280c)</w:t>
            </w:r>
          </w:p>
        </w:tc>
      </w:tr>
      <w:tr>
        <w:tc>
          <w:tcPr>
            <w:tcW w:type="dxa" w:w="3456"/>
            <w:shd w:fill="F5E6C8" w:val="clear"/>
          </w:tcPr>
          <w:p>
            <w:pPr>
              <w:jc w:val="left"/>
            </w:pPr>
            <w:r/>
            <w:r>
              <w:rPr>
                <w:rFonts w:ascii="Calibri" w:hAnsi="Calibri"/>
                <w:b/>
                <w:color w:val="00143C"/>
                <w:sz w:val="16"/>
              </w:rPr>
              <w:t>Credit SF</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Credit: AAA-AA</w:t>
            </w:r>
          </w:p>
        </w:tc>
        <w:tc>
          <w:tcPr>
            <w:tcW w:type="dxa" w:w="3456"/>
            <w:shd w:fill="FFFFFF" w:val="clear"/>
          </w:tcPr>
          <w:p>
            <w:pPr>
              <w:jc w:val="left"/>
            </w:pPr>
            <w:r/>
            <w:r>
              <w:rPr>
                <w:rFonts w:ascii="Calibri" w:hAnsi="Calibri"/>
                <w:b w:val="0"/>
                <w:color w:val="000000"/>
                <w:sz w:val="16"/>
              </w:rPr>
              <w:t>Investment grade single-name 0.46% (no rating split; Dodd-Frank 939A) (Table 2 to §__.114)</w:t>
            </w:r>
          </w:p>
        </w:tc>
        <w:tc>
          <w:tcPr>
            <w:tcW w:type="dxa" w:w="3456"/>
            <w:shd w:fill="FFFFFF" w:val="clear"/>
          </w:tcPr>
          <w:p>
            <w:pPr>
              <w:jc w:val="left"/>
            </w:pPr>
            <w:r/>
            <w:r>
              <w:rPr>
                <w:rFonts w:ascii="Calibri" w:hAnsi="Calibri"/>
                <w:b w:val="0"/>
                <w:color w:val="000000"/>
                <w:sz w:val="16"/>
              </w:rPr>
              <w:t>0.38% (PS1/26 Ch.8 Table 8.1)</w:t>
            </w:r>
          </w:p>
        </w:tc>
        <w:tc>
          <w:tcPr>
            <w:tcW w:type="dxa" w:w="3456"/>
            <w:shd w:fill="FFFFFF" w:val="clear"/>
          </w:tcPr>
          <w:p>
            <w:pPr>
              <w:jc w:val="left"/>
            </w:pPr>
            <w:r/>
            <w:r>
              <w:rPr>
                <w:rFonts w:ascii="Calibri" w:hAnsi="Calibri"/>
                <w:b w:val="0"/>
                <w:color w:val="000000"/>
                <w:sz w:val="16"/>
              </w:rPr>
              <w:t>0.38% (CRR3 Art 280b)</w:t>
            </w:r>
          </w:p>
        </w:tc>
      </w:tr>
      <w:tr>
        <w:tc>
          <w:tcPr>
            <w:tcW w:type="dxa" w:w="3456"/>
            <w:shd w:fill="F2F2F2" w:val="clear"/>
          </w:tcPr>
          <w:p>
            <w:pPr>
              <w:jc w:val="left"/>
            </w:pPr>
            <w:r/>
            <w:r>
              <w:rPr>
                <w:rFonts w:ascii="Calibri" w:hAnsi="Calibri"/>
                <w:b/>
                <w:color w:val="000000"/>
                <w:sz w:val="16"/>
              </w:rPr>
              <w:t>Credit: A</w:t>
            </w:r>
          </w:p>
        </w:tc>
        <w:tc>
          <w:tcPr>
            <w:tcW w:type="dxa" w:w="3456"/>
            <w:shd w:fill="F2F2F2" w:val="clear"/>
          </w:tcPr>
          <w:p>
            <w:pPr>
              <w:jc w:val="left"/>
            </w:pPr>
            <w:r/>
            <w:r>
              <w:rPr>
                <w:rFonts w:ascii="Calibri" w:hAnsi="Calibri"/>
                <w:b w:val="0"/>
                <w:color w:val="000000"/>
                <w:sz w:val="16"/>
              </w:rPr>
              <w:t>Investment grade single-name 0.46% (Table 2 to §__.114)</w:t>
            </w:r>
          </w:p>
        </w:tc>
        <w:tc>
          <w:tcPr>
            <w:tcW w:type="dxa" w:w="3456"/>
            <w:shd w:fill="F2F2F2" w:val="clear"/>
          </w:tcPr>
          <w:p>
            <w:pPr>
              <w:jc w:val="left"/>
            </w:pPr>
            <w:r/>
            <w:r>
              <w:rPr>
                <w:rFonts w:ascii="Calibri" w:hAnsi="Calibri"/>
                <w:b w:val="0"/>
                <w:color w:val="000000"/>
                <w:sz w:val="16"/>
              </w:rPr>
              <w:t>0.42% (PS1/26 Ch.8 Table 8.1)</w:t>
            </w:r>
          </w:p>
        </w:tc>
        <w:tc>
          <w:tcPr>
            <w:tcW w:type="dxa" w:w="3456"/>
            <w:shd w:fill="F2F2F2" w:val="clear"/>
          </w:tcPr>
          <w:p>
            <w:pPr>
              <w:jc w:val="left"/>
            </w:pPr>
            <w:r/>
            <w:r>
              <w:rPr>
                <w:rFonts w:ascii="Calibri" w:hAnsi="Calibri"/>
                <w:b w:val="0"/>
                <w:color w:val="000000"/>
                <w:sz w:val="16"/>
              </w:rPr>
              <w:t>0.42% (CRR3 Art 280b)</w:t>
            </w:r>
          </w:p>
        </w:tc>
      </w:tr>
      <w:tr>
        <w:tc>
          <w:tcPr>
            <w:tcW w:type="dxa" w:w="3456"/>
            <w:shd w:fill="FFFFFF" w:val="clear"/>
          </w:tcPr>
          <w:p>
            <w:pPr>
              <w:jc w:val="left"/>
            </w:pPr>
            <w:r/>
            <w:r>
              <w:rPr>
                <w:rFonts w:ascii="Calibri" w:hAnsi="Calibri"/>
                <w:b/>
                <w:color w:val="000000"/>
                <w:sz w:val="16"/>
              </w:rPr>
              <w:t>Credit: BBB</w:t>
            </w:r>
          </w:p>
        </w:tc>
        <w:tc>
          <w:tcPr>
            <w:tcW w:type="dxa" w:w="3456"/>
            <w:shd w:fill="FFFFFF" w:val="clear"/>
          </w:tcPr>
          <w:p>
            <w:pPr>
              <w:jc w:val="left"/>
            </w:pPr>
            <w:r/>
            <w:r>
              <w:rPr>
                <w:rFonts w:ascii="Calibri" w:hAnsi="Calibri"/>
                <w:b w:val="0"/>
                <w:color w:val="000000"/>
                <w:sz w:val="16"/>
              </w:rPr>
              <w:t>Investment grade single-name 0.46% (Table 2 to §__.114)</w:t>
            </w:r>
          </w:p>
        </w:tc>
        <w:tc>
          <w:tcPr>
            <w:tcW w:type="dxa" w:w="3456"/>
            <w:shd w:fill="FFFFFF" w:val="clear"/>
          </w:tcPr>
          <w:p>
            <w:pPr>
              <w:jc w:val="left"/>
            </w:pPr>
            <w:r/>
            <w:r>
              <w:rPr>
                <w:rFonts w:ascii="Calibri" w:hAnsi="Calibri"/>
                <w:b w:val="0"/>
                <w:color w:val="000000"/>
                <w:sz w:val="16"/>
              </w:rPr>
              <w:t>0.54% (PS1/26 Ch.8 Table 8.1)</w:t>
            </w:r>
          </w:p>
        </w:tc>
        <w:tc>
          <w:tcPr>
            <w:tcW w:type="dxa" w:w="3456"/>
            <w:shd w:fill="FFFFFF" w:val="clear"/>
          </w:tcPr>
          <w:p>
            <w:pPr>
              <w:jc w:val="left"/>
            </w:pPr>
            <w:r/>
            <w:r>
              <w:rPr>
                <w:rFonts w:ascii="Calibri" w:hAnsi="Calibri"/>
                <w:b w:val="0"/>
                <w:color w:val="000000"/>
                <w:sz w:val="16"/>
              </w:rPr>
              <w:t>0.54% (CRR3 Art 280b)</w:t>
            </w:r>
          </w:p>
        </w:tc>
      </w:tr>
      <w:tr>
        <w:tc>
          <w:tcPr>
            <w:tcW w:type="dxa" w:w="3456"/>
            <w:shd w:fill="F2F2F2" w:val="clear"/>
          </w:tcPr>
          <w:p>
            <w:pPr>
              <w:jc w:val="left"/>
            </w:pPr>
            <w:r/>
            <w:r>
              <w:rPr>
                <w:rFonts w:ascii="Calibri" w:hAnsi="Calibri"/>
                <w:b/>
                <w:color w:val="000000"/>
                <w:sz w:val="16"/>
              </w:rPr>
              <w:t>Credit: BB</w:t>
            </w:r>
          </w:p>
        </w:tc>
        <w:tc>
          <w:tcPr>
            <w:tcW w:type="dxa" w:w="3456"/>
            <w:shd w:fill="F2F2F2" w:val="clear"/>
          </w:tcPr>
          <w:p>
            <w:pPr>
              <w:jc w:val="left"/>
            </w:pPr>
            <w:r/>
            <w:r>
              <w:rPr>
                <w:rFonts w:ascii="Calibri" w:hAnsi="Calibri"/>
                <w:b w:val="0"/>
                <w:color w:val="000000"/>
                <w:sz w:val="16"/>
              </w:rPr>
              <w:t>Speculative grade single-name 1.3% (Table 2 to §__.114)</w:t>
            </w:r>
          </w:p>
        </w:tc>
        <w:tc>
          <w:tcPr>
            <w:tcW w:type="dxa" w:w="3456"/>
            <w:shd w:fill="F2F2F2" w:val="clear"/>
          </w:tcPr>
          <w:p>
            <w:pPr>
              <w:jc w:val="left"/>
            </w:pPr>
            <w:r/>
            <w:r>
              <w:rPr>
                <w:rFonts w:ascii="Calibri" w:hAnsi="Calibri"/>
                <w:b w:val="0"/>
                <w:color w:val="000000"/>
                <w:sz w:val="16"/>
              </w:rPr>
              <w:t>1.06% (PS1/26 Ch.8 Table 8.1)</w:t>
            </w:r>
          </w:p>
        </w:tc>
        <w:tc>
          <w:tcPr>
            <w:tcW w:type="dxa" w:w="3456"/>
            <w:shd w:fill="F2F2F2" w:val="clear"/>
          </w:tcPr>
          <w:p>
            <w:pPr>
              <w:jc w:val="left"/>
            </w:pPr>
            <w:r/>
            <w:r>
              <w:rPr>
                <w:rFonts w:ascii="Calibri" w:hAnsi="Calibri"/>
                <w:b w:val="0"/>
                <w:color w:val="000000"/>
                <w:sz w:val="16"/>
              </w:rPr>
              <w:t>1.06% (CRR3 Art 280b)</w:t>
            </w:r>
          </w:p>
        </w:tc>
      </w:tr>
      <w:tr>
        <w:tc>
          <w:tcPr>
            <w:tcW w:type="dxa" w:w="3456"/>
            <w:shd w:fill="FFFFFF" w:val="clear"/>
          </w:tcPr>
          <w:p>
            <w:pPr>
              <w:jc w:val="left"/>
            </w:pPr>
            <w:r/>
            <w:r>
              <w:rPr>
                <w:rFonts w:ascii="Calibri" w:hAnsi="Calibri"/>
                <w:b/>
                <w:color w:val="000000"/>
                <w:sz w:val="16"/>
              </w:rPr>
              <w:t>Credit: B</w:t>
            </w:r>
          </w:p>
        </w:tc>
        <w:tc>
          <w:tcPr>
            <w:tcW w:type="dxa" w:w="3456"/>
            <w:shd w:fill="FFFFFF" w:val="clear"/>
          </w:tcPr>
          <w:p>
            <w:pPr>
              <w:jc w:val="left"/>
            </w:pPr>
            <w:r/>
            <w:r>
              <w:rPr>
                <w:rFonts w:ascii="Calibri" w:hAnsi="Calibri"/>
                <w:b w:val="0"/>
                <w:color w:val="000000"/>
                <w:sz w:val="16"/>
              </w:rPr>
              <w:t>Speculative grade single-name 1.3% (Table 2 to §__.114)</w:t>
            </w:r>
          </w:p>
        </w:tc>
        <w:tc>
          <w:tcPr>
            <w:tcW w:type="dxa" w:w="3456"/>
            <w:shd w:fill="FFFFFF" w:val="clear"/>
          </w:tcPr>
          <w:p>
            <w:pPr>
              <w:jc w:val="left"/>
            </w:pPr>
            <w:r/>
            <w:r>
              <w:rPr>
                <w:rFonts w:ascii="Calibri" w:hAnsi="Calibri"/>
                <w:b w:val="0"/>
                <w:color w:val="000000"/>
                <w:sz w:val="16"/>
              </w:rPr>
              <w:t>1.6% (PS1/26 Ch.8 Table 8.1)</w:t>
            </w:r>
          </w:p>
        </w:tc>
        <w:tc>
          <w:tcPr>
            <w:tcW w:type="dxa" w:w="3456"/>
            <w:shd w:fill="FFFFFF" w:val="clear"/>
          </w:tcPr>
          <w:p>
            <w:pPr>
              <w:jc w:val="left"/>
            </w:pPr>
            <w:r/>
            <w:r>
              <w:rPr>
                <w:rFonts w:ascii="Calibri" w:hAnsi="Calibri"/>
                <w:b w:val="0"/>
                <w:color w:val="000000"/>
                <w:sz w:val="16"/>
              </w:rPr>
              <w:t>1.6% (CRR3 Art 280b)</w:t>
            </w:r>
          </w:p>
        </w:tc>
      </w:tr>
      <w:tr>
        <w:tc>
          <w:tcPr>
            <w:tcW w:type="dxa" w:w="3456"/>
            <w:shd w:fill="F2F2F2" w:val="clear"/>
          </w:tcPr>
          <w:p>
            <w:pPr>
              <w:jc w:val="left"/>
            </w:pPr>
            <w:r/>
            <w:r>
              <w:rPr>
                <w:rFonts w:ascii="Calibri" w:hAnsi="Calibri"/>
                <w:b/>
                <w:color w:val="000000"/>
                <w:sz w:val="16"/>
              </w:rPr>
              <w:t>Credit: CCC</w:t>
            </w:r>
          </w:p>
        </w:tc>
        <w:tc>
          <w:tcPr>
            <w:tcW w:type="dxa" w:w="3456"/>
            <w:shd w:fill="F2F2F2" w:val="clear"/>
          </w:tcPr>
          <w:p>
            <w:pPr>
              <w:jc w:val="left"/>
            </w:pPr>
            <w:r/>
            <w:r>
              <w:rPr>
                <w:rFonts w:ascii="Calibri" w:hAnsi="Calibri"/>
                <w:b w:val="0"/>
                <w:color w:val="000000"/>
                <w:sz w:val="16"/>
              </w:rPr>
              <w:t>Sub-speculative grade single-name 6.0% (Table 2 to §__.114)</w:t>
            </w:r>
          </w:p>
        </w:tc>
        <w:tc>
          <w:tcPr>
            <w:tcW w:type="dxa" w:w="3456"/>
            <w:shd w:fill="F2F2F2" w:val="clear"/>
          </w:tcPr>
          <w:p>
            <w:pPr>
              <w:jc w:val="left"/>
            </w:pPr>
            <w:r/>
            <w:r>
              <w:rPr>
                <w:rFonts w:ascii="Calibri" w:hAnsi="Calibri"/>
                <w:b w:val="0"/>
                <w:color w:val="000000"/>
                <w:sz w:val="16"/>
              </w:rPr>
              <w:t>6.0% (PS1/26 Ch.8 Table 8.1)</w:t>
            </w:r>
          </w:p>
        </w:tc>
        <w:tc>
          <w:tcPr>
            <w:tcW w:type="dxa" w:w="3456"/>
            <w:shd w:fill="F2F2F2" w:val="clear"/>
          </w:tcPr>
          <w:p>
            <w:pPr>
              <w:jc w:val="left"/>
            </w:pPr>
            <w:r/>
            <w:r>
              <w:rPr>
                <w:rFonts w:ascii="Calibri" w:hAnsi="Calibri"/>
                <w:b w:val="0"/>
                <w:color w:val="000000"/>
                <w:sz w:val="16"/>
              </w:rPr>
              <w:t>6.0% (CRR3 Art 280b)</w:t>
            </w:r>
          </w:p>
        </w:tc>
      </w:tr>
      <w:tr>
        <w:tc>
          <w:tcPr>
            <w:tcW w:type="dxa" w:w="3456"/>
            <w:shd w:fill="FFFFFF" w:val="clear"/>
          </w:tcPr>
          <w:p>
            <w:pPr>
              <w:jc w:val="left"/>
            </w:pPr>
            <w:r/>
            <w:r>
              <w:rPr>
                <w:rFonts w:ascii="Calibri" w:hAnsi="Calibri"/>
                <w:b/>
                <w:color w:val="000000"/>
                <w:sz w:val="16"/>
              </w:rPr>
              <w:t>Credit: Index</w:t>
            </w:r>
          </w:p>
        </w:tc>
        <w:tc>
          <w:tcPr>
            <w:tcW w:type="dxa" w:w="3456"/>
            <w:shd w:fill="FFFFFF" w:val="clear"/>
          </w:tcPr>
          <w:p>
            <w:pPr>
              <w:jc w:val="left"/>
            </w:pPr>
            <w:r/>
            <w:r>
              <w:rPr>
                <w:rFonts w:ascii="Calibri" w:hAnsi="Calibri"/>
                <w:b w:val="0"/>
                <w:color w:val="000000"/>
                <w:sz w:val="16"/>
              </w:rPr>
              <w:t>Investment grade index 0.38%; speculative grade index 1.06% (correlation 80%) (Table 2 to §__.114)</w:t>
            </w:r>
          </w:p>
        </w:tc>
        <w:tc>
          <w:tcPr>
            <w:tcW w:type="dxa" w:w="3456"/>
            <w:shd w:fill="FFFFFF" w:val="clear"/>
          </w:tcPr>
          <w:p>
            <w:pPr>
              <w:jc w:val="left"/>
            </w:pPr>
            <w:r/>
            <w:r>
              <w:rPr>
                <w:rFonts w:ascii="Calibri" w:hAnsi="Calibri"/>
                <w:b w:val="0"/>
                <w:color w:val="000000"/>
                <w:sz w:val="16"/>
              </w:rPr>
              <w:t>0.38% IG / 1.06% SG (PS1/26 Ch.8 Table 8.1)</w:t>
            </w:r>
          </w:p>
        </w:tc>
        <w:tc>
          <w:tcPr>
            <w:tcW w:type="dxa" w:w="3456"/>
            <w:shd w:fill="FFFFFF" w:val="clear"/>
          </w:tcPr>
          <w:p>
            <w:pPr>
              <w:jc w:val="left"/>
            </w:pPr>
            <w:r/>
            <w:r>
              <w:rPr>
                <w:rFonts w:ascii="Calibri" w:hAnsi="Calibri"/>
                <w:b w:val="0"/>
                <w:color w:val="000000"/>
                <w:sz w:val="16"/>
              </w:rPr>
              <w:t>0.38% IG / 1.06% SG (CRR3 Art 280b)</w:t>
            </w:r>
          </w:p>
        </w:tc>
      </w:tr>
      <w:tr>
        <w:tc>
          <w:tcPr>
            <w:tcW w:type="dxa" w:w="3456"/>
            <w:shd w:fill="F5E6C8" w:val="clear"/>
          </w:tcPr>
          <w:p>
            <w:pPr>
              <w:jc w:val="left"/>
            </w:pPr>
            <w:r/>
            <w:r>
              <w:rPr>
                <w:rFonts w:ascii="Calibri" w:hAnsi="Calibri"/>
                <w:b/>
                <w:color w:val="00143C"/>
                <w:sz w:val="16"/>
              </w:rPr>
              <w:t>Equity SF</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Equity: Single Name</w:t>
            </w:r>
          </w:p>
        </w:tc>
        <w:tc>
          <w:tcPr>
            <w:tcW w:type="dxa" w:w="3456"/>
            <w:shd w:fill="FFFFFF" w:val="clear"/>
          </w:tcPr>
          <w:p>
            <w:pPr>
              <w:jc w:val="left"/>
            </w:pPr>
            <w:r/>
            <w:r>
              <w:rPr>
                <w:rFonts w:ascii="Calibri" w:hAnsi="Calibri"/>
                <w:b w:val="0"/>
                <w:color w:val="000000"/>
                <w:sz w:val="16"/>
              </w:rPr>
              <w:t>32% (volatility 120%) (Table 2 to §__.114)</w:t>
            </w:r>
          </w:p>
        </w:tc>
        <w:tc>
          <w:tcPr>
            <w:tcW w:type="dxa" w:w="3456"/>
            <w:shd w:fill="FFFFFF" w:val="clear"/>
          </w:tcPr>
          <w:p>
            <w:pPr>
              <w:jc w:val="left"/>
            </w:pPr>
            <w:r/>
            <w:r>
              <w:rPr>
                <w:rFonts w:ascii="Calibri" w:hAnsi="Calibri"/>
                <w:b w:val="0"/>
                <w:color w:val="000000"/>
                <w:sz w:val="16"/>
              </w:rPr>
              <w:t>32% (PS1/26 Ch.8 Table 8.1)</w:t>
            </w:r>
          </w:p>
        </w:tc>
        <w:tc>
          <w:tcPr>
            <w:tcW w:type="dxa" w:w="3456"/>
            <w:shd w:fill="FFFFFF" w:val="clear"/>
          </w:tcPr>
          <w:p>
            <w:pPr>
              <w:jc w:val="left"/>
            </w:pPr>
            <w:r/>
            <w:r>
              <w:rPr>
                <w:rFonts w:ascii="Calibri" w:hAnsi="Calibri"/>
                <w:b w:val="0"/>
                <w:color w:val="000000"/>
                <w:sz w:val="16"/>
              </w:rPr>
              <w:t>32% (CRR3 Art 280d)</w:t>
            </w:r>
          </w:p>
        </w:tc>
      </w:tr>
      <w:tr>
        <w:tc>
          <w:tcPr>
            <w:tcW w:type="dxa" w:w="3456"/>
            <w:shd w:fill="F2F2F2" w:val="clear"/>
          </w:tcPr>
          <w:p>
            <w:pPr>
              <w:jc w:val="left"/>
            </w:pPr>
            <w:r/>
            <w:r>
              <w:rPr>
                <w:rFonts w:ascii="Calibri" w:hAnsi="Calibri"/>
                <w:b/>
                <w:color w:val="000000"/>
                <w:sz w:val="16"/>
              </w:rPr>
              <w:t>Equity: Index</w:t>
            </w:r>
          </w:p>
        </w:tc>
        <w:tc>
          <w:tcPr>
            <w:tcW w:type="dxa" w:w="3456"/>
            <w:shd w:fill="F2F2F2" w:val="clear"/>
          </w:tcPr>
          <w:p>
            <w:pPr>
              <w:jc w:val="left"/>
            </w:pPr>
            <w:r/>
            <w:r>
              <w:rPr>
                <w:rFonts w:ascii="Calibri" w:hAnsi="Calibri"/>
                <w:b w:val="0"/>
                <w:color w:val="000000"/>
                <w:sz w:val="16"/>
              </w:rPr>
              <w:t>20% (volatility 75%) (Table 2 to §__.114)</w:t>
            </w:r>
          </w:p>
        </w:tc>
        <w:tc>
          <w:tcPr>
            <w:tcW w:type="dxa" w:w="3456"/>
            <w:shd w:fill="F2F2F2" w:val="clear"/>
          </w:tcPr>
          <w:p>
            <w:pPr>
              <w:jc w:val="left"/>
            </w:pPr>
            <w:r/>
            <w:r>
              <w:rPr>
                <w:rFonts w:ascii="Calibri" w:hAnsi="Calibri"/>
                <w:b w:val="0"/>
                <w:color w:val="000000"/>
                <w:sz w:val="16"/>
              </w:rPr>
              <w:t>20% (PS1/26 Ch.8 Table 8.1)</w:t>
            </w:r>
          </w:p>
        </w:tc>
        <w:tc>
          <w:tcPr>
            <w:tcW w:type="dxa" w:w="3456"/>
            <w:shd w:fill="F2F2F2" w:val="clear"/>
          </w:tcPr>
          <w:p>
            <w:pPr>
              <w:jc w:val="left"/>
            </w:pPr>
            <w:r/>
            <w:r>
              <w:rPr>
                <w:rFonts w:ascii="Calibri" w:hAnsi="Calibri"/>
                <w:b w:val="0"/>
                <w:color w:val="000000"/>
                <w:sz w:val="16"/>
              </w:rPr>
              <w:t>20% (CRR3 Art 280d)</w:t>
            </w:r>
          </w:p>
        </w:tc>
      </w:tr>
      <w:tr>
        <w:tc>
          <w:tcPr>
            <w:tcW w:type="dxa" w:w="3456"/>
            <w:shd w:fill="F5E6C8" w:val="clear"/>
          </w:tcPr>
          <w:p>
            <w:pPr>
              <w:jc w:val="left"/>
            </w:pPr>
            <w:r/>
            <w:r>
              <w:rPr>
                <w:rFonts w:ascii="Calibri" w:hAnsi="Calibri"/>
                <w:b/>
                <w:color w:val="00143C"/>
                <w:sz w:val="16"/>
              </w:rPr>
              <w:t>Commodity SF</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2F2F2" w:val="clear"/>
          </w:tcPr>
          <w:p>
            <w:pPr>
              <w:jc w:val="left"/>
            </w:pPr>
            <w:r/>
            <w:r>
              <w:rPr>
                <w:rFonts w:ascii="Calibri" w:hAnsi="Calibri"/>
                <w:b/>
                <w:color w:val="000000"/>
                <w:sz w:val="16"/>
              </w:rPr>
              <w:t>Commodity: Electricity</w:t>
            </w:r>
          </w:p>
        </w:tc>
        <w:tc>
          <w:tcPr>
            <w:tcW w:type="dxa" w:w="3456"/>
            <w:shd w:fill="F2F2F2" w:val="clear"/>
          </w:tcPr>
          <w:p>
            <w:pPr>
              <w:jc w:val="left"/>
            </w:pPr>
            <w:r/>
            <w:r>
              <w:rPr>
                <w:rFonts w:ascii="Calibri" w:hAnsi="Calibri"/>
                <w:b w:val="0"/>
                <w:color w:val="000000"/>
                <w:sz w:val="16"/>
              </w:rPr>
              <w:t>40% (volatility 150%) (Table 2 to §__.114)</w:t>
            </w:r>
          </w:p>
        </w:tc>
        <w:tc>
          <w:tcPr>
            <w:tcW w:type="dxa" w:w="3456"/>
            <w:shd w:fill="F2F2F2" w:val="clear"/>
          </w:tcPr>
          <w:p>
            <w:pPr>
              <w:jc w:val="left"/>
            </w:pPr>
            <w:r/>
            <w:r>
              <w:rPr>
                <w:rFonts w:ascii="Calibri" w:hAnsi="Calibri"/>
                <w:b w:val="0"/>
                <w:color w:val="000000"/>
                <w:sz w:val="16"/>
              </w:rPr>
              <w:t>40% (PS1/26 Ch.8 Table 8.1)</w:t>
            </w:r>
          </w:p>
        </w:tc>
        <w:tc>
          <w:tcPr>
            <w:tcW w:type="dxa" w:w="3456"/>
            <w:shd w:fill="F2F2F2" w:val="clear"/>
          </w:tcPr>
          <w:p>
            <w:pPr>
              <w:jc w:val="left"/>
            </w:pPr>
            <w:r/>
            <w:r>
              <w:rPr>
                <w:rFonts w:ascii="Calibri" w:hAnsi="Calibri"/>
                <w:b w:val="0"/>
                <w:color w:val="000000"/>
                <w:sz w:val="16"/>
              </w:rPr>
              <w:t>40% (CRR3 Art 280e)</w:t>
            </w:r>
          </w:p>
        </w:tc>
      </w:tr>
      <w:tr>
        <w:tc>
          <w:tcPr>
            <w:tcW w:type="dxa" w:w="3456"/>
            <w:shd w:fill="FFFFFF" w:val="clear"/>
          </w:tcPr>
          <w:p>
            <w:pPr>
              <w:jc w:val="left"/>
            </w:pPr>
            <w:r/>
            <w:r>
              <w:rPr>
                <w:rFonts w:ascii="Calibri" w:hAnsi="Calibri"/>
                <w:b/>
                <w:color w:val="000000"/>
                <w:sz w:val="16"/>
              </w:rPr>
              <w:t>Commodity: Oil/Gas</w:t>
            </w:r>
          </w:p>
        </w:tc>
        <w:tc>
          <w:tcPr>
            <w:tcW w:type="dxa" w:w="3456"/>
            <w:shd w:fill="FFFFFF" w:val="clear"/>
          </w:tcPr>
          <w:p>
            <w:pPr>
              <w:jc w:val="left"/>
            </w:pPr>
            <w:r/>
            <w:r>
              <w:rPr>
                <w:rFonts w:ascii="Calibri" w:hAnsi="Calibri"/>
                <w:b w:val="0"/>
                <w:color w:val="000000"/>
                <w:sz w:val="16"/>
              </w:rPr>
              <w:t>18% (volatility 70%) (Table 2 to §__.114)</w:t>
            </w:r>
          </w:p>
        </w:tc>
        <w:tc>
          <w:tcPr>
            <w:tcW w:type="dxa" w:w="3456"/>
            <w:shd w:fill="FFFFFF" w:val="clear"/>
          </w:tcPr>
          <w:p>
            <w:pPr>
              <w:jc w:val="left"/>
            </w:pPr>
            <w:r/>
            <w:r>
              <w:rPr>
                <w:rFonts w:ascii="Calibri" w:hAnsi="Calibri"/>
                <w:b w:val="0"/>
                <w:color w:val="000000"/>
                <w:sz w:val="16"/>
              </w:rPr>
              <w:t>18% (PS1/26 Ch.8 Table 8.1)</w:t>
            </w:r>
          </w:p>
        </w:tc>
        <w:tc>
          <w:tcPr>
            <w:tcW w:type="dxa" w:w="3456"/>
            <w:shd w:fill="FFFFFF" w:val="clear"/>
          </w:tcPr>
          <w:p>
            <w:pPr>
              <w:jc w:val="left"/>
            </w:pPr>
            <w:r/>
            <w:r>
              <w:rPr>
                <w:rFonts w:ascii="Calibri" w:hAnsi="Calibri"/>
                <w:b w:val="0"/>
                <w:color w:val="000000"/>
                <w:sz w:val="16"/>
              </w:rPr>
              <w:t>18% (CRR3 Art 280e)</w:t>
            </w:r>
          </w:p>
        </w:tc>
      </w:tr>
      <w:tr>
        <w:tc>
          <w:tcPr>
            <w:tcW w:type="dxa" w:w="3456"/>
            <w:shd w:fill="F2F2F2" w:val="clear"/>
          </w:tcPr>
          <w:p>
            <w:pPr>
              <w:jc w:val="left"/>
            </w:pPr>
            <w:r/>
            <w:r>
              <w:rPr>
                <w:rFonts w:ascii="Calibri" w:hAnsi="Calibri"/>
                <w:b/>
                <w:color w:val="000000"/>
                <w:sz w:val="16"/>
              </w:rPr>
              <w:t>Commodity: Metals</w:t>
            </w:r>
          </w:p>
        </w:tc>
        <w:tc>
          <w:tcPr>
            <w:tcW w:type="dxa" w:w="3456"/>
            <w:shd w:fill="F2F2F2" w:val="clear"/>
          </w:tcPr>
          <w:p>
            <w:pPr>
              <w:jc w:val="left"/>
            </w:pPr>
            <w:r/>
            <w:r>
              <w:rPr>
                <w:rFonts w:ascii="Calibri" w:hAnsi="Calibri"/>
                <w:b w:val="0"/>
                <w:color w:val="000000"/>
                <w:sz w:val="16"/>
              </w:rPr>
              <w:t>18% (Table 2 to §__.114)</w:t>
            </w:r>
          </w:p>
        </w:tc>
        <w:tc>
          <w:tcPr>
            <w:tcW w:type="dxa" w:w="3456"/>
            <w:shd w:fill="F2F2F2" w:val="clear"/>
          </w:tcPr>
          <w:p>
            <w:pPr>
              <w:jc w:val="left"/>
            </w:pPr>
            <w:r/>
            <w:r>
              <w:rPr>
                <w:rFonts w:ascii="Calibri" w:hAnsi="Calibri"/>
                <w:b w:val="0"/>
                <w:color w:val="000000"/>
                <w:sz w:val="16"/>
              </w:rPr>
              <w:t>18% (PS1/26 Ch.8 Table 8.1)</w:t>
            </w:r>
          </w:p>
        </w:tc>
        <w:tc>
          <w:tcPr>
            <w:tcW w:type="dxa" w:w="3456"/>
            <w:shd w:fill="F2F2F2" w:val="clear"/>
          </w:tcPr>
          <w:p>
            <w:pPr>
              <w:jc w:val="left"/>
            </w:pPr>
            <w:r/>
            <w:r>
              <w:rPr>
                <w:rFonts w:ascii="Calibri" w:hAnsi="Calibri"/>
                <w:b w:val="0"/>
                <w:color w:val="000000"/>
                <w:sz w:val="16"/>
              </w:rPr>
              <w:t>18% (CRR3 Art 280e)</w:t>
            </w:r>
          </w:p>
        </w:tc>
      </w:tr>
      <w:tr>
        <w:tc>
          <w:tcPr>
            <w:tcW w:type="dxa" w:w="3456"/>
            <w:shd w:fill="FFFFFF" w:val="clear"/>
          </w:tcPr>
          <w:p>
            <w:pPr>
              <w:jc w:val="left"/>
            </w:pPr>
            <w:r/>
            <w:r>
              <w:rPr>
                <w:rFonts w:ascii="Calibri" w:hAnsi="Calibri"/>
                <w:b/>
                <w:color w:val="000000"/>
                <w:sz w:val="16"/>
              </w:rPr>
              <w:t>Commodity: Agricultural</w:t>
            </w:r>
          </w:p>
        </w:tc>
        <w:tc>
          <w:tcPr>
            <w:tcW w:type="dxa" w:w="3456"/>
            <w:shd w:fill="FFFFFF" w:val="clear"/>
          </w:tcPr>
          <w:p>
            <w:pPr>
              <w:jc w:val="left"/>
            </w:pPr>
            <w:r/>
            <w:r>
              <w:rPr>
                <w:rFonts w:ascii="Calibri" w:hAnsi="Calibri"/>
                <w:b w:val="0"/>
                <w:color w:val="000000"/>
                <w:sz w:val="16"/>
              </w:rPr>
              <w:t>18% (Table 2 to §__.114)</w:t>
            </w:r>
          </w:p>
        </w:tc>
        <w:tc>
          <w:tcPr>
            <w:tcW w:type="dxa" w:w="3456"/>
            <w:shd w:fill="FFFFFF" w:val="clear"/>
          </w:tcPr>
          <w:p>
            <w:pPr>
              <w:jc w:val="left"/>
            </w:pPr>
            <w:r/>
            <w:r>
              <w:rPr>
                <w:rFonts w:ascii="Calibri" w:hAnsi="Calibri"/>
                <w:b w:val="0"/>
                <w:color w:val="000000"/>
                <w:sz w:val="16"/>
              </w:rPr>
              <w:t>18% (PS1/26 Ch.8 Table 8.1)</w:t>
            </w:r>
          </w:p>
        </w:tc>
        <w:tc>
          <w:tcPr>
            <w:tcW w:type="dxa" w:w="3456"/>
            <w:shd w:fill="FFFFFF" w:val="clear"/>
          </w:tcPr>
          <w:p>
            <w:pPr>
              <w:jc w:val="left"/>
            </w:pPr>
            <w:r/>
            <w:r>
              <w:rPr>
                <w:rFonts w:ascii="Calibri" w:hAnsi="Calibri"/>
                <w:b w:val="0"/>
                <w:color w:val="000000"/>
                <w:sz w:val="16"/>
              </w:rPr>
              <w:t>18% (CRR3 Art 280e)</w:t>
            </w:r>
          </w:p>
        </w:tc>
      </w:tr>
      <w:tr>
        <w:tc>
          <w:tcPr>
            <w:tcW w:type="dxa" w:w="3456"/>
            <w:shd w:fill="F2F2F2" w:val="clear"/>
          </w:tcPr>
          <w:p>
            <w:pPr>
              <w:jc w:val="left"/>
            </w:pPr>
            <w:r/>
            <w:r>
              <w:rPr>
                <w:rFonts w:ascii="Calibri" w:hAnsi="Calibri"/>
                <w:b/>
                <w:color w:val="000000"/>
                <w:sz w:val="16"/>
              </w:rPr>
              <w:t>Commodity: Other</w:t>
            </w:r>
          </w:p>
        </w:tc>
        <w:tc>
          <w:tcPr>
            <w:tcW w:type="dxa" w:w="3456"/>
            <w:shd w:fill="F2F2F2" w:val="clear"/>
          </w:tcPr>
          <w:p>
            <w:pPr>
              <w:jc w:val="left"/>
            </w:pPr>
            <w:r/>
            <w:r>
              <w:rPr>
                <w:rFonts w:ascii="Calibri" w:hAnsi="Calibri"/>
                <w:b w:val="0"/>
                <w:color w:val="000000"/>
                <w:sz w:val="16"/>
              </w:rPr>
              <w:t>18% (Table 2 to §__.114); basis hedging sets SF x 0.5; volatility hedging sets SF x 5</w:t>
            </w:r>
          </w:p>
        </w:tc>
        <w:tc>
          <w:tcPr>
            <w:tcW w:type="dxa" w:w="3456"/>
            <w:shd w:fill="F2F2F2" w:val="clear"/>
          </w:tcPr>
          <w:p>
            <w:pPr>
              <w:jc w:val="left"/>
            </w:pPr>
            <w:r/>
            <w:r>
              <w:rPr>
                <w:rFonts w:ascii="Calibri" w:hAnsi="Calibri"/>
                <w:b w:val="0"/>
                <w:color w:val="000000"/>
                <w:sz w:val="16"/>
              </w:rPr>
              <w:t>18% (PS1/26 Ch.8 Table 8.1)</w:t>
            </w:r>
          </w:p>
        </w:tc>
        <w:tc>
          <w:tcPr>
            <w:tcW w:type="dxa" w:w="3456"/>
            <w:shd w:fill="F2F2F2" w:val="clear"/>
          </w:tcPr>
          <w:p>
            <w:pPr>
              <w:jc w:val="left"/>
            </w:pPr>
            <w:r/>
            <w:r>
              <w:rPr>
                <w:rFonts w:ascii="Calibri" w:hAnsi="Calibri"/>
                <w:b w:val="0"/>
                <w:color w:val="000000"/>
                <w:sz w:val="16"/>
              </w:rPr>
              <w:t>18% (CRR3 Art 280e)</w:t>
            </w:r>
          </w:p>
        </w:tc>
      </w:tr>
    </w:tbl>
    <w:p>
      <w:r>
        <w:rPr>
          <w:rFonts w:ascii="Calibri" w:hAnsi="Calibri"/>
          <w:b/>
          <w:color w:val="002060"/>
          <w:sz w:val="22"/>
        </w:rPr>
        <w:t>9.2 Correlation Parameters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IR Correlation (Same CCY)</w:t>
            </w:r>
          </w:p>
        </w:tc>
        <w:tc>
          <w:tcPr>
            <w:tcW w:type="dxa" w:w="3456"/>
            <w:shd w:fill="F2F2F2" w:val="clear"/>
          </w:tcPr>
          <w:p>
            <w:pPr>
              <w:jc w:val="left"/>
            </w:pPr>
            <w:r/>
            <w:r>
              <w:rPr>
                <w:rFonts w:ascii="Calibri" w:hAnsi="Calibri"/>
                <w:b w:val="0"/>
                <w:color w:val="000000"/>
                <w:sz w:val="16"/>
              </w:rPr>
              <w:t>Maturity-bucket aggregation within a currency: sqrt(D1^2 + D2^2 + D3^2 + 1.4 D1D2 + 1.4 D2D3 + 0.6 D1D3) (i.e. 70%/30% cross-bucket correlation), or |D1|+|D2|+|D3| (ERBA NPR §__.114)</w:t>
            </w:r>
          </w:p>
        </w:tc>
        <w:tc>
          <w:tcPr>
            <w:tcW w:type="dxa" w:w="3456"/>
            <w:shd w:fill="F2F2F2" w:val="clear"/>
          </w:tcPr>
          <w:p>
            <w:pPr>
              <w:jc w:val="left"/>
            </w:pPr>
            <w:r/>
            <w:r>
              <w:rPr>
                <w:rFonts w:ascii="Calibri" w:hAnsi="Calibri"/>
                <w:b w:val="0"/>
                <w:color w:val="000000"/>
                <w:sz w:val="16"/>
              </w:rPr>
              <w:t>99.9% (PS1/26 Ch.8.2)</w:t>
            </w:r>
          </w:p>
        </w:tc>
        <w:tc>
          <w:tcPr>
            <w:tcW w:type="dxa" w:w="3456"/>
            <w:shd w:fill="F2F2F2" w:val="clear"/>
          </w:tcPr>
          <w:p>
            <w:pPr>
              <w:jc w:val="left"/>
            </w:pPr>
            <w:r/>
            <w:r>
              <w:rPr>
                <w:rFonts w:ascii="Calibri" w:hAnsi="Calibri"/>
                <w:b w:val="0"/>
                <w:color w:val="000000"/>
                <w:sz w:val="16"/>
              </w:rPr>
              <w:t>99.9% (CRR3 Art 280a(3))</w:t>
            </w:r>
          </w:p>
        </w:tc>
      </w:tr>
      <w:tr>
        <w:tc>
          <w:tcPr>
            <w:tcW w:type="dxa" w:w="3456"/>
            <w:shd w:fill="FFFFFF" w:val="clear"/>
          </w:tcPr>
          <w:p>
            <w:pPr>
              <w:jc w:val="left"/>
            </w:pPr>
            <w:r/>
            <w:r>
              <w:rPr>
                <w:rFonts w:ascii="Calibri" w:hAnsi="Calibri"/>
                <w:b/>
                <w:color w:val="000000"/>
                <w:sz w:val="16"/>
              </w:rPr>
              <w:t>IR Correlation (Cross CCY)</w:t>
            </w:r>
          </w:p>
        </w:tc>
        <w:tc>
          <w:tcPr>
            <w:tcW w:type="dxa" w:w="3456"/>
            <w:shd w:fill="FFFFFF" w:val="clear"/>
          </w:tcPr>
          <w:p>
            <w:pPr>
              <w:jc w:val="left"/>
            </w:pPr>
            <w:r/>
            <w:r>
              <w:rPr>
                <w:rFonts w:ascii="Calibri" w:hAnsi="Calibri"/>
                <w:b w:val="0"/>
                <w:color w:val="000000"/>
                <w:sz w:val="16"/>
              </w:rPr>
              <w:t>0% - separate hedging set per currency; add-ons summed (ERBA NPR §__.114)</w:t>
            </w:r>
          </w:p>
        </w:tc>
        <w:tc>
          <w:tcPr>
            <w:tcW w:type="dxa" w:w="3456"/>
            <w:shd w:fill="FFFFFF" w:val="clear"/>
          </w:tcPr>
          <w:p>
            <w:pPr>
              <w:jc w:val="left"/>
            </w:pPr>
            <w:r/>
            <w:r>
              <w:rPr>
                <w:rFonts w:ascii="Calibri" w:hAnsi="Calibri"/>
                <w:b w:val="0"/>
                <w:color w:val="000000"/>
                <w:sz w:val="16"/>
              </w:rPr>
              <w:t>0% (PS1/26 Ch.8.2)</w:t>
            </w:r>
          </w:p>
        </w:tc>
        <w:tc>
          <w:tcPr>
            <w:tcW w:type="dxa" w:w="3456"/>
            <w:shd w:fill="FFFFFF" w:val="clear"/>
          </w:tcPr>
          <w:p>
            <w:pPr>
              <w:jc w:val="left"/>
            </w:pPr>
            <w:r/>
            <w:r>
              <w:rPr>
                <w:rFonts w:ascii="Calibri" w:hAnsi="Calibri"/>
                <w:b w:val="0"/>
                <w:color w:val="000000"/>
                <w:sz w:val="16"/>
              </w:rPr>
              <w:t>0% (CRR3 Art 280a(3))</w:t>
            </w:r>
          </w:p>
        </w:tc>
      </w:tr>
      <w:tr>
        <w:tc>
          <w:tcPr>
            <w:tcW w:type="dxa" w:w="3456"/>
            <w:shd w:fill="F2F2F2" w:val="clear"/>
          </w:tcPr>
          <w:p>
            <w:pPr>
              <w:jc w:val="left"/>
            </w:pPr>
            <w:r/>
            <w:r>
              <w:rPr>
                <w:rFonts w:ascii="Calibri" w:hAnsi="Calibri"/>
                <w:b/>
                <w:color w:val="000000"/>
                <w:sz w:val="16"/>
              </w:rPr>
              <w:t>Credit: Single Name</w:t>
            </w:r>
          </w:p>
        </w:tc>
        <w:tc>
          <w:tcPr>
            <w:tcW w:type="dxa" w:w="3456"/>
            <w:shd w:fill="F2F2F2" w:val="clear"/>
          </w:tcPr>
          <w:p>
            <w:pPr>
              <w:jc w:val="left"/>
            </w:pPr>
            <w:r/>
            <w:r>
              <w:rPr>
                <w:rFonts w:ascii="Calibri" w:hAnsi="Calibri"/>
                <w:b w:val="0"/>
                <w:color w:val="000000"/>
                <w:sz w:val="16"/>
              </w:rPr>
              <w:t>50% systematic correlation (Table 2 to §__.114)</w:t>
            </w:r>
          </w:p>
        </w:tc>
        <w:tc>
          <w:tcPr>
            <w:tcW w:type="dxa" w:w="3456"/>
            <w:shd w:fill="F2F2F2" w:val="clear"/>
          </w:tcPr>
          <w:p>
            <w:pPr>
              <w:jc w:val="left"/>
            </w:pPr>
            <w:r/>
            <w:r>
              <w:rPr>
                <w:rFonts w:ascii="Calibri" w:hAnsi="Calibri"/>
                <w:b w:val="0"/>
                <w:color w:val="000000"/>
                <w:sz w:val="16"/>
              </w:rPr>
              <w:t>50% (PS1/26 Ch.8.2)</w:t>
            </w:r>
          </w:p>
        </w:tc>
        <w:tc>
          <w:tcPr>
            <w:tcW w:type="dxa" w:w="3456"/>
            <w:shd w:fill="F2F2F2" w:val="clear"/>
          </w:tcPr>
          <w:p>
            <w:pPr>
              <w:jc w:val="left"/>
            </w:pPr>
            <w:r/>
            <w:r>
              <w:rPr>
                <w:rFonts w:ascii="Calibri" w:hAnsi="Calibri"/>
                <w:b w:val="0"/>
                <w:color w:val="000000"/>
                <w:sz w:val="16"/>
              </w:rPr>
              <w:t>50% (CRR3 Art 280b(3))</w:t>
            </w:r>
          </w:p>
        </w:tc>
      </w:tr>
      <w:tr>
        <w:tc>
          <w:tcPr>
            <w:tcW w:type="dxa" w:w="3456"/>
            <w:shd w:fill="FFFFFF" w:val="clear"/>
          </w:tcPr>
          <w:p>
            <w:pPr>
              <w:jc w:val="left"/>
            </w:pPr>
            <w:r/>
            <w:r>
              <w:rPr>
                <w:rFonts w:ascii="Calibri" w:hAnsi="Calibri"/>
                <w:b/>
                <w:color w:val="000000"/>
                <w:sz w:val="16"/>
              </w:rPr>
              <w:t>Credit: Index</w:t>
            </w:r>
          </w:p>
        </w:tc>
        <w:tc>
          <w:tcPr>
            <w:tcW w:type="dxa" w:w="3456"/>
            <w:shd w:fill="FFFFFF" w:val="clear"/>
          </w:tcPr>
          <w:p>
            <w:pPr>
              <w:jc w:val="left"/>
            </w:pPr>
            <w:r/>
            <w:r>
              <w:rPr>
                <w:rFonts w:ascii="Calibri" w:hAnsi="Calibri"/>
                <w:b w:val="0"/>
                <w:color w:val="000000"/>
                <w:sz w:val="16"/>
              </w:rPr>
              <w:t>80% (Table 2 to §__.114)</w:t>
            </w:r>
          </w:p>
        </w:tc>
        <w:tc>
          <w:tcPr>
            <w:tcW w:type="dxa" w:w="3456"/>
            <w:shd w:fill="FFFFFF" w:val="clear"/>
          </w:tcPr>
          <w:p>
            <w:pPr>
              <w:jc w:val="left"/>
            </w:pPr>
            <w:r/>
            <w:r>
              <w:rPr>
                <w:rFonts w:ascii="Calibri" w:hAnsi="Calibri"/>
                <w:b w:val="0"/>
                <w:color w:val="000000"/>
                <w:sz w:val="16"/>
              </w:rPr>
              <w:t>80% (PS1/26 Ch.8.2)</w:t>
            </w:r>
          </w:p>
        </w:tc>
        <w:tc>
          <w:tcPr>
            <w:tcW w:type="dxa" w:w="3456"/>
            <w:shd w:fill="FFFFFF" w:val="clear"/>
          </w:tcPr>
          <w:p>
            <w:pPr>
              <w:jc w:val="left"/>
            </w:pPr>
            <w:r/>
            <w:r>
              <w:rPr>
                <w:rFonts w:ascii="Calibri" w:hAnsi="Calibri"/>
                <w:b w:val="0"/>
                <w:color w:val="000000"/>
                <w:sz w:val="16"/>
              </w:rPr>
              <w:t>80% (CRR3 Art 280b(3))</w:t>
            </w:r>
          </w:p>
        </w:tc>
      </w:tr>
      <w:tr>
        <w:tc>
          <w:tcPr>
            <w:tcW w:type="dxa" w:w="3456"/>
            <w:shd w:fill="F2F2F2" w:val="clear"/>
          </w:tcPr>
          <w:p>
            <w:pPr>
              <w:jc w:val="left"/>
            </w:pPr>
            <w:r/>
            <w:r>
              <w:rPr>
                <w:rFonts w:ascii="Calibri" w:hAnsi="Calibri"/>
                <w:b/>
                <w:color w:val="000000"/>
                <w:sz w:val="16"/>
              </w:rPr>
              <w:t>Equity: Single Name</w:t>
            </w:r>
          </w:p>
        </w:tc>
        <w:tc>
          <w:tcPr>
            <w:tcW w:type="dxa" w:w="3456"/>
            <w:shd w:fill="F2F2F2" w:val="clear"/>
          </w:tcPr>
          <w:p>
            <w:pPr>
              <w:jc w:val="left"/>
            </w:pPr>
            <w:r/>
            <w:r>
              <w:rPr>
                <w:rFonts w:ascii="Calibri" w:hAnsi="Calibri"/>
                <w:b w:val="0"/>
                <w:color w:val="000000"/>
                <w:sz w:val="16"/>
              </w:rPr>
              <w:t>50% (Table 2 to §__.114)</w:t>
            </w:r>
          </w:p>
        </w:tc>
        <w:tc>
          <w:tcPr>
            <w:tcW w:type="dxa" w:w="3456"/>
            <w:shd w:fill="F2F2F2" w:val="clear"/>
          </w:tcPr>
          <w:p>
            <w:pPr>
              <w:jc w:val="left"/>
            </w:pPr>
            <w:r/>
            <w:r>
              <w:rPr>
                <w:rFonts w:ascii="Calibri" w:hAnsi="Calibri"/>
                <w:b w:val="0"/>
                <w:color w:val="000000"/>
                <w:sz w:val="16"/>
              </w:rPr>
              <w:t>50% (PS1/26 Ch.8.2)</w:t>
            </w:r>
          </w:p>
        </w:tc>
        <w:tc>
          <w:tcPr>
            <w:tcW w:type="dxa" w:w="3456"/>
            <w:shd w:fill="F2F2F2" w:val="clear"/>
          </w:tcPr>
          <w:p>
            <w:pPr>
              <w:jc w:val="left"/>
            </w:pPr>
            <w:r/>
            <w:r>
              <w:rPr>
                <w:rFonts w:ascii="Calibri" w:hAnsi="Calibri"/>
                <w:b w:val="0"/>
                <w:color w:val="000000"/>
                <w:sz w:val="16"/>
              </w:rPr>
              <w:t>50% (CRR3 Art 280d(3))</w:t>
            </w:r>
          </w:p>
        </w:tc>
      </w:tr>
      <w:tr>
        <w:tc>
          <w:tcPr>
            <w:tcW w:type="dxa" w:w="3456"/>
            <w:shd w:fill="FFFFFF" w:val="clear"/>
          </w:tcPr>
          <w:p>
            <w:pPr>
              <w:jc w:val="left"/>
            </w:pPr>
            <w:r/>
            <w:r>
              <w:rPr>
                <w:rFonts w:ascii="Calibri" w:hAnsi="Calibri"/>
                <w:b/>
                <w:color w:val="000000"/>
                <w:sz w:val="16"/>
              </w:rPr>
              <w:t>Equity: Index</w:t>
            </w:r>
          </w:p>
        </w:tc>
        <w:tc>
          <w:tcPr>
            <w:tcW w:type="dxa" w:w="3456"/>
            <w:shd w:fill="FFFFFF" w:val="clear"/>
          </w:tcPr>
          <w:p>
            <w:pPr>
              <w:jc w:val="left"/>
            </w:pPr>
            <w:r/>
            <w:r>
              <w:rPr>
                <w:rFonts w:ascii="Calibri" w:hAnsi="Calibri"/>
                <w:b w:val="0"/>
                <w:color w:val="000000"/>
                <w:sz w:val="16"/>
              </w:rPr>
              <w:t>80% (Table 2 to §__.114)</w:t>
            </w:r>
          </w:p>
        </w:tc>
        <w:tc>
          <w:tcPr>
            <w:tcW w:type="dxa" w:w="3456"/>
            <w:shd w:fill="FFFFFF" w:val="clear"/>
          </w:tcPr>
          <w:p>
            <w:pPr>
              <w:jc w:val="left"/>
            </w:pPr>
            <w:r/>
            <w:r>
              <w:rPr>
                <w:rFonts w:ascii="Calibri" w:hAnsi="Calibri"/>
                <w:b w:val="0"/>
                <w:color w:val="000000"/>
                <w:sz w:val="16"/>
              </w:rPr>
              <w:t>80% (PS1/26 Ch.8.2)</w:t>
            </w:r>
          </w:p>
        </w:tc>
        <w:tc>
          <w:tcPr>
            <w:tcW w:type="dxa" w:w="3456"/>
            <w:shd w:fill="FFFFFF" w:val="clear"/>
          </w:tcPr>
          <w:p>
            <w:pPr>
              <w:jc w:val="left"/>
            </w:pPr>
            <w:r/>
            <w:r>
              <w:rPr>
                <w:rFonts w:ascii="Calibri" w:hAnsi="Calibri"/>
                <w:b w:val="0"/>
                <w:color w:val="000000"/>
                <w:sz w:val="16"/>
              </w:rPr>
              <w:t>80% (CRR3 Art 280d(3))</w:t>
            </w:r>
          </w:p>
        </w:tc>
      </w:tr>
      <w:tr>
        <w:tc>
          <w:tcPr>
            <w:tcW w:type="dxa" w:w="3456"/>
            <w:shd w:fill="F2F2F2" w:val="clear"/>
          </w:tcPr>
          <w:p>
            <w:pPr>
              <w:jc w:val="left"/>
            </w:pPr>
            <w:r/>
            <w:r>
              <w:rPr>
                <w:rFonts w:ascii="Calibri" w:hAnsi="Calibri"/>
                <w:b/>
                <w:color w:val="000000"/>
                <w:sz w:val="16"/>
              </w:rPr>
              <w:t>Commodity: Same Type</w:t>
            </w:r>
          </w:p>
        </w:tc>
        <w:tc>
          <w:tcPr>
            <w:tcW w:type="dxa" w:w="3456"/>
            <w:shd w:fill="F2F2F2" w:val="clear"/>
          </w:tcPr>
          <w:p>
            <w:pPr>
              <w:jc w:val="left"/>
            </w:pPr>
            <w:r/>
            <w:r>
              <w:rPr>
                <w:rFonts w:ascii="Calibri" w:hAnsi="Calibri"/>
                <w:b w:val="0"/>
                <w:color w:val="000000"/>
                <w:sz w:val="16"/>
              </w:rPr>
              <w:t>40% (all commodity hedging sets) (Table 2 to §__.114)</w:t>
            </w:r>
          </w:p>
        </w:tc>
        <w:tc>
          <w:tcPr>
            <w:tcW w:type="dxa" w:w="3456"/>
            <w:shd w:fill="F2F2F2" w:val="clear"/>
          </w:tcPr>
          <w:p>
            <w:pPr>
              <w:jc w:val="left"/>
            </w:pPr>
            <w:r/>
            <w:r>
              <w:rPr>
                <w:rFonts w:ascii="Calibri" w:hAnsi="Calibri"/>
                <w:b w:val="0"/>
                <w:color w:val="000000"/>
                <w:sz w:val="16"/>
              </w:rPr>
              <w:t>40% (PS1/26 Ch.8.2)</w:t>
            </w:r>
          </w:p>
        </w:tc>
        <w:tc>
          <w:tcPr>
            <w:tcW w:type="dxa" w:w="3456"/>
            <w:shd w:fill="F2F2F2" w:val="clear"/>
          </w:tcPr>
          <w:p>
            <w:pPr>
              <w:jc w:val="left"/>
            </w:pPr>
            <w:r/>
            <w:r>
              <w:rPr>
                <w:rFonts w:ascii="Calibri" w:hAnsi="Calibri"/>
                <w:b w:val="0"/>
                <w:color w:val="000000"/>
                <w:sz w:val="16"/>
              </w:rPr>
              <w:t>40% (CRR3 Art 280e(3))</w:t>
            </w:r>
          </w:p>
        </w:tc>
      </w:tr>
      <w:tr>
        <w:tc>
          <w:tcPr>
            <w:tcW w:type="dxa" w:w="3456"/>
            <w:shd w:fill="FFFFFF" w:val="clear"/>
          </w:tcPr>
          <w:p>
            <w:pPr>
              <w:jc w:val="left"/>
            </w:pPr>
            <w:r/>
            <w:r>
              <w:rPr>
                <w:rFonts w:ascii="Calibri" w:hAnsi="Calibri"/>
                <w:b/>
                <w:color w:val="000000"/>
                <w:sz w:val="16"/>
              </w:rPr>
              <w:t>FX Correlation</w:t>
            </w:r>
          </w:p>
        </w:tc>
        <w:tc>
          <w:tcPr>
            <w:tcW w:type="dxa" w:w="3456"/>
            <w:shd w:fill="FFFFFF" w:val="clear"/>
          </w:tcPr>
          <w:p>
            <w:pPr>
              <w:jc w:val="left"/>
            </w:pPr>
            <w:r/>
            <w:r>
              <w:rPr>
                <w:rFonts w:ascii="Calibri" w:hAnsi="Calibri"/>
                <w:b w:val="0"/>
                <w:color w:val="000000"/>
                <w:sz w:val="16"/>
              </w:rPr>
              <w:t>N/A (single hedging set per currency pair) (ERBA NPR §__.114)</w:t>
            </w:r>
          </w:p>
        </w:tc>
        <w:tc>
          <w:tcPr>
            <w:tcW w:type="dxa" w:w="3456"/>
            <w:shd w:fill="FFFFFF" w:val="clear"/>
          </w:tcPr>
          <w:p>
            <w:pPr>
              <w:jc w:val="left"/>
            </w:pPr>
            <w:r/>
            <w:r>
              <w:rPr>
                <w:rFonts w:ascii="Calibri" w:hAnsi="Calibri"/>
                <w:b w:val="0"/>
                <w:color w:val="000000"/>
                <w:sz w:val="16"/>
              </w:rPr>
              <w:t>N/A (PS1/26 Ch.8.2)</w:t>
            </w:r>
          </w:p>
        </w:tc>
        <w:tc>
          <w:tcPr>
            <w:tcW w:type="dxa" w:w="3456"/>
            <w:shd w:fill="FFFFFF" w:val="clear"/>
          </w:tcPr>
          <w:p>
            <w:pPr>
              <w:jc w:val="left"/>
            </w:pPr>
            <w:r/>
            <w:r>
              <w:rPr>
                <w:rFonts w:ascii="Calibri" w:hAnsi="Calibri"/>
                <w:b w:val="0"/>
                <w:color w:val="000000"/>
                <w:sz w:val="16"/>
              </w:rPr>
              <w:t>N/A (CRR3 Art 280c)</w:t>
            </w:r>
          </w:p>
        </w:tc>
      </w:tr>
    </w:tbl>
    <w:p>
      <w:r>
        <w:rPr>
          <w:rFonts w:ascii="Calibri" w:hAnsi="Calibri"/>
          <w:b/>
          <w:color w:val="002060"/>
          <w:sz w:val="22"/>
        </w:rPr>
        <w:t>9.3 Replacement Cost &amp; PFE Formulas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RC (Unmargined)</w:t>
            </w:r>
          </w:p>
        </w:tc>
        <w:tc>
          <w:tcPr>
            <w:tcW w:type="dxa" w:w="3456"/>
            <w:shd w:fill="F2F2F2" w:val="clear"/>
          </w:tcPr>
          <w:p>
            <w:pPr>
              <w:jc w:val="left"/>
            </w:pPr>
            <w:r/>
            <w:r>
              <w:rPr>
                <w:rFonts w:ascii="Calibri" w:hAnsi="Calibri"/>
                <w:b w:val="0"/>
                <w:color w:val="000000"/>
                <w:sz w:val="16"/>
              </w:rPr>
              <w:t>RC = max(V - C, 0) where V=MtM, C=net collateral (ERBA NPR §__.114)</w:t>
            </w:r>
          </w:p>
        </w:tc>
        <w:tc>
          <w:tcPr>
            <w:tcW w:type="dxa" w:w="3456"/>
            <w:shd w:fill="F2F2F2" w:val="clear"/>
          </w:tcPr>
          <w:p>
            <w:pPr>
              <w:jc w:val="left"/>
            </w:pPr>
            <w:r/>
            <w:r>
              <w:rPr>
                <w:rFonts w:ascii="Calibri" w:hAnsi="Calibri"/>
                <w:b w:val="0"/>
                <w:color w:val="000000"/>
                <w:sz w:val="16"/>
              </w:rPr>
              <w:t>Same formula (PS1/26 Ch.8.3)</w:t>
            </w:r>
          </w:p>
        </w:tc>
        <w:tc>
          <w:tcPr>
            <w:tcW w:type="dxa" w:w="3456"/>
            <w:shd w:fill="F2F2F2" w:val="clear"/>
          </w:tcPr>
          <w:p>
            <w:pPr>
              <w:jc w:val="left"/>
            </w:pPr>
            <w:r/>
            <w:r>
              <w:rPr>
                <w:rFonts w:ascii="Calibri" w:hAnsi="Calibri"/>
                <w:b w:val="0"/>
                <w:color w:val="000000"/>
                <w:sz w:val="16"/>
              </w:rPr>
              <w:t>Same formula (CRR3 Art 275(1))</w:t>
            </w:r>
          </w:p>
        </w:tc>
      </w:tr>
      <w:tr>
        <w:tc>
          <w:tcPr>
            <w:tcW w:type="dxa" w:w="3456"/>
            <w:shd w:fill="FFFFFF" w:val="clear"/>
          </w:tcPr>
          <w:p>
            <w:pPr>
              <w:jc w:val="left"/>
            </w:pPr>
            <w:r/>
            <w:r>
              <w:rPr>
                <w:rFonts w:ascii="Calibri" w:hAnsi="Calibri"/>
                <w:b/>
                <w:color w:val="000000"/>
                <w:sz w:val="16"/>
              </w:rPr>
              <w:t>RC (Margined)</w:t>
            </w:r>
          </w:p>
        </w:tc>
        <w:tc>
          <w:tcPr>
            <w:tcW w:type="dxa" w:w="3456"/>
            <w:shd w:fill="FFFFFF" w:val="clear"/>
          </w:tcPr>
          <w:p>
            <w:pPr>
              <w:jc w:val="left"/>
            </w:pPr>
            <w:r/>
            <w:r>
              <w:rPr>
                <w:rFonts w:ascii="Calibri" w:hAnsi="Calibri"/>
                <w:b w:val="0"/>
                <w:color w:val="000000"/>
                <w:sz w:val="16"/>
              </w:rPr>
              <w:t>RC = max(V-C, TH+MTA-NICA, 0) (ERBA NPR §__.114). TH=threshold, MTA=min transfer amount, NICA=net independent collateral amount; margined EAD capped at unmargined EAD</w:t>
            </w:r>
          </w:p>
        </w:tc>
        <w:tc>
          <w:tcPr>
            <w:tcW w:type="dxa" w:w="3456"/>
            <w:shd w:fill="FFFFFF" w:val="clear"/>
          </w:tcPr>
          <w:p>
            <w:pPr>
              <w:jc w:val="left"/>
            </w:pPr>
            <w:r/>
            <w:r>
              <w:rPr>
                <w:rFonts w:ascii="Calibri" w:hAnsi="Calibri"/>
                <w:b w:val="0"/>
                <w:color w:val="000000"/>
                <w:sz w:val="16"/>
              </w:rPr>
              <w:t>Same formula (PS1/26 Ch.8.3)</w:t>
            </w:r>
          </w:p>
        </w:tc>
        <w:tc>
          <w:tcPr>
            <w:tcW w:type="dxa" w:w="3456"/>
            <w:shd w:fill="FFFFFF" w:val="clear"/>
          </w:tcPr>
          <w:p>
            <w:pPr>
              <w:jc w:val="left"/>
            </w:pPr>
            <w:r/>
            <w:r>
              <w:rPr>
                <w:rFonts w:ascii="Calibri" w:hAnsi="Calibri"/>
                <w:b w:val="0"/>
                <w:color w:val="000000"/>
                <w:sz w:val="16"/>
              </w:rPr>
              <w:t>Same formula (CRR3 Art 275(2))</w:t>
            </w:r>
          </w:p>
        </w:tc>
      </w:tr>
      <w:tr>
        <w:tc>
          <w:tcPr>
            <w:tcW w:type="dxa" w:w="3456"/>
            <w:shd w:fill="F2F2F2" w:val="clear"/>
          </w:tcPr>
          <w:p>
            <w:pPr>
              <w:jc w:val="left"/>
            </w:pPr>
            <w:r/>
            <w:r>
              <w:rPr>
                <w:rFonts w:ascii="Calibri" w:hAnsi="Calibri"/>
                <w:b/>
                <w:color w:val="000000"/>
                <w:sz w:val="16"/>
              </w:rPr>
              <w:t>PFE Formula</w:t>
            </w:r>
          </w:p>
        </w:tc>
        <w:tc>
          <w:tcPr>
            <w:tcW w:type="dxa" w:w="3456"/>
            <w:shd w:fill="F2F2F2" w:val="clear"/>
          </w:tcPr>
          <w:p>
            <w:pPr>
              <w:jc w:val="left"/>
            </w:pPr>
            <w:r/>
            <w:r>
              <w:rPr>
                <w:rFonts w:ascii="Calibri" w:hAnsi="Calibri"/>
                <w:b w:val="0"/>
                <w:color w:val="000000"/>
                <w:sz w:val="16"/>
              </w:rPr>
              <w:t>PFE = multiplier * AddOnAgg (ERBA NPR §__.114)</w:t>
            </w:r>
          </w:p>
        </w:tc>
        <w:tc>
          <w:tcPr>
            <w:tcW w:type="dxa" w:w="3456"/>
            <w:shd w:fill="F2F2F2" w:val="clear"/>
          </w:tcPr>
          <w:p>
            <w:pPr>
              <w:jc w:val="left"/>
            </w:pPr>
            <w:r/>
            <w:r>
              <w:rPr>
                <w:rFonts w:ascii="Calibri" w:hAnsi="Calibri"/>
                <w:b w:val="0"/>
                <w:color w:val="000000"/>
                <w:sz w:val="16"/>
              </w:rPr>
              <w:t>Same (PS1/26 Ch.8.4)</w:t>
            </w:r>
          </w:p>
        </w:tc>
        <w:tc>
          <w:tcPr>
            <w:tcW w:type="dxa" w:w="3456"/>
            <w:shd w:fill="F2F2F2" w:val="clear"/>
          </w:tcPr>
          <w:p>
            <w:pPr>
              <w:jc w:val="left"/>
            </w:pPr>
            <w:r/>
            <w:r>
              <w:rPr>
                <w:rFonts w:ascii="Calibri" w:hAnsi="Calibri"/>
                <w:b w:val="0"/>
                <w:color w:val="000000"/>
                <w:sz w:val="16"/>
              </w:rPr>
              <w:t>Same (CRR3 Art 278)</w:t>
            </w:r>
          </w:p>
        </w:tc>
      </w:tr>
      <w:tr>
        <w:tc>
          <w:tcPr>
            <w:tcW w:type="dxa" w:w="3456"/>
            <w:shd w:fill="FFFFFF" w:val="clear"/>
          </w:tcPr>
          <w:p>
            <w:pPr>
              <w:jc w:val="left"/>
            </w:pPr>
            <w:r/>
            <w:r>
              <w:rPr>
                <w:rFonts w:ascii="Calibri" w:hAnsi="Calibri"/>
                <w:b/>
                <w:color w:val="000000"/>
                <w:sz w:val="16"/>
              </w:rPr>
              <w:t>Multiplier</w:t>
            </w:r>
          </w:p>
        </w:tc>
        <w:tc>
          <w:tcPr>
            <w:tcW w:type="dxa" w:w="3456"/>
            <w:shd w:fill="FFFFFF" w:val="clear"/>
          </w:tcPr>
          <w:p>
            <w:pPr>
              <w:jc w:val="left"/>
            </w:pPr>
            <w:r/>
            <w:r>
              <w:rPr>
                <w:rFonts w:ascii="Calibri" w:hAnsi="Calibri"/>
                <w:b w:val="0"/>
                <w:color w:val="000000"/>
                <w:sz w:val="16"/>
              </w:rPr>
              <w:t>mult = min(1, 0.05 + 0.95 * exp((V-C) / (1.9 * AddOnAgg))) (ERBA NPR §__.114). floor=5%</w:t>
            </w:r>
          </w:p>
        </w:tc>
        <w:tc>
          <w:tcPr>
            <w:tcW w:type="dxa" w:w="3456"/>
            <w:shd w:fill="FFFFFF" w:val="clear"/>
          </w:tcPr>
          <w:p>
            <w:pPr>
              <w:jc w:val="left"/>
            </w:pPr>
            <w:r/>
            <w:r>
              <w:rPr>
                <w:rFonts w:ascii="Calibri" w:hAnsi="Calibri"/>
                <w:b w:val="0"/>
                <w:color w:val="000000"/>
                <w:sz w:val="16"/>
              </w:rPr>
              <w:t>Same formula, floor=5% (PS1/26 Ch.8.4)</w:t>
            </w:r>
          </w:p>
        </w:tc>
        <w:tc>
          <w:tcPr>
            <w:tcW w:type="dxa" w:w="3456"/>
            <w:shd w:fill="FFFFFF" w:val="clear"/>
          </w:tcPr>
          <w:p>
            <w:pPr>
              <w:jc w:val="left"/>
            </w:pPr>
            <w:r/>
            <w:r>
              <w:rPr>
                <w:rFonts w:ascii="Calibri" w:hAnsi="Calibri"/>
                <w:b w:val="0"/>
                <w:color w:val="000000"/>
                <w:sz w:val="16"/>
              </w:rPr>
              <w:t>Same formula, floor=5% (CRR3 Art 278(1))</w:t>
            </w:r>
          </w:p>
        </w:tc>
      </w:tr>
      <w:tr>
        <w:tc>
          <w:tcPr>
            <w:tcW w:type="dxa" w:w="3456"/>
            <w:shd w:fill="F2F2F2" w:val="clear"/>
          </w:tcPr>
          <w:p>
            <w:pPr>
              <w:jc w:val="left"/>
            </w:pPr>
            <w:r/>
            <w:r>
              <w:rPr>
                <w:rFonts w:ascii="Calibri" w:hAnsi="Calibri"/>
                <w:b/>
                <w:color w:val="000000"/>
                <w:sz w:val="16"/>
              </w:rPr>
              <w:t>Alpha Parameter</w:t>
            </w:r>
          </w:p>
        </w:tc>
        <w:tc>
          <w:tcPr>
            <w:tcW w:type="dxa" w:w="3456"/>
            <w:shd w:fill="F2F2F2" w:val="clear"/>
          </w:tcPr>
          <w:p>
            <w:pPr>
              <w:jc w:val="left"/>
            </w:pPr>
            <w:r/>
            <w:r>
              <w:rPr>
                <w:rFonts w:ascii="Calibri" w:hAnsi="Calibri"/>
                <w:b w:val="0"/>
                <w:color w:val="000000"/>
                <w:sz w:val="16"/>
              </w:rPr>
              <w:t>1.4 unless the counterparty is a commercial end-user; 1.0 for commercial end-users (EAD = RC + PFE) (ERBA NPR §__.114(e)(4); P.110). CRITICAL DIVERGENCE: US bifurcates alpha</w:t>
            </w:r>
          </w:p>
        </w:tc>
        <w:tc>
          <w:tcPr>
            <w:tcW w:type="dxa" w:w="3456"/>
            <w:shd w:fill="F2F2F2" w:val="clear"/>
          </w:tcPr>
          <w:p>
            <w:pPr>
              <w:jc w:val="left"/>
            </w:pPr>
            <w:r/>
            <w:r>
              <w:rPr>
                <w:rFonts w:ascii="Calibri" w:hAnsi="Calibri"/>
                <w:b w:val="0"/>
                <w:color w:val="000000"/>
                <w:sz w:val="16"/>
              </w:rPr>
              <w:t>1.4 for all counterparties (PS1/26 Ch.8.5). No commercial end-user reduction</w:t>
            </w:r>
          </w:p>
        </w:tc>
        <w:tc>
          <w:tcPr>
            <w:tcW w:type="dxa" w:w="3456"/>
            <w:shd w:fill="F2F2F2" w:val="clear"/>
          </w:tcPr>
          <w:p>
            <w:pPr>
              <w:jc w:val="left"/>
            </w:pPr>
            <w:r/>
            <w:r>
              <w:rPr>
                <w:rFonts w:ascii="Calibri" w:hAnsi="Calibri"/>
                <w:b w:val="0"/>
                <w:color w:val="000000"/>
                <w:sz w:val="16"/>
              </w:rPr>
              <w:t>1.4 for all counterparties (CRR3 Art 274(2)). No commercial end-user reduction</w:t>
            </w:r>
          </w:p>
        </w:tc>
      </w:tr>
      <w:tr>
        <w:tc>
          <w:tcPr>
            <w:tcW w:type="dxa" w:w="3456"/>
            <w:shd w:fill="FFFFFF" w:val="clear"/>
          </w:tcPr>
          <w:p>
            <w:pPr>
              <w:jc w:val="left"/>
            </w:pPr>
            <w:r/>
            <w:r>
              <w:rPr>
                <w:rFonts w:ascii="Calibri" w:hAnsi="Calibri"/>
                <w:b/>
                <w:color w:val="000000"/>
                <w:sz w:val="16"/>
              </w:rPr>
              <w:t>EAD Formula</w:t>
            </w:r>
          </w:p>
        </w:tc>
        <w:tc>
          <w:tcPr>
            <w:tcW w:type="dxa" w:w="3456"/>
            <w:shd w:fill="FFFFFF" w:val="clear"/>
          </w:tcPr>
          <w:p>
            <w:pPr>
              <w:jc w:val="left"/>
            </w:pPr>
            <w:r/>
            <w:r>
              <w:rPr>
                <w:rFonts w:ascii="Calibri" w:hAnsi="Calibri"/>
                <w:b w:val="0"/>
                <w:color w:val="000000"/>
                <w:sz w:val="16"/>
              </w:rPr>
              <w:t>EAD = alpha * (RC + PFE) (ERBA NPR §__.114)</w:t>
            </w:r>
          </w:p>
        </w:tc>
        <w:tc>
          <w:tcPr>
            <w:tcW w:type="dxa" w:w="3456"/>
            <w:shd w:fill="FFFFFF" w:val="clear"/>
          </w:tcPr>
          <w:p>
            <w:pPr>
              <w:jc w:val="left"/>
            </w:pPr>
            <w:r/>
            <w:r>
              <w:rPr>
                <w:rFonts w:ascii="Calibri" w:hAnsi="Calibri"/>
                <w:b w:val="0"/>
                <w:color w:val="000000"/>
                <w:sz w:val="16"/>
              </w:rPr>
              <w:t>Same (PS1/26 Ch.8.5)</w:t>
            </w:r>
          </w:p>
        </w:tc>
        <w:tc>
          <w:tcPr>
            <w:tcW w:type="dxa" w:w="3456"/>
            <w:shd w:fill="FFFFFF" w:val="clear"/>
          </w:tcPr>
          <w:p>
            <w:pPr>
              <w:jc w:val="left"/>
            </w:pPr>
            <w:r/>
            <w:r>
              <w:rPr>
                <w:rFonts w:ascii="Calibri" w:hAnsi="Calibri"/>
                <w:b w:val="0"/>
                <w:color w:val="000000"/>
                <w:sz w:val="16"/>
              </w:rPr>
              <w:t>Same (CRR3 Art 274(1))</w:t>
            </w:r>
          </w:p>
        </w:tc>
      </w:tr>
      <w:tr>
        <w:tc>
          <w:tcPr>
            <w:tcW w:type="dxa" w:w="3456"/>
            <w:shd w:fill="F2F2F2" w:val="clear"/>
          </w:tcPr>
          <w:p>
            <w:pPr>
              <w:jc w:val="left"/>
            </w:pPr>
            <w:r/>
            <w:r>
              <w:rPr>
                <w:rFonts w:ascii="Calibri" w:hAnsi="Calibri"/>
                <w:b/>
                <w:color w:val="000000"/>
                <w:sz w:val="16"/>
              </w:rPr>
              <w:t>Cross-Product Netting</w:t>
            </w:r>
          </w:p>
        </w:tc>
        <w:tc>
          <w:tcPr>
            <w:tcW w:type="dxa" w:w="3456"/>
            <w:shd w:fill="F2F2F2" w:val="clear"/>
          </w:tcPr>
          <w:p>
            <w:pPr>
              <w:jc w:val="left"/>
            </w:pPr>
            <w:r/>
            <w:r>
              <w:rPr>
                <w:rFonts w:ascii="Calibri" w:hAnsi="Calibri"/>
                <w:b w:val="0"/>
                <w:color w:val="000000"/>
                <w:sz w:val="16"/>
              </w:rPr>
              <w:t>NEW extended SA-CCR: for a qualifying cross-product master netting agreement covering non-cleared derivatives and repo-style transactions, EAD = (1 - MR) x (EAD_repo haircut approach + EAD_deriv SA-CCR) + MR x EAD_SA-CCR(all), MR = maturity ratio (maturities floored at 10 bd, capped at 1Y); repos treated as forward derivatives (delta +1 / -1) (ERBA NPR §__.113; P.111-116)</w:t>
            </w:r>
          </w:p>
        </w:tc>
        <w:tc>
          <w:tcPr>
            <w:tcW w:type="dxa" w:w="3456"/>
            <w:shd w:fill="F2F2F2" w:val="clear"/>
          </w:tcPr>
          <w:p>
            <w:pPr>
              <w:jc w:val="left"/>
            </w:pPr>
            <w:r/>
            <w:r>
              <w:rPr>
                <w:rFonts w:ascii="Calibri" w:hAnsi="Calibri"/>
                <w:b w:val="0"/>
                <w:color w:val="000000"/>
                <w:sz w:val="16"/>
              </w:rPr>
              <w:t>Allowed per netting agreement (PS1/26 Ch.8.6)</w:t>
            </w:r>
          </w:p>
        </w:tc>
        <w:tc>
          <w:tcPr>
            <w:tcW w:type="dxa" w:w="3456"/>
            <w:shd w:fill="F2F2F2" w:val="clear"/>
          </w:tcPr>
          <w:p>
            <w:pPr>
              <w:jc w:val="left"/>
            </w:pPr>
            <w:r/>
            <w:r>
              <w:rPr>
                <w:rFonts w:ascii="Calibri" w:hAnsi="Calibri"/>
                <w:b w:val="0"/>
                <w:color w:val="000000"/>
                <w:sz w:val="16"/>
              </w:rPr>
              <w:t>Allowed per CRR3 Art 272(4) netting set definition</w:t>
            </w:r>
          </w:p>
        </w:tc>
      </w:tr>
      <w:tr>
        <w:tc>
          <w:tcPr>
            <w:tcW w:type="dxa" w:w="3456"/>
            <w:shd w:fill="FFFFFF" w:val="clear"/>
          </w:tcPr>
          <w:p>
            <w:pPr>
              <w:jc w:val="left"/>
            </w:pPr>
            <w:r/>
            <w:r>
              <w:rPr>
                <w:rFonts w:ascii="Calibri" w:hAnsi="Calibri"/>
                <w:b/>
                <w:color w:val="000000"/>
                <w:sz w:val="16"/>
              </w:rPr>
              <w:t>Netting Set Definition</w:t>
            </w:r>
          </w:p>
        </w:tc>
        <w:tc>
          <w:tcPr>
            <w:tcW w:type="dxa" w:w="3456"/>
            <w:shd w:fill="FFFFFF" w:val="clear"/>
          </w:tcPr>
          <w:p>
            <w:pPr>
              <w:jc w:val="left"/>
            </w:pPr>
            <w:r/>
            <w:r>
              <w:rPr>
                <w:rFonts w:ascii="Calibri" w:hAnsi="Calibri"/>
                <w:b w:val="0"/>
                <w:color w:val="000000"/>
                <w:sz w:val="16"/>
              </w:rPr>
              <w:t>Derivatives under same QMNA with same counterparty; cross-product netting not available for eligible margin loans or cleared transactions (ERBA NPR §__.113; P.115-116)</w:t>
            </w:r>
          </w:p>
        </w:tc>
        <w:tc>
          <w:tcPr>
            <w:tcW w:type="dxa" w:w="3456"/>
            <w:shd w:fill="FFFFFF" w:val="clear"/>
          </w:tcPr>
          <w:p>
            <w:pPr>
              <w:jc w:val="left"/>
            </w:pPr>
            <w:r/>
            <w:r>
              <w:rPr>
                <w:rFonts w:ascii="Calibri" w:hAnsi="Calibri"/>
                <w:b w:val="0"/>
                <w:color w:val="000000"/>
                <w:sz w:val="16"/>
              </w:rPr>
              <w:t>Same legal netting agreement (PS1/26 Ch.8.6)</w:t>
            </w:r>
          </w:p>
        </w:tc>
        <w:tc>
          <w:tcPr>
            <w:tcW w:type="dxa" w:w="3456"/>
            <w:shd w:fill="FFFFFF" w:val="clear"/>
          </w:tcPr>
          <w:p>
            <w:pPr>
              <w:jc w:val="left"/>
            </w:pPr>
            <w:r/>
            <w:r>
              <w:rPr>
                <w:rFonts w:ascii="Calibri" w:hAnsi="Calibri"/>
                <w:b w:val="0"/>
                <w:color w:val="000000"/>
                <w:sz w:val="16"/>
              </w:rPr>
              <w:t>QMNA definition (CRR3 Art 272(4))</w:t>
            </w:r>
          </w:p>
        </w:tc>
      </w:tr>
      <w:tr>
        <w:tc>
          <w:tcPr>
            <w:tcW w:type="dxa" w:w="3456"/>
            <w:shd w:fill="F2F2F2" w:val="clear"/>
          </w:tcPr>
          <w:p>
            <w:pPr>
              <w:jc w:val="left"/>
            </w:pPr>
            <w:r/>
            <w:r>
              <w:rPr>
                <w:rFonts w:ascii="Calibri" w:hAnsi="Calibri"/>
                <w:b/>
                <w:color w:val="000000"/>
                <w:sz w:val="16"/>
              </w:rPr>
              <w:t>MPOR Standard</w:t>
            </w:r>
          </w:p>
        </w:tc>
        <w:tc>
          <w:tcPr>
            <w:tcW w:type="dxa" w:w="3456"/>
            <w:shd w:fill="F2F2F2" w:val="clear"/>
          </w:tcPr>
          <w:p>
            <w:pPr>
              <w:jc w:val="left"/>
            </w:pPr>
            <w:r/>
            <w:r>
              <w:rPr>
                <w:rFonts w:ascii="Calibri" w:hAnsi="Calibri"/>
                <w:b w:val="0"/>
                <w:color w:val="000000"/>
                <w:sz w:val="16"/>
              </w:rPr>
              <w:t>Margined: floor 10 business days (+ remargining periodicity - 1); 5 bd for client-facing cleared transactions; MF = sqrt(1.5 x MPOR / 250). Unmargined: MF = sqrt(min(M, 250)/250), M &gt;= 10 bd (ERBA NPR §__.114)</w:t>
            </w:r>
          </w:p>
        </w:tc>
        <w:tc>
          <w:tcPr>
            <w:tcW w:type="dxa" w:w="3456"/>
            <w:shd w:fill="F2F2F2" w:val="clear"/>
          </w:tcPr>
          <w:p>
            <w:pPr>
              <w:jc w:val="left"/>
            </w:pPr>
            <w:r/>
            <w:r>
              <w:rPr>
                <w:rFonts w:ascii="Calibri" w:hAnsi="Calibri"/>
                <w:b w:val="0"/>
                <w:color w:val="000000"/>
                <w:sz w:val="16"/>
              </w:rPr>
              <w:t>10 days (PS1/26 Ch.8.7)</w:t>
            </w:r>
          </w:p>
        </w:tc>
        <w:tc>
          <w:tcPr>
            <w:tcW w:type="dxa" w:w="3456"/>
            <w:shd w:fill="F2F2F2" w:val="clear"/>
          </w:tcPr>
          <w:p>
            <w:pPr>
              <w:jc w:val="left"/>
            </w:pPr>
            <w:r/>
            <w:r>
              <w:rPr>
                <w:rFonts w:ascii="Calibri" w:hAnsi="Calibri"/>
                <w:b w:val="0"/>
                <w:color w:val="000000"/>
                <w:sz w:val="16"/>
              </w:rPr>
              <w:t>10 days (CRR3 Art 285(2))</w:t>
            </w:r>
          </w:p>
        </w:tc>
      </w:tr>
      <w:tr>
        <w:tc>
          <w:tcPr>
            <w:tcW w:type="dxa" w:w="3456"/>
            <w:shd w:fill="FFFFFF" w:val="clear"/>
          </w:tcPr>
          <w:p>
            <w:pPr>
              <w:jc w:val="left"/>
            </w:pPr>
            <w:r/>
            <w:r>
              <w:rPr>
                <w:rFonts w:ascii="Calibri" w:hAnsi="Calibri"/>
                <w:b/>
                <w:color w:val="000000"/>
                <w:sz w:val="16"/>
              </w:rPr>
              <w:t>MPOR Disputed Trades</w:t>
            </w:r>
          </w:p>
        </w:tc>
        <w:tc>
          <w:tcPr>
            <w:tcW w:type="dxa" w:w="3456"/>
            <w:shd w:fill="FFFFFF" w:val="clear"/>
          </w:tcPr>
          <w:p>
            <w:pPr>
              <w:jc w:val="left"/>
            </w:pPr>
            <w:r/>
            <w:r>
              <w:rPr>
                <w:rFonts w:ascii="Calibri" w:hAnsi="Calibri"/>
                <w:b w:val="0"/>
                <w:color w:val="000000"/>
                <w:sz w:val="16"/>
              </w:rPr>
              <w:t>20 business days for netting sets with &gt; 5,000 non-cleared trades or illiquid collateral; MPOR doubled if &gt; 2 margin disputes in prior two quarters (ERBA NPR §__.114)</w:t>
            </w:r>
          </w:p>
        </w:tc>
        <w:tc>
          <w:tcPr>
            <w:tcW w:type="dxa" w:w="3456"/>
            <w:shd w:fill="FFFFFF" w:val="clear"/>
          </w:tcPr>
          <w:p>
            <w:pPr>
              <w:jc w:val="left"/>
            </w:pPr>
            <w:r/>
            <w:r>
              <w:rPr>
                <w:rFonts w:ascii="Calibri" w:hAnsi="Calibri"/>
                <w:b w:val="0"/>
                <w:color w:val="000000"/>
                <w:sz w:val="16"/>
              </w:rPr>
              <w:t>20 days (PS1/26 Ch.8.7)</w:t>
            </w:r>
          </w:p>
        </w:tc>
        <w:tc>
          <w:tcPr>
            <w:tcW w:type="dxa" w:w="3456"/>
            <w:shd w:fill="FFFFFF" w:val="clear"/>
          </w:tcPr>
          <w:p>
            <w:pPr>
              <w:jc w:val="left"/>
            </w:pPr>
            <w:r/>
            <w:r>
              <w:rPr>
                <w:rFonts w:ascii="Calibri" w:hAnsi="Calibri"/>
                <w:b w:val="0"/>
                <w:color w:val="000000"/>
                <w:sz w:val="16"/>
              </w:rPr>
              <w:t>20 days (CRR3 Art 285(2)(c))</w:t>
            </w:r>
          </w:p>
        </w:tc>
      </w:tr>
    </w:tbl>
    <w:p>
      <w:r>
        <w:br w:type="page"/>
      </w:r>
    </w:p>
    <w:p>
      <w:r>
        <w:rPr>
          <w:rFonts w:ascii="Calibri" w:hAnsi="Calibri"/>
          <w:b/>
          <w:color w:val="C8962E"/>
          <w:sz w:val="28"/>
        </w:rPr>
        <w:t>SECTION 10</w:t>
      </w:r>
    </w:p>
    <w:p>
      <w:r>
        <w:rPr>
          <w:rFonts w:ascii="Calibri" w:hAnsi="Calibri"/>
          <w:b/>
          <w:color w:val="002060"/>
          <w:sz w:val="32"/>
        </w:rPr>
        <w:t>CVA Risk: BA-CVA, SA-CVA &amp; Exemptions</w:t>
      </w:r>
    </w:p>
    <w:p>
      <w:r>
        <w:rPr>
          <w:color w:val="C8962E"/>
          <w:sz w:val="12"/>
        </w:rPr>
        <w:t>________________________________________________________________________________________________________________________</w:t>
      </w:r>
    </w:p>
    <w:p>
      <w:r>
        <w:rPr>
          <w:rFonts w:ascii="Calibri" w:hAnsi="Calibri"/>
          <w:b/>
          <w:color w:val="002060"/>
          <w:sz w:val="22"/>
        </w:rPr>
        <w:t>10.1 BA-CVA: Basic Approach</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BA-CVA Availability</w:t>
            </w:r>
          </w:p>
        </w:tc>
        <w:tc>
          <w:tcPr>
            <w:tcW w:type="dxa" w:w="3456"/>
            <w:shd w:fill="F2F2F2" w:val="clear"/>
          </w:tcPr>
          <w:p>
            <w:pPr>
              <w:jc w:val="left"/>
            </w:pPr>
            <w:r/>
            <w:r>
              <w:rPr>
                <w:rFonts w:ascii="Calibri" w:hAnsi="Calibri"/>
                <w:b w:val="0"/>
                <w:color w:val="000000"/>
                <w:sz w:val="16"/>
              </w:rPr>
              <w:t>Basic measure is the default for all CVA banks; scope = Cat I/II HCs, their market-risk DI subsidiaries, and market-risk banks with &gt;= $1T OTC notional (ERBA NPR §__.201, §__.220)</w:t>
            </w:r>
          </w:p>
        </w:tc>
        <w:tc>
          <w:tcPr>
            <w:tcW w:type="dxa" w:w="3456"/>
            <w:shd w:fill="F2F2F2" w:val="clear"/>
          </w:tcPr>
          <w:p>
            <w:pPr>
              <w:jc w:val="left"/>
            </w:pPr>
            <w:r/>
            <w:r>
              <w:rPr>
                <w:rFonts w:ascii="Calibri" w:hAnsi="Calibri"/>
                <w:b w:val="0"/>
                <w:color w:val="000000"/>
                <w:sz w:val="16"/>
              </w:rPr>
              <w:t>Available (PS1/26 Ch.9)</w:t>
            </w:r>
          </w:p>
        </w:tc>
        <w:tc>
          <w:tcPr>
            <w:tcW w:type="dxa" w:w="3456"/>
            <w:shd w:fill="F2F2F2" w:val="clear"/>
          </w:tcPr>
          <w:p>
            <w:pPr>
              <w:jc w:val="left"/>
            </w:pPr>
            <w:r/>
            <w:r>
              <w:rPr>
                <w:rFonts w:ascii="Calibri" w:hAnsi="Calibri"/>
                <w:b w:val="0"/>
                <w:color w:val="000000"/>
                <w:sz w:val="16"/>
              </w:rPr>
              <w:t>Available (CRR3 Art 382a)</w:t>
            </w:r>
          </w:p>
        </w:tc>
      </w:tr>
      <w:tr>
        <w:tc>
          <w:tcPr>
            <w:tcW w:type="dxa" w:w="3456"/>
            <w:shd w:fill="FFFFFF" w:val="clear"/>
          </w:tcPr>
          <w:p>
            <w:pPr>
              <w:jc w:val="left"/>
            </w:pPr>
            <w:r/>
            <w:r>
              <w:rPr>
                <w:rFonts w:ascii="Calibri" w:hAnsi="Calibri"/>
                <w:b/>
                <w:color w:val="000000"/>
                <w:sz w:val="16"/>
              </w:rPr>
              <w:t>BA-CVA Reduced Version</w:t>
            </w:r>
          </w:p>
        </w:tc>
        <w:tc>
          <w:tcPr>
            <w:tcW w:type="dxa" w:w="3456"/>
            <w:shd w:fill="FFFFFF" w:val="clear"/>
          </w:tcPr>
          <w:p>
            <w:pPr>
              <w:jc w:val="left"/>
            </w:pPr>
            <w:r/>
            <w:r>
              <w:rPr>
                <w:rFonts w:ascii="Calibri" w:hAnsi="Calibri"/>
                <w:b w:val="0"/>
                <w:color w:val="000000"/>
                <w:sz w:val="16"/>
              </w:rPr>
              <w:t>With no eligible hedges K_hedged = K_unhedged so K = 0.65 x K_unhedged; K_unhedged = sqrt((rho sum SCVA_c)^2 + (1 - rho^2) sum SCVA_c^2), rho = 50% (ERBA NPR §__.222; P.457)</w:t>
            </w:r>
          </w:p>
        </w:tc>
        <w:tc>
          <w:tcPr>
            <w:tcW w:type="dxa" w:w="3456"/>
            <w:shd w:fill="FFFFFF" w:val="clear"/>
          </w:tcPr>
          <w:p>
            <w:pPr>
              <w:jc w:val="left"/>
            </w:pPr>
            <w:r/>
            <w:r>
              <w:rPr>
                <w:rFonts w:ascii="Calibri" w:hAnsi="Calibri"/>
                <w:b w:val="0"/>
                <w:color w:val="000000"/>
                <w:sz w:val="16"/>
              </w:rPr>
              <w:t>Available (PS1/26 Ch.9.1)</w:t>
            </w:r>
          </w:p>
        </w:tc>
        <w:tc>
          <w:tcPr>
            <w:tcW w:type="dxa" w:w="3456"/>
            <w:shd w:fill="FFFFFF" w:val="clear"/>
          </w:tcPr>
          <w:p>
            <w:pPr>
              <w:jc w:val="left"/>
            </w:pPr>
            <w:r/>
            <w:r>
              <w:rPr>
                <w:rFonts w:ascii="Calibri" w:hAnsi="Calibri"/>
                <w:b w:val="0"/>
                <w:color w:val="000000"/>
                <w:sz w:val="16"/>
              </w:rPr>
              <w:t>Available (CRR3 Art 385)</w:t>
            </w:r>
          </w:p>
        </w:tc>
      </w:tr>
      <w:tr>
        <w:tc>
          <w:tcPr>
            <w:tcW w:type="dxa" w:w="3456"/>
            <w:shd w:fill="F2F2F2" w:val="clear"/>
          </w:tcPr>
          <w:p>
            <w:pPr>
              <w:jc w:val="left"/>
            </w:pPr>
            <w:r/>
            <w:r>
              <w:rPr>
                <w:rFonts w:ascii="Calibri" w:hAnsi="Calibri"/>
                <w:b/>
                <w:color w:val="000000"/>
                <w:sz w:val="16"/>
              </w:rPr>
              <w:t>BA-CVA Full Version</w:t>
            </w:r>
          </w:p>
        </w:tc>
        <w:tc>
          <w:tcPr>
            <w:tcW w:type="dxa" w:w="3456"/>
            <w:shd w:fill="F2F2F2" w:val="clear"/>
          </w:tcPr>
          <w:p>
            <w:pPr>
              <w:jc w:val="left"/>
            </w:pPr>
            <w:r/>
            <w:r>
              <w:rPr>
                <w:rFonts w:ascii="Calibri" w:hAnsi="Calibri"/>
                <w:b w:val="0"/>
                <w:color w:val="000000"/>
                <w:sz w:val="16"/>
              </w:rPr>
              <w:t>K = 0.65 x (0.25 K_unhedged + 0.75 K_hedged). Eligible hedges: index CDS, single-name CDS and single-name contingent CDS, INCLUDING indirect single-name hedges (r = 100% direct / 80% affiliate / 50% same sector &amp; region); index hedge RW = Table 1 x 0.7 (ERBA NPR §__.222; P.443, P.464-467)</w:t>
            </w:r>
          </w:p>
        </w:tc>
        <w:tc>
          <w:tcPr>
            <w:tcW w:type="dxa" w:w="3456"/>
            <w:shd w:fill="F2F2F2" w:val="clear"/>
          </w:tcPr>
          <w:p>
            <w:pPr>
              <w:jc w:val="left"/>
            </w:pPr>
            <w:r/>
            <w:r>
              <w:rPr>
                <w:rFonts w:ascii="Calibri" w:hAnsi="Calibri"/>
                <w:b w:val="0"/>
                <w:color w:val="000000"/>
                <w:sz w:val="16"/>
              </w:rPr>
              <w:t>Recognizes single-name + index hedges (PS1/26 Ch.9.1)</w:t>
            </w:r>
          </w:p>
        </w:tc>
        <w:tc>
          <w:tcPr>
            <w:tcW w:type="dxa" w:w="3456"/>
            <w:shd w:fill="F2F2F2" w:val="clear"/>
          </w:tcPr>
          <w:p>
            <w:pPr>
              <w:jc w:val="left"/>
            </w:pPr>
            <w:r/>
            <w:r>
              <w:rPr>
                <w:rFonts w:ascii="Calibri" w:hAnsi="Calibri"/>
                <w:b w:val="0"/>
                <w:color w:val="000000"/>
                <w:sz w:val="16"/>
              </w:rPr>
              <w:t>Recognizes single-name + index hedges (CRR3 Art 386)</w:t>
            </w:r>
          </w:p>
        </w:tc>
      </w:tr>
      <w:tr>
        <w:tc>
          <w:tcPr>
            <w:tcW w:type="dxa" w:w="3456"/>
            <w:shd w:fill="FFFFFF" w:val="clear"/>
          </w:tcPr>
          <w:p>
            <w:pPr>
              <w:jc w:val="left"/>
            </w:pPr>
            <w:r/>
            <w:r>
              <w:rPr>
                <w:rFonts w:ascii="Calibri" w:hAnsi="Calibri"/>
                <w:b/>
                <w:color w:val="000000"/>
                <w:sz w:val="16"/>
              </w:rPr>
              <w:t>Beta (Hedging Discount)</w:t>
            </w:r>
          </w:p>
        </w:tc>
        <w:tc>
          <w:tcPr>
            <w:tcW w:type="dxa" w:w="3456"/>
            <w:shd w:fill="FFFFFF" w:val="clear"/>
          </w:tcPr>
          <w:p>
            <w:pPr>
              <w:jc w:val="left"/>
            </w:pPr>
            <w:r/>
            <w:r>
              <w:rPr>
                <w:rFonts w:ascii="Calibri" w:hAnsi="Calibri"/>
                <w:b w:val="0"/>
                <w:color w:val="000000"/>
                <w:sz w:val="16"/>
              </w:rPr>
              <w:t>beta = 0.25 weight on K_unhedged (hedge effectiveness capped at 75%); 0.65 overall calibration scalar; SCVA_c = (1/alpha) x RW_c x sum(M x EAD x DF), alpha = 1.4 (1.0 commercial end-users) (ERBA NPR §__.222; P.456-457)</w:t>
            </w:r>
          </w:p>
        </w:tc>
        <w:tc>
          <w:tcPr>
            <w:tcW w:type="dxa" w:w="3456"/>
            <w:shd w:fill="FFFFFF" w:val="clear"/>
          </w:tcPr>
          <w:p>
            <w:pPr>
              <w:jc w:val="left"/>
            </w:pPr>
            <w:r/>
            <w:r>
              <w:rPr>
                <w:rFonts w:ascii="Calibri" w:hAnsi="Calibri"/>
                <w:b w:val="0"/>
                <w:color w:val="000000"/>
                <w:sz w:val="16"/>
              </w:rPr>
              <w:t>beta = 0.65 (PS1/26 Ch.9.1)</w:t>
            </w:r>
          </w:p>
        </w:tc>
        <w:tc>
          <w:tcPr>
            <w:tcW w:type="dxa" w:w="3456"/>
            <w:shd w:fill="FFFFFF" w:val="clear"/>
          </w:tcPr>
          <w:p>
            <w:pPr>
              <w:jc w:val="left"/>
            </w:pPr>
            <w:r/>
            <w:r>
              <w:rPr>
                <w:rFonts w:ascii="Calibri" w:hAnsi="Calibri"/>
                <w:b w:val="0"/>
                <w:color w:val="000000"/>
                <w:sz w:val="16"/>
              </w:rPr>
              <w:t>beta = 0.65 (CRR3 Art 385(2))</w:t>
            </w:r>
          </w:p>
        </w:tc>
      </w:tr>
      <w:tr>
        <w:tc>
          <w:tcPr>
            <w:tcW w:type="dxa" w:w="3456"/>
            <w:shd w:fill="F2F2F2" w:val="clear"/>
          </w:tcPr>
          <w:p>
            <w:pPr>
              <w:jc w:val="left"/>
            </w:pPr>
            <w:r/>
            <w:r>
              <w:rPr>
                <w:rFonts w:ascii="Calibri" w:hAnsi="Calibri"/>
                <w:b/>
                <w:color w:val="000000"/>
                <w:sz w:val="16"/>
              </w:rPr>
              <w:t>RW by CQS (IG)</w:t>
            </w:r>
          </w:p>
        </w:tc>
        <w:tc>
          <w:tcPr>
            <w:tcW w:type="dxa" w:w="3456"/>
            <w:shd w:fill="F2F2F2" w:val="clear"/>
          </w:tcPr>
          <w:p>
            <w:pPr>
              <w:jc w:val="left"/>
            </w:pPr>
            <w:r/>
            <w:r>
              <w:rPr>
                <w:rFonts w:ascii="Calibri" w:hAnsi="Calibri"/>
                <w:b w:val="0"/>
                <w:color w:val="000000"/>
                <w:sz w:val="16"/>
              </w:rPr>
              <w:t>No ratings: RW by sector x credit quality. IG: sovereigns/MDB 0.5%; PSE/GSE/education 1.0%; financials 5.0%; basic materials/energy/industrials 3.0%; consumer/transport 3.0%; tech/telecom 2.0%; health/utilities 1.5%; other 5.0% (Table 1 to §__.222)</w:t>
            </w:r>
          </w:p>
        </w:tc>
        <w:tc>
          <w:tcPr>
            <w:tcW w:type="dxa" w:w="3456"/>
            <w:shd w:fill="F2F2F2" w:val="clear"/>
          </w:tcPr>
          <w:p>
            <w:pPr>
              <w:jc w:val="left"/>
            </w:pPr>
            <w:r/>
            <w:r>
              <w:rPr>
                <w:rFonts w:ascii="Calibri" w:hAnsi="Calibri"/>
                <w:b w:val="0"/>
                <w:color w:val="000000"/>
                <w:sz w:val="16"/>
              </w:rPr>
              <w:t>Same RWs (PS1/26 Ch.9 Table 9.1)</w:t>
            </w:r>
          </w:p>
        </w:tc>
        <w:tc>
          <w:tcPr>
            <w:tcW w:type="dxa" w:w="3456"/>
            <w:shd w:fill="F2F2F2" w:val="clear"/>
          </w:tcPr>
          <w:p>
            <w:pPr>
              <w:jc w:val="left"/>
            </w:pPr>
            <w:r/>
            <w:r>
              <w:rPr>
                <w:rFonts w:ascii="Calibri" w:hAnsi="Calibri"/>
                <w:b w:val="0"/>
                <w:color w:val="000000"/>
                <w:sz w:val="16"/>
              </w:rPr>
              <w:t>Same RWs (CRR3 Art 383(2) Table 1)</w:t>
            </w:r>
          </w:p>
        </w:tc>
      </w:tr>
      <w:tr>
        <w:tc>
          <w:tcPr>
            <w:tcW w:type="dxa" w:w="3456"/>
            <w:shd w:fill="FFFFFF" w:val="clear"/>
          </w:tcPr>
          <w:p>
            <w:pPr>
              <w:jc w:val="left"/>
            </w:pPr>
            <w:r/>
            <w:r>
              <w:rPr>
                <w:rFonts w:ascii="Calibri" w:hAnsi="Calibri"/>
                <w:b/>
                <w:color w:val="000000"/>
                <w:sz w:val="16"/>
              </w:rPr>
              <w:t>RW by CQS (HY)</w:t>
            </w:r>
          </w:p>
        </w:tc>
        <w:tc>
          <w:tcPr>
            <w:tcW w:type="dxa" w:w="3456"/>
            <w:shd w:fill="FFFFFF" w:val="clear"/>
          </w:tcPr>
          <w:p>
            <w:pPr>
              <w:jc w:val="left"/>
            </w:pPr>
            <w:r/>
            <w:r>
              <w:rPr>
                <w:rFonts w:ascii="Calibri" w:hAnsi="Calibri"/>
                <w:b w:val="0"/>
                <w:color w:val="000000"/>
                <w:sz w:val="16"/>
              </w:rPr>
              <w:t>Speculative / sub-speculative: sovereigns 3.0% / 7.0%; PSE 4.0%; financials 12.0%; basic materials 7.0%; consumer 8.5%; tech 5.5%; health 5.0%; other 12.0% (Table 1 to §__.222)</w:t>
            </w:r>
          </w:p>
        </w:tc>
        <w:tc>
          <w:tcPr>
            <w:tcW w:type="dxa" w:w="3456"/>
            <w:shd w:fill="FFFFFF" w:val="clear"/>
          </w:tcPr>
          <w:p>
            <w:pPr>
              <w:jc w:val="left"/>
            </w:pPr>
            <w:r/>
            <w:r>
              <w:rPr>
                <w:rFonts w:ascii="Calibri" w:hAnsi="Calibri"/>
                <w:b w:val="0"/>
                <w:color w:val="000000"/>
                <w:sz w:val="16"/>
              </w:rPr>
              <w:t>Same RWs (PS1/26 Ch.9 Table 9.1)</w:t>
            </w:r>
          </w:p>
        </w:tc>
        <w:tc>
          <w:tcPr>
            <w:tcW w:type="dxa" w:w="3456"/>
            <w:shd w:fill="FFFFFF" w:val="clear"/>
          </w:tcPr>
          <w:p>
            <w:pPr>
              <w:jc w:val="left"/>
            </w:pPr>
            <w:r/>
            <w:r>
              <w:rPr>
                <w:rFonts w:ascii="Calibri" w:hAnsi="Calibri"/>
                <w:b w:val="0"/>
                <w:color w:val="000000"/>
                <w:sz w:val="16"/>
              </w:rPr>
              <w:t>Same RWs (CRR3 Art 383(2) Table 1)</w:t>
            </w:r>
          </w:p>
        </w:tc>
      </w:tr>
      <w:tr>
        <w:tc>
          <w:tcPr>
            <w:tcW w:type="dxa" w:w="3456"/>
            <w:shd w:fill="F2F2F2" w:val="clear"/>
          </w:tcPr>
          <w:p>
            <w:pPr>
              <w:jc w:val="left"/>
            </w:pPr>
            <w:r/>
            <w:r>
              <w:rPr>
                <w:rFonts w:ascii="Calibri" w:hAnsi="Calibri"/>
                <w:b/>
                <w:color w:val="000000"/>
                <w:sz w:val="16"/>
              </w:rPr>
              <w:t>Discount Factor</w:t>
            </w:r>
          </w:p>
        </w:tc>
        <w:tc>
          <w:tcPr>
            <w:tcW w:type="dxa" w:w="3456"/>
            <w:shd w:fill="F2F2F2" w:val="clear"/>
          </w:tcPr>
          <w:p>
            <w:pPr>
              <w:jc w:val="left"/>
            </w:pPr>
            <w:r/>
            <w:r>
              <w:rPr>
                <w:rFonts w:ascii="Calibri" w:hAnsi="Calibri"/>
                <w:b w:val="0"/>
                <w:color w:val="000000"/>
                <w:sz w:val="16"/>
              </w:rPr>
              <w:t>DF = (1-exp(-0.05*M))/(0.05*M), M = notional-weighted average remaining maturity (ERBA NPR §__.222)</w:t>
            </w:r>
          </w:p>
        </w:tc>
        <w:tc>
          <w:tcPr>
            <w:tcW w:type="dxa" w:w="3456"/>
            <w:shd w:fill="F2F2F2" w:val="clear"/>
          </w:tcPr>
          <w:p>
            <w:pPr>
              <w:jc w:val="left"/>
            </w:pPr>
            <w:r/>
            <w:r>
              <w:rPr>
                <w:rFonts w:ascii="Calibri" w:hAnsi="Calibri"/>
                <w:b w:val="0"/>
                <w:color w:val="000000"/>
                <w:sz w:val="16"/>
              </w:rPr>
              <w:t>Same formula (PS1/26 Ch.9.2)</w:t>
            </w:r>
          </w:p>
        </w:tc>
        <w:tc>
          <w:tcPr>
            <w:tcW w:type="dxa" w:w="3456"/>
            <w:shd w:fill="F2F2F2" w:val="clear"/>
          </w:tcPr>
          <w:p>
            <w:pPr>
              <w:jc w:val="left"/>
            </w:pPr>
            <w:r/>
            <w:r>
              <w:rPr>
                <w:rFonts w:ascii="Calibri" w:hAnsi="Calibri"/>
                <w:b w:val="0"/>
                <w:color w:val="000000"/>
                <w:sz w:val="16"/>
              </w:rPr>
              <w:t>Same formula (CRR3 Art 383(3))</w:t>
            </w:r>
          </w:p>
        </w:tc>
      </w:tr>
    </w:tbl>
    <w:p>
      <w:r>
        <w:rPr>
          <w:rFonts w:ascii="Calibri" w:hAnsi="Calibri"/>
          <w:b/>
          <w:color w:val="002060"/>
          <w:sz w:val="22"/>
        </w:rPr>
        <w:t>10.2 SA-CVA: Standardized Approach</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SA-CVA Availability</w:t>
            </w:r>
          </w:p>
        </w:tc>
        <w:tc>
          <w:tcPr>
            <w:tcW w:type="dxa" w:w="3456"/>
            <w:shd w:fill="F2F2F2" w:val="clear"/>
          </w:tcPr>
          <w:p>
            <w:pPr>
              <w:jc w:val="left"/>
            </w:pPr>
            <w:r/>
            <w:r>
              <w:rPr>
                <w:rFonts w:ascii="Calibri" w:hAnsi="Calibri"/>
                <w:b w:val="0"/>
                <w:color w:val="000000"/>
                <w:sz w:val="16"/>
              </w:rPr>
              <w:t>Available with primary Federal supervisor approval (standardized measure = SA-CVA plus BA-CVA for carve-outs); m_CVA = 1.0 (agency may increase); hedging disallowance R = 0.01; MPoR &gt;= 9 + N business days (ERBA NPR §__.220, §__.224)</w:t>
            </w:r>
          </w:p>
        </w:tc>
        <w:tc>
          <w:tcPr>
            <w:tcW w:type="dxa" w:w="3456"/>
            <w:shd w:fill="F2F2F2" w:val="clear"/>
          </w:tcPr>
          <w:p>
            <w:pPr>
              <w:jc w:val="left"/>
            </w:pPr>
            <w:r/>
            <w:r>
              <w:rPr>
                <w:rFonts w:ascii="Calibri" w:hAnsi="Calibri"/>
                <w:b w:val="0"/>
                <w:color w:val="000000"/>
                <w:sz w:val="16"/>
              </w:rPr>
              <w:t>Available with PRA approval (PS1/26 Ch.9.3)</w:t>
            </w:r>
          </w:p>
        </w:tc>
        <w:tc>
          <w:tcPr>
            <w:tcW w:type="dxa" w:w="3456"/>
            <w:shd w:fill="F2F2F2" w:val="clear"/>
          </w:tcPr>
          <w:p>
            <w:pPr>
              <w:jc w:val="left"/>
            </w:pPr>
            <w:r/>
            <w:r>
              <w:rPr>
                <w:rFonts w:ascii="Calibri" w:hAnsi="Calibri"/>
                <w:b w:val="0"/>
                <w:color w:val="000000"/>
                <w:sz w:val="16"/>
              </w:rPr>
              <w:t>Available with NCA approval (CRR3 Art 383a)</w:t>
            </w:r>
          </w:p>
        </w:tc>
      </w:tr>
      <w:tr>
        <w:tc>
          <w:tcPr>
            <w:tcW w:type="dxa" w:w="3456"/>
            <w:shd w:fill="FFFFFF" w:val="clear"/>
          </w:tcPr>
          <w:p>
            <w:pPr>
              <w:jc w:val="left"/>
            </w:pPr>
            <w:r/>
            <w:r>
              <w:rPr>
                <w:rFonts w:ascii="Calibri" w:hAnsi="Calibri"/>
                <w:b/>
                <w:color w:val="000000"/>
                <w:sz w:val="16"/>
              </w:rPr>
              <w:t>SA-CVA Structure</w:t>
            </w:r>
          </w:p>
        </w:tc>
        <w:tc>
          <w:tcPr>
            <w:tcW w:type="dxa" w:w="3456"/>
            <w:shd w:fill="FFFFFF" w:val="clear"/>
          </w:tcPr>
          <w:p>
            <w:pPr>
              <w:jc w:val="left"/>
            </w:pPr>
            <w:r/>
            <w:r>
              <w:rPr>
                <w:rFonts w:ascii="Calibri" w:hAnsi="Calibri"/>
                <w:b w:val="0"/>
                <w:color w:val="000000"/>
                <w:sz w:val="16"/>
              </w:rPr>
              <w:t>Delta: 6 risk classes (IR, FX, counterparty credit spread, reference credit spread, equity, commodity); vega: 5 (no counterparty CS); K_b = sqrt(sum WS^2 + sum rho WS WS + R sum (WS_hedge)^2); cross-bucket S_b capped (ERBA NPR §__.224)</w:t>
            </w:r>
          </w:p>
        </w:tc>
        <w:tc>
          <w:tcPr>
            <w:tcW w:type="dxa" w:w="3456"/>
            <w:shd w:fill="FFFFFF" w:val="clear"/>
          </w:tcPr>
          <w:p>
            <w:pPr>
              <w:jc w:val="left"/>
            </w:pPr>
            <w:r/>
            <w:r>
              <w:rPr>
                <w:rFonts w:ascii="Calibri" w:hAnsi="Calibri"/>
                <w:b w:val="0"/>
                <w:color w:val="000000"/>
                <w:sz w:val="16"/>
              </w:rPr>
              <w:t>Delta + vega (PS1/26 Ch.9.3)</w:t>
            </w:r>
          </w:p>
        </w:tc>
        <w:tc>
          <w:tcPr>
            <w:tcW w:type="dxa" w:w="3456"/>
            <w:shd w:fill="FFFFFF" w:val="clear"/>
          </w:tcPr>
          <w:p>
            <w:pPr>
              <w:jc w:val="left"/>
            </w:pPr>
            <w:r/>
            <w:r>
              <w:rPr>
                <w:rFonts w:ascii="Calibri" w:hAnsi="Calibri"/>
                <w:b w:val="0"/>
                <w:color w:val="000000"/>
                <w:sz w:val="16"/>
              </w:rPr>
              <w:t>Delta + vega (CRR3 Art 383a-383o)</w:t>
            </w:r>
          </w:p>
        </w:tc>
      </w:tr>
      <w:tr>
        <w:tc>
          <w:tcPr>
            <w:tcW w:type="dxa" w:w="3456"/>
            <w:shd w:fill="F2F2F2" w:val="clear"/>
          </w:tcPr>
          <w:p>
            <w:pPr>
              <w:jc w:val="left"/>
            </w:pPr>
            <w:r/>
            <w:r>
              <w:rPr>
                <w:rFonts w:ascii="Calibri" w:hAnsi="Calibri"/>
                <w:b/>
                <w:color w:val="000000"/>
                <w:sz w:val="16"/>
              </w:rPr>
              <w:t>Interest Rate Buckets</w:t>
            </w:r>
          </w:p>
        </w:tc>
        <w:tc>
          <w:tcPr>
            <w:tcW w:type="dxa" w:w="3456"/>
            <w:shd w:fill="F2F2F2" w:val="clear"/>
          </w:tcPr>
          <w:p>
            <w:pPr>
              <w:jc w:val="left"/>
            </w:pPr>
            <w:r/>
            <w:r>
              <w:rPr>
                <w:rFonts w:ascii="Calibri" w:hAnsi="Calibri"/>
                <w:b w:val="0"/>
                <w:color w:val="000000"/>
                <w:sz w:val="16"/>
              </w:rPr>
              <w:t>Per currency; specified currencies (USD, AUD, CAD, EUR, JPY, SEK, GBP) tenors 1/2/5/10/30Y RW 1.11/0.93/0.74/0.74/0.74% + inflation 1.11%; other currencies parallel shift 1.58%; gamma 50% (ERBA NPR §__.224)</w:t>
            </w:r>
          </w:p>
        </w:tc>
        <w:tc>
          <w:tcPr>
            <w:tcW w:type="dxa" w:w="3456"/>
            <w:shd w:fill="F2F2F2" w:val="clear"/>
          </w:tcPr>
          <w:p>
            <w:pPr>
              <w:jc w:val="left"/>
            </w:pPr>
            <w:r/>
            <w:r>
              <w:rPr>
                <w:rFonts w:ascii="Calibri" w:hAnsi="Calibri"/>
                <w:b w:val="0"/>
                <w:color w:val="000000"/>
                <w:sz w:val="16"/>
              </w:rPr>
              <w:t>Per currency (PS1/26 Ch.9.3)</w:t>
            </w:r>
          </w:p>
        </w:tc>
        <w:tc>
          <w:tcPr>
            <w:tcW w:type="dxa" w:w="3456"/>
            <w:shd w:fill="F2F2F2" w:val="clear"/>
          </w:tcPr>
          <w:p>
            <w:pPr>
              <w:jc w:val="left"/>
            </w:pPr>
            <w:r/>
            <w:r>
              <w:rPr>
                <w:rFonts w:ascii="Calibri" w:hAnsi="Calibri"/>
                <w:b w:val="0"/>
                <w:color w:val="000000"/>
                <w:sz w:val="16"/>
              </w:rPr>
              <w:t>Per currency (CRR3 Art 383e)</w:t>
            </w:r>
          </w:p>
        </w:tc>
      </w:tr>
      <w:tr>
        <w:tc>
          <w:tcPr>
            <w:tcW w:type="dxa" w:w="3456"/>
            <w:shd w:fill="FFFFFF" w:val="clear"/>
          </w:tcPr>
          <w:p>
            <w:pPr>
              <w:jc w:val="left"/>
            </w:pPr>
            <w:r/>
            <w:r>
              <w:rPr>
                <w:rFonts w:ascii="Calibri" w:hAnsi="Calibri"/>
                <w:b/>
                <w:color w:val="000000"/>
                <w:sz w:val="16"/>
              </w:rPr>
              <w:t>Credit Spread Buckets</w:t>
            </w:r>
          </w:p>
        </w:tc>
        <w:tc>
          <w:tcPr>
            <w:tcW w:type="dxa" w:w="3456"/>
            <w:shd w:fill="FFFFFF" w:val="clear"/>
          </w:tcPr>
          <w:p>
            <w:pPr>
              <w:jc w:val="left"/>
            </w:pPr>
            <w:r/>
            <w:r>
              <w:rPr>
                <w:rFonts w:ascii="Calibri" w:hAnsi="Calibri"/>
                <w:b w:val="0"/>
                <w:color w:val="000000"/>
                <w:sz w:val="16"/>
              </w:rPr>
              <w:t>Counterparty CS: 8 buckets (sovereign/PSE/gov-backed merged; financials; basic materials; consumer; tech; health; other; indices) with index-bucket correlation 70%; reference CS: 17 buckets (RW 0.5%-12.0%; indices 1.5%/5.0%) (Tables 3-7 to §__.224; P.491-493)</w:t>
            </w:r>
          </w:p>
        </w:tc>
        <w:tc>
          <w:tcPr>
            <w:tcW w:type="dxa" w:w="3456"/>
            <w:shd w:fill="FFFFFF" w:val="clear"/>
          </w:tcPr>
          <w:p>
            <w:pPr>
              <w:jc w:val="left"/>
            </w:pPr>
            <w:r/>
            <w:r>
              <w:rPr>
                <w:rFonts w:ascii="Calibri" w:hAnsi="Calibri"/>
                <w:b w:val="0"/>
                <w:color w:val="000000"/>
                <w:sz w:val="16"/>
              </w:rPr>
              <w:t>18 buckets (PS1/26 Ch.9.3)</w:t>
            </w:r>
          </w:p>
        </w:tc>
        <w:tc>
          <w:tcPr>
            <w:tcW w:type="dxa" w:w="3456"/>
            <w:shd w:fill="FFFFFF" w:val="clear"/>
          </w:tcPr>
          <w:p>
            <w:pPr>
              <w:jc w:val="left"/>
            </w:pPr>
            <w:r/>
            <w:r>
              <w:rPr>
                <w:rFonts w:ascii="Calibri" w:hAnsi="Calibri"/>
                <w:b w:val="0"/>
                <w:color w:val="000000"/>
                <w:sz w:val="16"/>
              </w:rPr>
              <w:t>18 buckets (CRR3 Art 383f)</w:t>
            </w:r>
          </w:p>
        </w:tc>
      </w:tr>
      <w:tr>
        <w:tc>
          <w:tcPr>
            <w:tcW w:type="dxa" w:w="3456"/>
            <w:shd w:fill="F2F2F2" w:val="clear"/>
          </w:tcPr>
          <w:p>
            <w:pPr>
              <w:jc w:val="left"/>
            </w:pPr>
            <w:r/>
            <w:r>
              <w:rPr>
                <w:rFonts w:ascii="Calibri" w:hAnsi="Calibri"/>
                <w:b/>
                <w:color w:val="000000"/>
                <w:sz w:val="16"/>
              </w:rPr>
              <w:t>Equity Buckets</w:t>
            </w:r>
          </w:p>
        </w:tc>
        <w:tc>
          <w:tcPr>
            <w:tcW w:type="dxa" w:w="3456"/>
            <w:shd w:fill="F2F2F2" w:val="clear"/>
          </w:tcPr>
          <w:p>
            <w:pPr>
              <w:jc w:val="left"/>
            </w:pPr>
            <w:r/>
            <w:r>
              <w:rPr>
                <w:rFonts w:ascii="Calibri" w:hAnsi="Calibri"/>
                <w:b w:val="0"/>
                <w:color w:val="000000"/>
                <w:sz w:val="16"/>
              </w:rPr>
              <w:t>13 buckets = SBM Table 8 spot RWs (55/60/45/55/30/35/40/50/70/50/70/15/25%); vega 78% large cap / 100% other (Table 8 to §__.224)</w:t>
            </w:r>
          </w:p>
        </w:tc>
        <w:tc>
          <w:tcPr>
            <w:tcW w:type="dxa" w:w="3456"/>
            <w:shd w:fill="F2F2F2" w:val="clear"/>
          </w:tcPr>
          <w:p>
            <w:pPr>
              <w:jc w:val="left"/>
            </w:pPr>
            <w:r/>
            <w:r>
              <w:rPr>
                <w:rFonts w:ascii="Calibri" w:hAnsi="Calibri"/>
                <w:b w:val="0"/>
                <w:color w:val="000000"/>
                <w:sz w:val="16"/>
              </w:rPr>
              <w:t>Same (PS1/26 Ch.9.3)</w:t>
            </w:r>
          </w:p>
        </w:tc>
        <w:tc>
          <w:tcPr>
            <w:tcW w:type="dxa" w:w="3456"/>
            <w:shd w:fill="F2F2F2" w:val="clear"/>
          </w:tcPr>
          <w:p>
            <w:pPr>
              <w:jc w:val="left"/>
            </w:pPr>
            <w:r/>
            <w:r>
              <w:rPr>
                <w:rFonts w:ascii="Calibri" w:hAnsi="Calibri"/>
                <w:b w:val="0"/>
                <w:color w:val="000000"/>
                <w:sz w:val="16"/>
              </w:rPr>
              <w:t>Same (CRR3 Art 383g)</w:t>
            </w:r>
          </w:p>
        </w:tc>
      </w:tr>
      <w:tr>
        <w:tc>
          <w:tcPr>
            <w:tcW w:type="dxa" w:w="3456"/>
            <w:shd w:fill="FFFFFF" w:val="clear"/>
          </w:tcPr>
          <w:p>
            <w:pPr>
              <w:jc w:val="left"/>
            </w:pPr>
            <w:r/>
            <w:r>
              <w:rPr>
                <w:rFonts w:ascii="Calibri" w:hAnsi="Calibri"/>
                <w:b/>
                <w:color w:val="000000"/>
                <w:sz w:val="16"/>
              </w:rPr>
              <w:t>FX Buckets</w:t>
            </w:r>
          </w:p>
        </w:tc>
        <w:tc>
          <w:tcPr>
            <w:tcW w:type="dxa" w:w="3456"/>
            <w:shd w:fill="FFFFFF" w:val="clear"/>
          </w:tcPr>
          <w:p>
            <w:pPr>
              <w:jc w:val="left"/>
            </w:pPr>
            <w:r/>
            <w:r>
              <w:rPr>
                <w:rFonts w:ascii="Calibri" w:hAnsi="Calibri"/>
                <w:b w:val="0"/>
                <w:color w:val="000000"/>
                <w:sz w:val="16"/>
              </w:rPr>
              <w:t>Per currency pair vs reporting currency; delta RW 11%; vega RW 100%; gamma 60% (ERBA NPR §__.224)</w:t>
            </w:r>
          </w:p>
        </w:tc>
        <w:tc>
          <w:tcPr>
            <w:tcW w:type="dxa" w:w="3456"/>
            <w:shd w:fill="FFFFFF" w:val="clear"/>
          </w:tcPr>
          <w:p>
            <w:pPr>
              <w:jc w:val="left"/>
            </w:pPr>
            <w:r/>
            <w:r>
              <w:rPr>
                <w:rFonts w:ascii="Calibri" w:hAnsi="Calibri"/>
                <w:b w:val="0"/>
                <w:color w:val="000000"/>
                <w:sz w:val="16"/>
              </w:rPr>
              <w:t>Same (PS1/26 Ch.9.3)</w:t>
            </w:r>
          </w:p>
        </w:tc>
        <w:tc>
          <w:tcPr>
            <w:tcW w:type="dxa" w:w="3456"/>
            <w:shd w:fill="FFFFFF" w:val="clear"/>
          </w:tcPr>
          <w:p>
            <w:pPr>
              <w:jc w:val="left"/>
            </w:pPr>
            <w:r/>
            <w:r>
              <w:rPr>
                <w:rFonts w:ascii="Calibri" w:hAnsi="Calibri"/>
                <w:b w:val="0"/>
                <w:color w:val="000000"/>
                <w:sz w:val="16"/>
              </w:rPr>
              <w:t>Same (CRR3 Art 383h)</w:t>
            </w:r>
          </w:p>
        </w:tc>
      </w:tr>
      <w:tr>
        <w:tc>
          <w:tcPr>
            <w:tcW w:type="dxa" w:w="3456"/>
            <w:shd w:fill="F2F2F2" w:val="clear"/>
          </w:tcPr>
          <w:p>
            <w:pPr>
              <w:jc w:val="left"/>
            </w:pPr>
            <w:r/>
            <w:r>
              <w:rPr>
                <w:rFonts w:ascii="Calibri" w:hAnsi="Calibri"/>
                <w:b/>
                <w:color w:val="000000"/>
                <w:sz w:val="16"/>
              </w:rPr>
              <w:t>Commodity Buckets</w:t>
            </w:r>
          </w:p>
        </w:tc>
        <w:tc>
          <w:tcPr>
            <w:tcW w:type="dxa" w:w="3456"/>
            <w:shd w:fill="F2F2F2" w:val="clear"/>
          </w:tcPr>
          <w:p>
            <w:pPr>
              <w:jc w:val="left"/>
            </w:pPr>
            <w:r/>
            <w:r>
              <w:rPr>
                <w:rFonts w:ascii="Calibri" w:hAnsi="Calibri"/>
                <w:b w:val="0"/>
                <w:color w:val="000000"/>
                <w:sz w:val="16"/>
              </w:rPr>
              <w:t>12 buckets = SBM Table 9 RWs (30/35/60/80/40/45/20/35/25/35/50/30%); gamma 20% (0% with bucket 11) (Table 9 to §__.224)</w:t>
            </w:r>
          </w:p>
        </w:tc>
        <w:tc>
          <w:tcPr>
            <w:tcW w:type="dxa" w:w="3456"/>
            <w:shd w:fill="F2F2F2" w:val="clear"/>
          </w:tcPr>
          <w:p>
            <w:pPr>
              <w:jc w:val="left"/>
            </w:pPr>
            <w:r/>
            <w:r>
              <w:rPr>
                <w:rFonts w:ascii="Calibri" w:hAnsi="Calibri"/>
                <w:b w:val="0"/>
                <w:color w:val="000000"/>
                <w:sz w:val="16"/>
              </w:rPr>
              <w:t>Same (PS1/26 Ch.9.3)</w:t>
            </w:r>
          </w:p>
        </w:tc>
        <w:tc>
          <w:tcPr>
            <w:tcW w:type="dxa" w:w="3456"/>
            <w:shd w:fill="F2F2F2" w:val="clear"/>
          </w:tcPr>
          <w:p>
            <w:pPr>
              <w:jc w:val="left"/>
            </w:pPr>
            <w:r/>
            <w:r>
              <w:rPr>
                <w:rFonts w:ascii="Calibri" w:hAnsi="Calibri"/>
                <w:b w:val="0"/>
                <w:color w:val="000000"/>
                <w:sz w:val="16"/>
              </w:rPr>
              <w:t>Same (CRR3 Art 383i)</w:t>
            </w:r>
          </w:p>
        </w:tc>
      </w:tr>
    </w:tbl>
    <w:p>
      <w:r>
        <w:rPr>
          <w:rFonts w:ascii="Calibri" w:hAnsi="Calibri"/>
          <w:b/>
          <w:color w:val="002060"/>
          <w:sz w:val="22"/>
        </w:rPr>
        <w:t>10.3 CVA Exemptions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CVA Exemptions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Client-Cleared Trades</w:t>
            </w:r>
          </w:p>
        </w:tc>
        <w:tc>
          <w:tcPr>
            <w:tcW w:type="dxa" w:w="3456"/>
            <w:shd w:fill="FFFFFF" w:val="clear"/>
          </w:tcPr>
          <w:p>
            <w:pPr>
              <w:jc w:val="left"/>
            </w:pPr>
            <w:r/>
            <w:r>
              <w:rPr>
                <w:rFonts w:ascii="Calibri" w:hAnsi="Calibri"/>
                <w:b w:val="0"/>
                <w:color w:val="000000"/>
                <w:sz w:val="16"/>
              </w:rPr>
              <w:t>EXCLUDED: cleared transactions and client-facing derivative transactions are not CVA risk covered positions (ERBA NPR §__.202; P.439-441)</w:t>
            </w:r>
          </w:p>
        </w:tc>
        <w:tc>
          <w:tcPr>
            <w:tcW w:type="dxa" w:w="3456"/>
            <w:shd w:fill="FFFFFF" w:val="clear"/>
          </w:tcPr>
          <w:p>
            <w:pPr>
              <w:jc w:val="left"/>
            </w:pPr>
            <w:r/>
            <w:r>
              <w:rPr>
                <w:rFonts w:ascii="Calibri" w:hAnsi="Calibri"/>
                <w:b w:val="0"/>
                <w:color w:val="000000"/>
                <w:sz w:val="16"/>
              </w:rPr>
              <w:t>Exempt (PS1/26 Ch.9.4)</w:t>
            </w:r>
          </w:p>
        </w:tc>
        <w:tc>
          <w:tcPr>
            <w:tcW w:type="dxa" w:w="3456"/>
            <w:shd w:fill="FFFFFF" w:val="clear"/>
          </w:tcPr>
          <w:p>
            <w:pPr>
              <w:jc w:val="left"/>
            </w:pPr>
            <w:r/>
            <w:r>
              <w:rPr>
                <w:rFonts w:ascii="Calibri" w:hAnsi="Calibri"/>
                <w:b w:val="0"/>
                <w:color w:val="000000"/>
                <w:sz w:val="16"/>
              </w:rPr>
              <w:t>Exempt (CRR3 Art 382(3))</w:t>
            </w:r>
          </w:p>
        </w:tc>
      </w:tr>
      <w:tr>
        <w:tc>
          <w:tcPr>
            <w:tcW w:type="dxa" w:w="3456"/>
            <w:shd w:fill="F2F2F2" w:val="clear"/>
          </w:tcPr>
          <w:p>
            <w:pPr>
              <w:jc w:val="left"/>
            </w:pPr>
            <w:r/>
            <w:r>
              <w:rPr>
                <w:rFonts w:ascii="Calibri" w:hAnsi="Calibri"/>
                <w:b/>
                <w:color w:val="000000"/>
                <w:sz w:val="16"/>
              </w:rPr>
              <w:t>SFTs (Repos/SecLend)</w:t>
            </w:r>
          </w:p>
        </w:tc>
        <w:tc>
          <w:tcPr>
            <w:tcW w:type="dxa" w:w="3456"/>
            <w:shd w:fill="F2F2F2" w:val="clear"/>
          </w:tcPr>
          <w:p>
            <w:pPr>
              <w:jc w:val="left"/>
            </w:pPr>
            <w:r/>
            <w:r>
              <w:rPr>
                <w:rFonts w:ascii="Calibri" w:hAnsi="Calibri"/>
                <w:b w:val="0"/>
                <w:color w:val="000000"/>
                <w:sz w:val="16"/>
              </w:rPr>
              <w:t>Not CVA risk covered positions - the definition covers derivative contracts only; no 'material CVA risk' test (ERBA NPR P.440)</w:t>
            </w:r>
          </w:p>
        </w:tc>
        <w:tc>
          <w:tcPr>
            <w:tcW w:type="dxa" w:w="3456"/>
            <w:shd w:fill="F2F2F2" w:val="clear"/>
          </w:tcPr>
          <w:p>
            <w:pPr>
              <w:jc w:val="left"/>
            </w:pPr>
            <w:r/>
            <w:r>
              <w:rPr>
                <w:rFonts w:ascii="Calibri" w:hAnsi="Calibri"/>
                <w:b w:val="0"/>
                <w:color w:val="000000"/>
                <w:sz w:val="16"/>
              </w:rPr>
              <w:t>Exempt unless material (PS1/26 Ch.9.4)</w:t>
            </w:r>
          </w:p>
        </w:tc>
        <w:tc>
          <w:tcPr>
            <w:tcW w:type="dxa" w:w="3456"/>
            <w:shd w:fill="F2F2F2" w:val="clear"/>
          </w:tcPr>
          <w:p>
            <w:pPr>
              <w:jc w:val="left"/>
            </w:pPr>
            <w:r/>
            <w:r>
              <w:rPr>
                <w:rFonts w:ascii="Calibri" w:hAnsi="Calibri"/>
                <w:b w:val="0"/>
                <w:color w:val="000000"/>
                <w:sz w:val="16"/>
              </w:rPr>
              <w:t>Exempt (CRR3 Art 382(4)(a)) - broader exemption in EU</w:t>
            </w:r>
          </w:p>
        </w:tc>
      </w:tr>
      <w:tr>
        <w:tc>
          <w:tcPr>
            <w:tcW w:type="dxa" w:w="3456"/>
            <w:shd w:fill="FFFFFF" w:val="clear"/>
          </w:tcPr>
          <w:p>
            <w:pPr>
              <w:jc w:val="left"/>
            </w:pPr>
            <w:r/>
            <w:r>
              <w:rPr>
                <w:rFonts w:ascii="Calibri" w:hAnsi="Calibri"/>
                <w:b/>
                <w:color w:val="000000"/>
                <w:sz w:val="16"/>
              </w:rPr>
              <w:t>Intra-Group</w:t>
            </w:r>
          </w:p>
        </w:tc>
        <w:tc>
          <w:tcPr>
            <w:tcW w:type="dxa" w:w="3456"/>
            <w:shd w:fill="FFFFFF" w:val="clear"/>
          </w:tcPr>
          <w:p>
            <w:pPr>
              <w:jc w:val="left"/>
            </w:pPr>
            <w:r/>
            <w:r>
              <w:rPr>
                <w:rFonts w:ascii="Calibri" w:hAnsi="Calibri"/>
                <w:b w:val="0"/>
                <w:color w:val="000000"/>
                <w:sz w:val="16"/>
              </w:rPr>
              <w:t>No intra-group exemption in the NPR (ERBA NPR §__.202)</w:t>
            </w:r>
          </w:p>
        </w:tc>
        <w:tc>
          <w:tcPr>
            <w:tcW w:type="dxa" w:w="3456"/>
            <w:shd w:fill="FFFFFF" w:val="clear"/>
          </w:tcPr>
          <w:p>
            <w:pPr>
              <w:jc w:val="left"/>
            </w:pPr>
            <w:r/>
            <w:r>
              <w:rPr>
                <w:rFonts w:ascii="Calibri" w:hAnsi="Calibri"/>
                <w:b w:val="0"/>
                <w:color w:val="000000"/>
                <w:sz w:val="16"/>
              </w:rPr>
              <w:t>Exempt per intra-group rules (PS1/26 Ch.9.4)</w:t>
            </w:r>
          </w:p>
        </w:tc>
        <w:tc>
          <w:tcPr>
            <w:tcW w:type="dxa" w:w="3456"/>
            <w:shd w:fill="FFFFFF" w:val="clear"/>
          </w:tcPr>
          <w:p>
            <w:pPr>
              <w:jc w:val="left"/>
            </w:pPr>
            <w:r/>
            <w:r>
              <w:rPr>
                <w:rFonts w:ascii="Calibri" w:hAnsi="Calibri"/>
                <w:b w:val="0"/>
                <w:color w:val="000000"/>
                <w:sz w:val="16"/>
              </w:rPr>
              <w:t>Exempt per CRR3 Art 382(4)(b) with conditions</w:t>
            </w:r>
          </w:p>
        </w:tc>
      </w:tr>
      <w:tr>
        <w:tc>
          <w:tcPr>
            <w:tcW w:type="dxa" w:w="3456"/>
            <w:shd w:fill="F2F2F2" w:val="clear"/>
          </w:tcPr>
          <w:p>
            <w:pPr>
              <w:jc w:val="left"/>
            </w:pPr>
            <w:r/>
            <w:r>
              <w:rPr>
                <w:rFonts w:ascii="Calibri" w:hAnsi="Calibri"/>
                <w:b/>
                <w:color w:val="000000"/>
                <w:sz w:val="16"/>
              </w:rPr>
              <w:t>FX Transactions &lt;=T+2</w:t>
            </w:r>
          </w:p>
        </w:tc>
        <w:tc>
          <w:tcPr>
            <w:tcW w:type="dxa" w:w="3456"/>
            <w:shd w:fill="F2F2F2" w:val="clear"/>
          </w:tcPr>
          <w:p>
            <w:pPr>
              <w:jc w:val="left"/>
            </w:pPr>
            <w:r/>
            <w:r>
              <w:rPr>
                <w:rFonts w:ascii="Calibri" w:hAnsi="Calibri"/>
                <w:b w:val="0"/>
                <w:color w:val="000000"/>
                <w:sz w:val="16"/>
              </w:rPr>
              <w:t>Not addressed in the NPR - no FX settlement exemption (ERBA NPR §__.202)</w:t>
            </w:r>
          </w:p>
        </w:tc>
        <w:tc>
          <w:tcPr>
            <w:tcW w:type="dxa" w:w="3456"/>
            <w:shd w:fill="F2F2F2" w:val="clear"/>
          </w:tcPr>
          <w:p>
            <w:pPr>
              <w:jc w:val="left"/>
            </w:pPr>
            <w:r/>
            <w:r>
              <w:rPr>
                <w:rFonts w:ascii="Calibri" w:hAnsi="Calibri"/>
                <w:b w:val="0"/>
                <w:color w:val="000000"/>
                <w:sz w:val="16"/>
              </w:rPr>
              <w:t>Exempt (PS1/26 Ch.9.4)</w:t>
            </w:r>
          </w:p>
        </w:tc>
        <w:tc>
          <w:tcPr>
            <w:tcW w:type="dxa" w:w="3456"/>
            <w:shd w:fill="F2F2F2" w:val="clear"/>
          </w:tcPr>
          <w:p>
            <w:pPr>
              <w:jc w:val="left"/>
            </w:pPr>
            <w:r/>
            <w:r>
              <w:rPr>
                <w:rFonts w:ascii="Calibri" w:hAnsi="Calibri"/>
                <w:b w:val="0"/>
                <w:color w:val="000000"/>
                <w:sz w:val="16"/>
              </w:rPr>
              <w:t>Exempt (CRR3 Art 382(4)(c))</w:t>
            </w:r>
          </w:p>
        </w:tc>
      </w:tr>
      <w:tr>
        <w:tc>
          <w:tcPr>
            <w:tcW w:type="dxa" w:w="3456"/>
            <w:shd w:fill="FFFFFF" w:val="clear"/>
          </w:tcPr>
          <w:p>
            <w:pPr>
              <w:jc w:val="left"/>
            </w:pPr>
            <w:r/>
            <w:r>
              <w:rPr>
                <w:rFonts w:ascii="Calibri" w:hAnsi="Calibri"/>
                <w:b/>
                <w:color w:val="000000"/>
                <w:sz w:val="16"/>
              </w:rPr>
              <w:t>Pension Fund Exemption</w:t>
            </w:r>
          </w:p>
        </w:tc>
        <w:tc>
          <w:tcPr>
            <w:tcW w:type="dxa" w:w="3456"/>
            <w:shd w:fill="FFFFFF" w:val="clear"/>
          </w:tcPr>
          <w:p>
            <w:pPr>
              <w:jc w:val="left"/>
            </w:pPr>
            <w:r/>
            <w:r>
              <w:rPr>
                <w:rFonts w:ascii="Calibri" w:hAnsi="Calibri"/>
                <w:b w:val="0"/>
                <w:color w:val="000000"/>
                <w:sz w:val="16"/>
              </w:rPr>
              <w:t>No pension fund exemption in the NPR (ERBA NPR §__.202)</w:t>
            </w:r>
          </w:p>
        </w:tc>
        <w:tc>
          <w:tcPr>
            <w:tcW w:type="dxa" w:w="3456"/>
            <w:shd w:fill="FFFFFF" w:val="clear"/>
          </w:tcPr>
          <w:p>
            <w:pPr>
              <w:jc w:val="left"/>
            </w:pPr>
            <w:r/>
            <w:r>
              <w:rPr>
                <w:rFonts w:ascii="Calibri" w:hAnsi="Calibri"/>
                <w:b w:val="0"/>
                <w:color w:val="000000"/>
                <w:sz w:val="16"/>
              </w:rPr>
              <w:t>Temporary exemption until Jan 2026 (PS1/26 Ch.9.4)</w:t>
            </w:r>
          </w:p>
        </w:tc>
        <w:tc>
          <w:tcPr>
            <w:tcW w:type="dxa" w:w="3456"/>
            <w:shd w:fill="FFFFFF" w:val="clear"/>
          </w:tcPr>
          <w:p>
            <w:pPr>
              <w:jc w:val="left"/>
            </w:pPr>
            <w:r/>
            <w:r>
              <w:rPr>
                <w:rFonts w:ascii="Calibri" w:hAnsi="Calibri"/>
                <w:b w:val="0"/>
                <w:color w:val="000000"/>
                <w:sz w:val="16"/>
              </w:rPr>
              <w:t>Permanent exemption for qualifying pension schemes (CRR3 Art 382(4)(d)) - EU DIVERGENCE</w:t>
            </w:r>
          </w:p>
        </w:tc>
      </w:tr>
      <w:tr>
        <w:tc>
          <w:tcPr>
            <w:tcW w:type="dxa" w:w="3456"/>
            <w:shd w:fill="F2F2F2" w:val="clear"/>
          </w:tcPr>
          <w:p>
            <w:pPr>
              <w:jc w:val="left"/>
            </w:pPr>
            <w:r/>
            <w:r>
              <w:rPr>
                <w:rFonts w:ascii="Calibri" w:hAnsi="Calibri"/>
                <w:b/>
                <w:color w:val="000000"/>
                <w:sz w:val="16"/>
              </w:rPr>
              <w:t>Small Portfolio Threshold</w:t>
            </w:r>
          </w:p>
        </w:tc>
        <w:tc>
          <w:tcPr>
            <w:tcW w:type="dxa" w:w="3456"/>
            <w:shd w:fill="F2F2F2" w:val="clear"/>
          </w:tcPr>
          <w:p>
            <w:pPr>
              <w:jc w:val="left"/>
            </w:pPr>
            <w:r/>
            <w:r>
              <w:rPr>
                <w:rFonts w:ascii="Calibri" w:hAnsi="Calibri"/>
                <w:b w:val="0"/>
                <w:color w:val="000000"/>
                <w:sz w:val="16"/>
              </w:rPr>
              <w:t>N/A - no simplified/small-portfolio method; basic measure (BA-CVA) is the default for all in-scope banks (ERBA NPR §__.220)</w:t>
            </w:r>
          </w:p>
        </w:tc>
        <w:tc>
          <w:tcPr>
            <w:tcW w:type="dxa" w:w="3456"/>
            <w:shd w:fill="F2F2F2" w:val="clear"/>
          </w:tcPr>
          <w:p>
            <w:pPr>
              <w:jc w:val="left"/>
            </w:pPr>
            <w:r/>
            <w:r>
              <w:rPr>
                <w:rFonts w:ascii="Calibri" w:hAnsi="Calibri"/>
                <w:b w:val="0"/>
                <w:color w:val="000000"/>
                <w:sz w:val="16"/>
              </w:rPr>
              <w:t>N/A (PS1/26 Ch.9.4)</w:t>
            </w:r>
          </w:p>
        </w:tc>
        <w:tc>
          <w:tcPr>
            <w:tcW w:type="dxa" w:w="3456"/>
            <w:shd w:fill="F2F2F2" w:val="clear"/>
          </w:tcPr>
          <w:p>
            <w:pPr>
              <w:jc w:val="left"/>
            </w:pPr>
            <w:r/>
            <w:r>
              <w:rPr>
                <w:rFonts w:ascii="Calibri" w:hAnsi="Calibri"/>
                <w:b w:val="0"/>
                <w:color w:val="000000"/>
                <w:sz w:val="16"/>
              </w:rPr>
              <w:t>EUR 100B aggregate notional (CRR3 Art 382(5)) - qualifies for simplified treatment</w:t>
            </w:r>
          </w:p>
        </w:tc>
      </w:tr>
      <w:tr>
        <w:tc>
          <w:tcPr>
            <w:tcW w:type="dxa" w:w="3456"/>
            <w:shd w:fill="FFFFFF" w:val="clear"/>
          </w:tcPr>
          <w:p>
            <w:pPr>
              <w:jc w:val="left"/>
            </w:pPr>
            <w:r/>
            <w:r>
              <w:rPr>
                <w:rFonts w:ascii="Calibri" w:hAnsi="Calibri"/>
                <w:b/>
                <w:color w:val="000000"/>
                <w:sz w:val="16"/>
              </w:rPr>
              <w:t>$1T Threshold (US)</w:t>
            </w:r>
          </w:p>
        </w:tc>
        <w:tc>
          <w:tcPr>
            <w:tcW w:type="dxa" w:w="3456"/>
            <w:shd w:fill="FFFFFF" w:val="clear"/>
          </w:tcPr>
          <w:p>
            <w:pPr>
              <w:jc w:val="left"/>
            </w:pPr>
            <w:r/>
            <w:r>
              <w:rPr>
                <w:rFonts w:ascii="Calibri" w:hAnsi="Calibri"/>
                <w:b w:val="0"/>
                <w:color w:val="000000"/>
                <w:sz w:val="16"/>
              </w:rPr>
              <w:t>Scope threshold, not a simplified method: market-risk banks that are not Cat I/II HCs (or their DI subsidiaries) are subject to CVA capital only if OTC derivative gross notional &gt;= $1 trillion (4-quarter average; CPI-W indexed); covers &gt; 98% of DIHC OTC exposure (ERBA NPR §__.201; P.24)</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N/A</w:t>
            </w:r>
          </w:p>
        </w:tc>
      </w:tr>
      <w:tr>
        <w:tc>
          <w:tcPr>
            <w:tcW w:type="dxa" w:w="3456"/>
            <w:shd w:fill="F2F2F2" w:val="clear"/>
          </w:tcPr>
          <w:p>
            <w:pPr>
              <w:jc w:val="left"/>
            </w:pPr>
            <w:r/>
            <w:r>
              <w:rPr>
                <w:rFonts w:ascii="Calibri" w:hAnsi="Calibri"/>
                <w:b/>
                <w:color w:val="000000"/>
                <w:sz w:val="16"/>
              </w:rPr>
              <w:t>Sovereign Exemption</w:t>
            </w:r>
          </w:p>
        </w:tc>
        <w:tc>
          <w:tcPr>
            <w:tcW w:type="dxa" w:w="3456"/>
            <w:shd w:fill="F2F2F2" w:val="clear"/>
          </w:tcPr>
          <w:p>
            <w:pPr>
              <w:jc w:val="left"/>
            </w:pPr>
            <w:r/>
            <w:r>
              <w:rPr>
                <w:rFonts w:ascii="Calibri" w:hAnsi="Calibri"/>
                <w:b w:val="0"/>
                <w:color w:val="000000"/>
                <w:sz w:val="16"/>
              </w:rPr>
              <w:t>No sovereign/PSE counterparty exemption in the NPR; sovereign counterparties carry BA-CVA RW 0.5% IG / 3.0% spec / 7.0% sub-spec (Table 1 to §__.222)</w:t>
            </w:r>
          </w:p>
        </w:tc>
        <w:tc>
          <w:tcPr>
            <w:tcW w:type="dxa" w:w="3456"/>
            <w:shd w:fill="F2F2F2" w:val="clear"/>
          </w:tcPr>
          <w:p>
            <w:pPr>
              <w:jc w:val="left"/>
            </w:pPr>
            <w:r/>
            <w:r>
              <w:rPr>
                <w:rFonts w:ascii="Calibri" w:hAnsi="Calibri"/>
                <w:b w:val="0"/>
                <w:color w:val="000000"/>
                <w:sz w:val="16"/>
              </w:rPr>
              <w:t>Exempt for sovereign (PS1/26 Ch.9.4)</w:t>
            </w:r>
          </w:p>
        </w:tc>
        <w:tc>
          <w:tcPr>
            <w:tcW w:type="dxa" w:w="3456"/>
            <w:shd w:fill="F2F2F2" w:val="clear"/>
          </w:tcPr>
          <w:p>
            <w:pPr>
              <w:jc w:val="left"/>
            </w:pPr>
            <w:r/>
            <w:r>
              <w:rPr>
                <w:rFonts w:ascii="Calibri" w:hAnsi="Calibri"/>
                <w:b w:val="0"/>
                <w:color w:val="000000"/>
                <w:sz w:val="16"/>
              </w:rPr>
              <w:t>Exempt for sovereign (CRR3 Art 382(4)(e))</w:t>
            </w:r>
          </w:p>
        </w:tc>
      </w:tr>
      <w:tr>
        <w:tc>
          <w:tcPr>
            <w:tcW w:type="dxa" w:w="3456"/>
            <w:shd w:fill="FFFFFF" w:val="clear"/>
          </w:tcPr>
          <w:p>
            <w:pPr>
              <w:jc w:val="left"/>
            </w:pPr>
            <w:r/>
            <w:r>
              <w:rPr>
                <w:rFonts w:ascii="Calibri" w:hAnsi="Calibri"/>
                <w:b/>
                <w:color w:val="000000"/>
                <w:sz w:val="16"/>
              </w:rPr>
              <w:t>Credit Derivatives Used as CRM</w:t>
            </w:r>
          </w:p>
        </w:tc>
        <w:tc>
          <w:tcPr>
            <w:tcW w:type="dxa" w:w="3456"/>
            <w:shd w:fill="FFFFFF" w:val="clear"/>
          </w:tcPr>
          <w:p>
            <w:pPr>
              <w:jc w:val="left"/>
            </w:pPr>
            <w:r/>
            <w:r>
              <w:rPr>
                <w:rFonts w:ascii="Calibri" w:hAnsi="Calibri"/>
                <w:b w:val="0"/>
                <w:color w:val="000000"/>
                <w:sz w:val="16"/>
              </w:rPr>
              <w:t>Bank MAY exclude an eligible credit derivative recognized as credit risk mitigation from the CVA calculation (ERBA NPR P.439)</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N/A</w:t>
            </w:r>
          </w:p>
        </w:tc>
      </w:tr>
    </w:tbl>
    <w:p>
      <w:r>
        <w:br w:type="page"/>
      </w:r>
    </w:p>
    <w:p>
      <w:r>
        <w:rPr>
          <w:rFonts w:ascii="Calibri" w:hAnsi="Calibri"/>
          <w:b/>
          <w:color w:val="C8962E"/>
          <w:sz w:val="28"/>
        </w:rPr>
        <w:t>SECTION 11</w:t>
      </w:r>
    </w:p>
    <w:p>
      <w:r>
        <w:rPr>
          <w:rFonts w:ascii="Calibri" w:hAnsi="Calibri"/>
          <w:b/>
          <w:color w:val="002060"/>
          <w:sz w:val="32"/>
        </w:rPr>
        <w:t>FRTB Market Risk: SBM Risk Weights, DRC, RRAO &amp; IMA</w:t>
      </w:r>
    </w:p>
    <w:p>
      <w:r>
        <w:rPr>
          <w:color w:val="C8962E"/>
          <w:sz w:val="12"/>
        </w:rPr>
        <w:t>________________________________________________________________________________________________________________________</w:t>
      </w:r>
    </w:p>
    <w:p>
      <w:r>
        <w:rPr>
          <w:rFonts w:ascii="Calibri" w:hAnsi="Calibri"/>
          <w:color w:val="000000"/>
          <w:sz w:val="18"/>
        </w:rPr>
        <w:t>Bucket-level risk weights for all 7 FRTB risk classes, correlation scenarios, DRC parameters, RRAO classification, IMA components, and threshold divergence.</w:t>
      </w:r>
    </w:p>
    <w:p>
      <w:r>
        <w:rPr>
          <w:rFonts w:ascii="Calibri" w:hAnsi="Calibri"/>
          <w:b/>
          <w:color w:val="002060"/>
          <w:sz w:val="22"/>
        </w:rPr>
        <w:t>11.1 GIRR Risk Weights (MAR21.8)</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Tenor</w:t>
            </w:r>
          </w:p>
        </w:tc>
        <w:tc>
          <w:tcPr>
            <w:tcW w:type="dxa" w:w="3456"/>
            <w:shd w:fill="002060" w:val="clear"/>
            <w:tcW w:w="3600" w:type="dxa"/>
          </w:tcPr>
          <w:p>
            <w:pPr>
              <w:jc w:val="center"/>
            </w:pPr>
            <w:r/>
            <w:r>
              <w:rPr>
                <w:rFonts w:ascii="Calibri" w:hAnsi="Calibri"/>
                <w:b/>
                <w:color w:val="FFFFFF"/>
                <w:sz w:val="16"/>
              </w:rPr>
              <w:t>US RW (ERBA)</w:t>
            </w:r>
          </w:p>
        </w:tc>
        <w:tc>
          <w:tcPr>
            <w:tcW w:type="dxa" w:w="3456"/>
            <w:shd w:fill="002060" w:val="clear"/>
            <w:tcW w:w="3600" w:type="dxa"/>
          </w:tcPr>
          <w:p>
            <w:pPr>
              <w:jc w:val="center"/>
            </w:pPr>
            <w:r/>
            <w:r>
              <w:rPr>
                <w:rFonts w:ascii="Calibri" w:hAnsi="Calibri"/>
                <w:b/>
                <w:color w:val="FFFFFF"/>
                <w:sz w:val="16"/>
              </w:rPr>
              <w:t>UK RW (PS1/26)</w:t>
            </w:r>
          </w:p>
        </w:tc>
        <w:tc>
          <w:tcPr>
            <w:tcW w:type="dxa" w:w="3456"/>
            <w:shd w:fill="002060" w:val="clear"/>
            <w:tcW w:w="3600" w:type="dxa"/>
          </w:tcPr>
          <w:p>
            <w:pPr>
              <w:jc w:val="center"/>
            </w:pPr>
            <w:r/>
            <w:r>
              <w:rPr>
                <w:rFonts w:ascii="Calibri" w:hAnsi="Calibri"/>
                <w:b/>
                <w:color w:val="FFFFFF"/>
                <w:sz w:val="16"/>
              </w:rPr>
              <w:t>EU RW (CRR3)</w:t>
            </w:r>
          </w:p>
        </w:tc>
      </w:tr>
      <w:tr>
        <w:tc>
          <w:tcPr>
            <w:tcW w:type="dxa" w:w="3456"/>
            <w:shd w:fill="F2F2F2" w:val="clear"/>
          </w:tcPr>
          <w:p>
            <w:pPr>
              <w:jc w:val="left"/>
            </w:pPr>
            <w:r/>
            <w:r>
              <w:rPr>
                <w:rFonts w:ascii="Calibri" w:hAnsi="Calibri"/>
                <w:b/>
                <w:color w:val="000000"/>
                <w:sz w:val="16"/>
              </w:rPr>
              <w:t>GIRR Delta 0.25Y</w:t>
            </w:r>
          </w:p>
        </w:tc>
        <w:tc>
          <w:tcPr>
            <w:tcW w:type="dxa" w:w="3456"/>
            <w:shd w:fill="F2F2F2" w:val="clear"/>
          </w:tcPr>
          <w:p>
            <w:pPr>
              <w:jc w:val="left"/>
            </w:pPr>
            <w:r/>
            <w:r>
              <w:rPr>
                <w:rFonts w:ascii="Calibri" w:hAnsi="Calibri"/>
                <w:b w:val="0"/>
                <w:color w:val="000000"/>
                <w:sz w:val="16"/>
              </w:rPr>
              <w:t>1.7% (Table 1 to §__.209; 10 vertices, no 7Y/25Y)</w:t>
            </w:r>
          </w:p>
        </w:tc>
        <w:tc>
          <w:tcPr>
            <w:tcW w:type="dxa" w:w="3456"/>
            <w:shd w:fill="F2F2F2" w:val="clear"/>
          </w:tcPr>
          <w:p>
            <w:pPr>
              <w:jc w:val="left"/>
            </w:pPr>
            <w:r/>
            <w:r>
              <w:rPr>
                <w:rFonts w:ascii="Calibri" w:hAnsi="Calibri"/>
                <w:b w:val="0"/>
                <w:color w:val="000000"/>
                <w:sz w:val="16"/>
              </w:rPr>
              <w:t>1.7% (PS1/26 Ch.16 Table 16.1)</w:t>
            </w:r>
          </w:p>
        </w:tc>
        <w:tc>
          <w:tcPr>
            <w:tcW w:type="dxa" w:w="3456"/>
            <w:shd w:fill="F2F2F2" w:val="clear"/>
          </w:tcPr>
          <w:p>
            <w:pPr>
              <w:jc w:val="left"/>
            </w:pPr>
            <w:r/>
            <w:r>
              <w:rPr>
                <w:rFonts w:ascii="Calibri" w:hAnsi="Calibri"/>
                <w:b w:val="0"/>
                <w:color w:val="000000"/>
                <w:sz w:val="16"/>
              </w:rPr>
              <w:t>1.7% (CRR3 Art 325ae Table 3)</w:t>
            </w:r>
          </w:p>
        </w:tc>
      </w:tr>
      <w:tr>
        <w:tc>
          <w:tcPr>
            <w:tcW w:type="dxa" w:w="3456"/>
            <w:shd w:fill="FFFFFF" w:val="clear"/>
          </w:tcPr>
          <w:p>
            <w:pPr>
              <w:jc w:val="left"/>
            </w:pPr>
            <w:r/>
            <w:r>
              <w:rPr>
                <w:rFonts w:ascii="Calibri" w:hAnsi="Calibri"/>
                <w:b/>
                <w:color w:val="000000"/>
                <w:sz w:val="16"/>
              </w:rPr>
              <w:t>GIRR Delta 0.5Y</w:t>
            </w:r>
          </w:p>
        </w:tc>
        <w:tc>
          <w:tcPr>
            <w:tcW w:type="dxa" w:w="3456"/>
            <w:shd w:fill="FFFFFF" w:val="clear"/>
          </w:tcPr>
          <w:p>
            <w:pPr>
              <w:jc w:val="left"/>
            </w:pPr>
            <w:r/>
            <w:r>
              <w:rPr>
                <w:rFonts w:ascii="Calibri" w:hAnsi="Calibri"/>
                <w:b w:val="0"/>
                <w:color w:val="000000"/>
                <w:sz w:val="16"/>
              </w:rPr>
              <w:t>1.7% (Table 1 to §__.209; 10 vertices, no 7Y/25Y)</w:t>
            </w:r>
          </w:p>
        </w:tc>
        <w:tc>
          <w:tcPr>
            <w:tcW w:type="dxa" w:w="3456"/>
            <w:shd w:fill="FFFFFF" w:val="clear"/>
          </w:tcPr>
          <w:p>
            <w:pPr>
              <w:jc w:val="left"/>
            </w:pPr>
            <w:r/>
            <w:r>
              <w:rPr>
                <w:rFonts w:ascii="Calibri" w:hAnsi="Calibri"/>
                <w:b w:val="0"/>
                <w:color w:val="000000"/>
                <w:sz w:val="16"/>
              </w:rPr>
              <w:t>1.7% (PS1/26 Ch.16 Table 16.1)</w:t>
            </w:r>
          </w:p>
        </w:tc>
        <w:tc>
          <w:tcPr>
            <w:tcW w:type="dxa" w:w="3456"/>
            <w:shd w:fill="FFFFFF" w:val="clear"/>
          </w:tcPr>
          <w:p>
            <w:pPr>
              <w:jc w:val="left"/>
            </w:pPr>
            <w:r/>
            <w:r>
              <w:rPr>
                <w:rFonts w:ascii="Calibri" w:hAnsi="Calibri"/>
                <w:b w:val="0"/>
                <w:color w:val="000000"/>
                <w:sz w:val="16"/>
              </w:rPr>
              <w:t>1.7% (CRR3 Art 325ae Table 3)</w:t>
            </w:r>
          </w:p>
        </w:tc>
      </w:tr>
      <w:tr>
        <w:tc>
          <w:tcPr>
            <w:tcW w:type="dxa" w:w="3456"/>
            <w:shd w:fill="F2F2F2" w:val="clear"/>
          </w:tcPr>
          <w:p>
            <w:pPr>
              <w:jc w:val="left"/>
            </w:pPr>
            <w:r/>
            <w:r>
              <w:rPr>
                <w:rFonts w:ascii="Calibri" w:hAnsi="Calibri"/>
                <w:b/>
                <w:color w:val="000000"/>
                <w:sz w:val="16"/>
              </w:rPr>
              <w:t>GIRR Delta 1Y</w:t>
            </w:r>
          </w:p>
        </w:tc>
        <w:tc>
          <w:tcPr>
            <w:tcW w:type="dxa" w:w="3456"/>
            <w:shd w:fill="F2F2F2" w:val="clear"/>
          </w:tcPr>
          <w:p>
            <w:pPr>
              <w:jc w:val="left"/>
            </w:pPr>
            <w:r/>
            <w:r>
              <w:rPr>
                <w:rFonts w:ascii="Calibri" w:hAnsi="Calibri"/>
                <w:b w:val="0"/>
                <w:color w:val="000000"/>
                <w:sz w:val="16"/>
              </w:rPr>
              <w:t>1.6% (Table 1 to §__.209; 10 vertices, no 7Y/25Y)</w:t>
            </w:r>
          </w:p>
        </w:tc>
        <w:tc>
          <w:tcPr>
            <w:tcW w:type="dxa" w:w="3456"/>
            <w:shd w:fill="F2F2F2" w:val="clear"/>
          </w:tcPr>
          <w:p>
            <w:pPr>
              <w:jc w:val="left"/>
            </w:pPr>
            <w:r/>
            <w:r>
              <w:rPr>
                <w:rFonts w:ascii="Calibri" w:hAnsi="Calibri"/>
                <w:b w:val="0"/>
                <w:color w:val="000000"/>
                <w:sz w:val="16"/>
              </w:rPr>
              <w:t>1.6% (PS1/26 Ch.16 Table 16.1)</w:t>
            </w:r>
          </w:p>
        </w:tc>
        <w:tc>
          <w:tcPr>
            <w:tcW w:type="dxa" w:w="3456"/>
            <w:shd w:fill="F2F2F2" w:val="clear"/>
          </w:tcPr>
          <w:p>
            <w:pPr>
              <w:jc w:val="left"/>
            </w:pPr>
            <w:r/>
            <w:r>
              <w:rPr>
                <w:rFonts w:ascii="Calibri" w:hAnsi="Calibri"/>
                <w:b w:val="0"/>
                <w:color w:val="000000"/>
                <w:sz w:val="16"/>
              </w:rPr>
              <w:t>1.6% (CRR3 Art 325ae Table 3)</w:t>
            </w:r>
          </w:p>
        </w:tc>
      </w:tr>
      <w:tr>
        <w:tc>
          <w:tcPr>
            <w:tcW w:type="dxa" w:w="3456"/>
            <w:shd w:fill="FFFFFF" w:val="clear"/>
          </w:tcPr>
          <w:p>
            <w:pPr>
              <w:jc w:val="left"/>
            </w:pPr>
            <w:r/>
            <w:r>
              <w:rPr>
                <w:rFonts w:ascii="Calibri" w:hAnsi="Calibri"/>
                <w:b/>
                <w:color w:val="000000"/>
                <w:sz w:val="16"/>
              </w:rPr>
              <w:t>GIRR Delta 2Y</w:t>
            </w:r>
          </w:p>
        </w:tc>
        <w:tc>
          <w:tcPr>
            <w:tcW w:type="dxa" w:w="3456"/>
            <w:shd w:fill="FFFFFF" w:val="clear"/>
          </w:tcPr>
          <w:p>
            <w:pPr>
              <w:jc w:val="left"/>
            </w:pPr>
            <w:r/>
            <w:r>
              <w:rPr>
                <w:rFonts w:ascii="Calibri" w:hAnsi="Calibri"/>
                <w:b w:val="0"/>
                <w:color w:val="000000"/>
                <w:sz w:val="16"/>
              </w:rPr>
              <w:t>1.3% (Table 1 to §__.209; 10 vertices, no 7Y/25Y)</w:t>
            </w:r>
          </w:p>
        </w:tc>
        <w:tc>
          <w:tcPr>
            <w:tcW w:type="dxa" w:w="3456"/>
            <w:shd w:fill="FFFFFF" w:val="clear"/>
          </w:tcPr>
          <w:p>
            <w:pPr>
              <w:jc w:val="left"/>
            </w:pPr>
            <w:r/>
            <w:r>
              <w:rPr>
                <w:rFonts w:ascii="Calibri" w:hAnsi="Calibri"/>
                <w:b w:val="0"/>
                <w:color w:val="000000"/>
                <w:sz w:val="16"/>
              </w:rPr>
              <w:t>1.3% (PS1/26 Ch.16 Table 16.1)</w:t>
            </w:r>
          </w:p>
        </w:tc>
        <w:tc>
          <w:tcPr>
            <w:tcW w:type="dxa" w:w="3456"/>
            <w:shd w:fill="FFFFFF" w:val="clear"/>
          </w:tcPr>
          <w:p>
            <w:pPr>
              <w:jc w:val="left"/>
            </w:pPr>
            <w:r/>
            <w:r>
              <w:rPr>
                <w:rFonts w:ascii="Calibri" w:hAnsi="Calibri"/>
                <w:b w:val="0"/>
                <w:color w:val="000000"/>
                <w:sz w:val="16"/>
              </w:rPr>
              <w:t>1.3% (CRR3 Art 325ae Table 3)</w:t>
            </w:r>
          </w:p>
        </w:tc>
      </w:tr>
      <w:tr>
        <w:tc>
          <w:tcPr>
            <w:tcW w:type="dxa" w:w="3456"/>
            <w:shd w:fill="F2F2F2" w:val="clear"/>
          </w:tcPr>
          <w:p>
            <w:pPr>
              <w:jc w:val="left"/>
            </w:pPr>
            <w:r/>
            <w:r>
              <w:rPr>
                <w:rFonts w:ascii="Calibri" w:hAnsi="Calibri"/>
                <w:b/>
                <w:color w:val="000000"/>
                <w:sz w:val="16"/>
              </w:rPr>
              <w:t>GIRR Delta 3Y</w:t>
            </w:r>
          </w:p>
        </w:tc>
        <w:tc>
          <w:tcPr>
            <w:tcW w:type="dxa" w:w="3456"/>
            <w:shd w:fill="F2F2F2" w:val="clear"/>
          </w:tcPr>
          <w:p>
            <w:pPr>
              <w:jc w:val="left"/>
            </w:pPr>
            <w:r/>
            <w:r>
              <w:rPr>
                <w:rFonts w:ascii="Calibri" w:hAnsi="Calibri"/>
                <w:b w:val="0"/>
                <w:color w:val="000000"/>
                <w:sz w:val="16"/>
              </w:rPr>
              <w:t>1.2% (Table 1 to §__.209; 10 vertices, no 7Y/25Y)</w:t>
            </w:r>
          </w:p>
        </w:tc>
        <w:tc>
          <w:tcPr>
            <w:tcW w:type="dxa" w:w="3456"/>
            <w:shd w:fill="F2F2F2" w:val="clear"/>
          </w:tcPr>
          <w:p>
            <w:pPr>
              <w:jc w:val="left"/>
            </w:pPr>
            <w:r/>
            <w:r>
              <w:rPr>
                <w:rFonts w:ascii="Calibri" w:hAnsi="Calibri"/>
                <w:b w:val="0"/>
                <w:color w:val="000000"/>
                <w:sz w:val="16"/>
              </w:rPr>
              <w:t>1.2% (PS1/26 Ch.16 Table 16.1)</w:t>
            </w:r>
          </w:p>
        </w:tc>
        <w:tc>
          <w:tcPr>
            <w:tcW w:type="dxa" w:w="3456"/>
            <w:shd w:fill="F2F2F2" w:val="clear"/>
          </w:tcPr>
          <w:p>
            <w:pPr>
              <w:jc w:val="left"/>
            </w:pPr>
            <w:r/>
            <w:r>
              <w:rPr>
                <w:rFonts w:ascii="Calibri" w:hAnsi="Calibri"/>
                <w:b w:val="0"/>
                <w:color w:val="000000"/>
                <w:sz w:val="16"/>
              </w:rPr>
              <w:t>1.2% (CRR3 Art 325ae Table 3)</w:t>
            </w:r>
          </w:p>
        </w:tc>
      </w:tr>
      <w:tr>
        <w:tc>
          <w:tcPr>
            <w:tcW w:type="dxa" w:w="3456"/>
            <w:shd w:fill="FFFFFF" w:val="clear"/>
          </w:tcPr>
          <w:p>
            <w:pPr>
              <w:jc w:val="left"/>
            </w:pPr>
            <w:r/>
            <w:r>
              <w:rPr>
                <w:rFonts w:ascii="Calibri" w:hAnsi="Calibri"/>
                <w:b/>
                <w:color w:val="000000"/>
                <w:sz w:val="16"/>
              </w:rPr>
              <w:t>GIRR Delta 5Y</w:t>
            </w:r>
          </w:p>
        </w:tc>
        <w:tc>
          <w:tcPr>
            <w:tcW w:type="dxa" w:w="3456"/>
            <w:shd w:fill="FFFFFF" w:val="clear"/>
          </w:tcPr>
          <w:p>
            <w:pPr>
              <w:jc w:val="left"/>
            </w:pPr>
            <w:r/>
            <w:r>
              <w:rPr>
                <w:rFonts w:ascii="Calibri" w:hAnsi="Calibri"/>
                <w:b w:val="0"/>
                <w:color w:val="000000"/>
                <w:sz w:val="16"/>
              </w:rPr>
              <w:t>1.1% (Table 1 to §__.209; 10 vertices, no 7Y/25Y)</w:t>
            </w:r>
          </w:p>
        </w:tc>
        <w:tc>
          <w:tcPr>
            <w:tcW w:type="dxa" w:w="3456"/>
            <w:shd w:fill="FFFFFF" w:val="clear"/>
          </w:tcPr>
          <w:p>
            <w:pPr>
              <w:jc w:val="left"/>
            </w:pPr>
            <w:r/>
            <w:r>
              <w:rPr>
                <w:rFonts w:ascii="Calibri" w:hAnsi="Calibri"/>
                <w:b w:val="0"/>
                <w:color w:val="000000"/>
                <w:sz w:val="16"/>
              </w:rPr>
              <w:t>1.1% (PS1/26 Ch.16 Table 16.1)</w:t>
            </w:r>
          </w:p>
        </w:tc>
        <w:tc>
          <w:tcPr>
            <w:tcW w:type="dxa" w:w="3456"/>
            <w:shd w:fill="FFFFFF" w:val="clear"/>
          </w:tcPr>
          <w:p>
            <w:pPr>
              <w:jc w:val="left"/>
            </w:pPr>
            <w:r/>
            <w:r>
              <w:rPr>
                <w:rFonts w:ascii="Calibri" w:hAnsi="Calibri"/>
                <w:b w:val="0"/>
                <w:color w:val="000000"/>
                <w:sz w:val="16"/>
              </w:rPr>
              <w:t>1.1% (CRR3 Art 325ae Table 3)</w:t>
            </w:r>
          </w:p>
        </w:tc>
      </w:tr>
      <w:tr>
        <w:tc>
          <w:tcPr>
            <w:tcW w:type="dxa" w:w="3456"/>
            <w:shd w:fill="F2F2F2" w:val="clear"/>
          </w:tcPr>
          <w:p>
            <w:pPr>
              <w:jc w:val="left"/>
            </w:pPr>
            <w:r/>
            <w:r>
              <w:rPr>
                <w:rFonts w:ascii="Calibri" w:hAnsi="Calibri"/>
                <w:b/>
                <w:color w:val="000000"/>
                <w:sz w:val="16"/>
              </w:rPr>
              <w:t>GIRR Delta 10Y</w:t>
            </w:r>
          </w:p>
        </w:tc>
        <w:tc>
          <w:tcPr>
            <w:tcW w:type="dxa" w:w="3456"/>
            <w:shd w:fill="F2F2F2" w:val="clear"/>
          </w:tcPr>
          <w:p>
            <w:pPr>
              <w:jc w:val="left"/>
            </w:pPr>
            <w:r/>
            <w:r>
              <w:rPr>
                <w:rFonts w:ascii="Calibri" w:hAnsi="Calibri"/>
                <w:b w:val="0"/>
                <w:color w:val="000000"/>
                <w:sz w:val="16"/>
              </w:rPr>
              <w:t>1.1% (Table 1 to §__.209; 10 vertices, no 7Y/25Y)</w:t>
            </w:r>
          </w:p>
        </w:tc>
        <w:tc>
          <w:tcPr>
            <w:tcW w:type="dxa" w:w="3456"/>
            <w:shd w:fill="F2F2F2" w:val="clear"/>
          </w:tcPr>
          <w:p>
            <w:pPr>
              <w:jc w:val="left"/>
            </w:pPr>
            <w:r/>
            <w:r>
              <w:rPr>
                <w:rFonts w:ascii="Calibri" w:hAnsi="Calibri"/>
                <w:b w:val="0"/>
                <w:color w:val="000000"/>
                <w:sz w:val="16"/>
              </w:rPr>
              <w:t>1.1% (PS1/26 Ch.16 Table 16.1)</w:t>
            </w:r>
          </w:p>
        </w:tc>
        <w:tc>
          <w:tcPr>
            <w:tcW w:type="dxa" w:w="3456"/>
            <w:shd w:fill="F2F2F2" w:val="clear"/>
          </w:tcPr>
          <w:p>
            <w:pPr>
              <w:jc w:val="left"/>
            </w:pPr>
            <w:r/>
            <w:r>
              <w:rPr>
                <w:rFonts w:ascii="Calibri" w:hAnsi="Calibri"/>
                <w:b w:val="0"/>
                <w:color w:val="000000"/>
                <w:sz w:val="16"/>
              </w:rPr>
              <w:t>1.1% (CRR3 Art 325ae Table 3)</w:t>
            </w:r>
          </w:p>
        </w:tc>
      </w:tr>
      <w:tr>
        <w:tc>
          <w:tcPr>
            <w:tcW w:type="dxa" w:w="3456"/>
            <w:shd w:fill="FFFFFF" w:val="clear"/>
          </w:tcPr>
          <w:p>
            <w:pPr>
              <w:jc w:val="left"/>
            </w:pPr>
            <w:r/>
            <w:r>
              <w:rPr>
                <w:rFonts w:ascii="Calibri" w:hAnsi="Calibri"/>
                <w:b/>
                <w:color w:val="000000"/>
                <w:sz w:val="16"/>
              </w:rPr>
              <w:t>GIRR Delta 15Y</w:t>
            </w:r>
          </w:p>
        </w:tc>
        <w:tc>
          <w:tcPr>
            <w:tcW w:type="dxa" w:w="3456"/>
            <w:shd w:fill="FFFFFF" w:val="clear"/>
          </w:tcPr>
          <w:p>
            <w:pPr>
              <w:jc w:val="left"/>
            </w:pPr>
            <w:r/>
            <w:r>
              <w:rPr>
                <w:rFonts w:ascii="Calibri" w:hAnsi="Calibri"/>
                <w:b w:val="0"/>
                <w:color w:val="000000"/>
                <w:sz w:val="16"/>
              </w:rPr>
              <w:t>1.1% (Table 1 to §__.209; 10 vertices, no 7Y/25Y)</w:t>
            </w:r>
          </w:p>
        </w:tc>
        <w:tc>
          <w:tcPr>
            <w:tcW w:type="dxa" w:w="3456"/>
            <w:shd w:fill="FFFFFF" w:val="clear"/>
          </w:tcPr>
          <w:p>
            <w:pPr>
              <w:jc w:val="left"/>
            </w:pPr>
            <w:r/>
            <w:r>
              <w:rPr>
                <w:rFonts w:ascii="Calibri" w:hAnsi="Calibri"/>
                <w:b w:val="0"/>
                <w:color w:val="000000"/>
                <w:sz w:val="16"/>
              </w:rPr>
              <w:t>1.1% (PS1/26 Ch.16 Table 16.1)</w:t>
            </w:r>
          </w:p>
        </w:tc>
        <w:tc>
          <w:tcPr>
            <w:tcW w:type="dxa" w:w="3456"/>
            <w:shd w:fill="FFFFFF" w:val="clear"/>
          </w:tcPr>
          <w:p>
            <w:pPr>
              <w:jc w:val="left"/>
            </w:pPr>
            <w:r/>
            <w:r>
              <w:rPr>
                <w:rFonts w:ascii="Calibri" w:hAnsi="Calibri"/>
                <w:b w:val="0"/>
                <w:color w:val="000000"/>
                <w:sz w:val="16"/>
              </w:rPr>
              <w:t>1.1% (CRR3 Art 325ae Table 3)</w:t>
            </w:r>
          </w:p>
        </w:tc>
      </w:tr>
      <w:tr>
        <w:tc>
          <w:tcPr>
            <w:tcW w:type="dxa" w:w="3456"/>
            <w:shd w:fill="F2F2F2" w:val="clear"/>
          </w:tcPr>
          <w:p>
            <w:pPr>
              <w:jc w:val="left"/>
            </w:pPr>
            <w:r/>
            <w:r>
              <w:rPr>
                <w:rFonts w:ascii="Calibri" w:hAnsi="Calibri"/>
                <w:b/>
                <w:color w:val="000000"/>
                <w:sz w:val="16"/>
              </w:rPr>
              <w:t>GIRR Delta 20Y</w:t>
            </w:r>
          </w:p>
        </w:tc>
        <w:tc>
          <w:tcPr>
            <w:tcW w:type="dxa" w:w="3456"/>
            <w:shd w:fill="F2F2F2" w:val="clear"/>
          </w:tcPr>
          <w:p>
            <w:pPr>
              <w:jc w:val="left"/>
            </w:pPr>
            <w:r/>
            <w:r>
              <w:rPr>
                <w:rFonts w:ascii="Calibri" w:hAnsi="Calibri"/>
                <w:b w:val="0"/>
                <w:color w:val="000000"/>
                <w:sz w:val="16"/>
              </w:rPr>
              <w:t>1.1% (Table 1 to §__.209; 10 vertices, no 7Y/25Y)</w:t>
            </w:r>
          </w:p>
        </w:tc>
        <w:tc>
          <w:tcPr>
            <w:tcW w:type="dxa" w:w="3456"/>
            <w:shd w:fill="F2F2F2" w:val="clear"/>
          </w:tcPr>
          <w:p>
            <w:pPr>
              <w:jc w:val="left"/>
            </w:pPr>
            <w:r/>
            <w:r>
              <w:rPr>
                <w:rFonts w:ascii="Calibri" w:hAnsi="Calibri"/>
                <w:b w:val="0"/>
                <w:color w:val="000000"/>
                <w:sz w:val="16"/>
              </w:rPr>
              <w:t>1.1% (PS1/26 Ch.16 Table 16.1)</w:t>
            </w:r>
          </w:p>
        </w:tc>
        <w:tc>
          <w:tcPr>
            <w:tcW w:type="dxa" w:w="3456"/>
            <w:shd w:fill="F2F2F2" w:val="clear"/>
          </w:tcPr>
          <w:p>
            <w:pPr>
              <w:jc w:val="left"/>
            </w:pPr>
            <w:r/>
            <w:r>
              <w:rPr>
                <w:rFonts w:ascii="Calibri" w:hAnsi="Calibri"/>
                <w:b w:val="0"/>
                <w:color w:val="000000"/>
                <w:sz w:val="16"/>
              </w:rPr>
              <w:t>1.1% (CRR3 Art 325ae Table 3)</w:t>
            </w:r>
          </w:p>
        </w:tc>
      </w:tr>
      <w:tr>
        <w:tc>
          <w:tcPr>
            <w:tcW w:type="dxa" w:w="3456"/>
            <w:shd w:fill="FFFFFF" w:val="clear"/>
          </w:tcPr>
          <w:p>
            <w:pPr>
              <w:jc w:val="left"/>
            </w:pPr>
            <w:r/>
            <w:r>
              <w:rPr>
                <w:rFonts w:ascii="Calibri" w:hAnsi="Calibri"/>
                <w:b/>
                <w:color w:val="000000"/>
                <w:sz w:val="16"/>
              </w:rPr>
              <w:t>GIRR Delta 30Y</w:t>
            </w:r>
          </w:p>
        </w:tc>
        <w:tc>
          <w:tcPr>
            <w:tcW w:type="dxa" w:w="3456"/>
            <w:shd w:fill="FFFFFF" w:val="clear"/>
          </w:tcPr>
          <w:p>
            <w:pPr>
              <w:jc w:val="left"/>
            </w:pPr>
            <w:r/>
            <w:r>
              <w:rPr>
                <w:rFonts w:ascii="Calibri" w:hAnsi="Calibri"/>
                <w:b w:val="0"/>
                <w:color w:val="000000"/>
                <w:sz w:val="16"/>
              </w:rPr>
              <w:t>1.1% (Table 1 to §__.209; 10 vertices, no 7Y/25Y)</w:t>
            </w:r>
          </w:p>
        </w:tc>
        <w:tc>
          <w:tcPr>
            <w:tcW w:type="dxa" w:w="3456"/>
            <w:shd w:fill="FFFFFF" w:val="clear"/>
          </w:tcPr>
          <w:p>
            <w:pPr>
              <w:jc w:val="left"/>
            </w:pPr>
            <w:r/>
            <w:r>
              <w:rPr>
                <w:rFonts w:ascii="Calibri" w:hAnsi="Calibri"/>
                <w:b w:val="0"/>
                <w:color w:val="000000"/>
                <w:sz w:val="16"/>
              </w:rPr>
              <w:t>1.1% (PS1/26 Ch.16 Table 16.1)</w:t>
            </w:r>
          </w:p>
        </w:tc>
        <w:tc>
          <w:tcPr>
            <w:tcW w:type="dxa" w:w="3456"/>
            <w:shd w:fill="FFFFFF" w:val="clear"/>
          </w:tcPr>
          <w:p>
            <w:pPr>
              <w:jc w:val="left"/>
            </w:pPr>
            <w:r/>
            <w:r>
              <w:rPr>
                <w:rFonts w:ascii="Calibri" w:hAnsi="Calibri"/>
                <w:b w:val="0"/>
                <w:color w:val="000000"/>
                <w:sz w:val="16"/>
              </w:rPr>
              <w:t>1.1% (CRR3 Art 325ae Table 3)</w:t>
            </w:r>
          </w:p>
        </w:tc>
      </w:tr>
      <w:tr>
        <w:tc>
          <w:tcPr>
            <w:tcW w:type="dxa" w:w="3456"/>
            <w:shd w:fill="F2F2F2" w:val="clear"/>
          </w:tcPr>
          <w:p>
            <w:pPr>
              <w:jc w:val="left"/>
            </w:pPr>
            <w:r/>
            <w:r>
              <w:rPr>
                <w:rFonts w:ascii="Calibri" w:hAnsi="Calibri"/>
                <w:b/>
                <w:color w:val="000000"/>
                <w:sz w:val="16"/>
              </w:rPr>
              <w:t>GIRR Inflation</w:t>
            </w:r>
          </w:p>
        </w:tc>
        <w:tc>
          <w:tcPr>
            <w:tcW w:type="dxa" w:w="3456"/>
            <w:shd w:fill="F2F2F2" w:val="clear"/>
          </w:tcPr>
          <w:p>
            <w:pPr>
              <w:jc w:val="left"/>
            </w:pPr>
            <w:r/>
            <w:r>
              <w:rPr>
                <w:rFonts w:ascii="Calibri" w:hAnsi="Calibri"/>
                <w:b w:val="0"/>
                <w:color w:val="000000"/>
                <w:sz w:val="16"/>
              </w:rPr>
              <w:t>1.6% (Table 1 to §__.209)</w:t>
            </w:r>
          </w:p>
        </w:tc>
        <w:tc>
          <w:tcPr>
            <w:tcW w:type="dxa" w:w="3456"/>
            <w:shd w:fill="F2F2F2" w:val="clear"/>
          </w:tcPr>
          <w:p>
            <w:pPr>
              <w:jc w:val="left"/>
            </w:pPr>
            <w:r/>
            <w:r>
              <w:rPr>
                <w:rFonts w:ascii="Calibri" w:hAnsi="Calibri"/>
                <w:b w:val="0"/>
                <w:color w:val="000000"/>
                <w:sz w:val="16"/>
              </w:rPr>
              <w:t>1.6% (PS1/26 Ch.16)</w:t>
            </w:r>
          </w:p>
        </w:tc>
        <w:tc>
          <w:tcPr>
            <w:tcW w:type="dxa" w:w="3456"/>
            <w:shd w:fill="F2F2F2" w:val="clear"/>
          </w:tcPr>
          <w:p>
            <w:pPr>
              <w:jc w:val="left"/>
            </w:pPr>
            <w:r/>
            <w:r>
              <w:rPr>
                <w:rFonts w:ascii="Calibri" w:hAnsi="Calibri"/>
                <w:b w:val="0"/>
                <w:color w:val="000000"/>
                <w:sz w:val="16"/>
              </w:rPr>
              <w:t>1.6% (CRR3 Art 325ae(3))</w:t>
            </w:r>
          </w:p>
        </w:tc>
      </w:tr>
      <w:tr>
        <w:tc>
          <w:tcPr>
            <w:tcW w:type="dxa" w:w="3456"/>
            <w:shd w:fill="FFFFFF" w:val="clear"/>
          </w:tcPr>
          <w:p>
            <w:pPr>
              <w:jc w:val="left"/>
            </w:pPr>
            <w:r/>
            <w:r>
              <w:rPr>
                <w:rFonts w:ascii="Calibri" w:hAnsi="Calibri"/>
                <w:b/>
                <w:color w:val="000000"/>
                <w:sz w:val="16"/>
              </w:rPr>
              <w:t>GIRR Cross-Currency Basis</w:t>
            </w:r>
          </w:p>
        </w:tc>
        <w:tc>
          <w:tcPr>
            <w:tcW w:type="dxa" w:w="3456"/>
            <w:shd w:fill="FFFFFF" w:val="clear"/>
          </w:tcPr>
          <w:p>
            <w:pPr>
              <w:jc w:val="left"/>
            </w:pPr>
            <w:r/>
            <w:r>
              <w:rPr>
                <w:rFonts w:ascii="Calibri" w:hAnsi="Calibri"/>
                <w:b w:val="0"/>
                <w:color w:val="000000"/>
                <w:sz w:val="16"/>
              </w:rPr>
              <w:t>1.6% (Table 1 to §__.209)</w:t>
            </w:r>
          </w:p>
        </w:tc>
        <w:tc>
          <w:tcPr>
            <w:tcW w:type="dxa" w:w="3456"/>
            <w:shd w:fill="FFFFFF" w:val="clear"/>
          </w:tcPr>
          <w:p>
            <w:pPr>
              <w:jc w:val="left"/>
            </w:pPr>
            <w:r/>
            <w:r>
              <w:rPr>
                <w:rFonts w:ascii="Calibri" w:hAnsi="Calibri"/>
                <w:b w:val="0"/>
                <w:color w:val="000000"/>
                <w:sz w:val="16"/>
              </w:rPr>
              <w:t>1.6% (PS1/26 Ch.16)</w:t>
            </w:r>
          </w:p>
        </w:tc>
        <w:tc>
          <w:tcPr>
            <w:tcW w:type="dxa" w:w="3456"/>
            <w:shd w:fill="FFFFFF" w:val="clear"/>
          </w:tcPr>
          <w:p>
            <w:pPr>
              <w:jc w:val="left"/>
            </w:pPr>
            <w:r/>
            <w:r>
              <w:rPr>
                <w:rFonts w:ascii="Calibri" w:hAnsi="Calibri"/>
                <w:b w:val="0"/>
                <w:color w:val="000000"/>
                <w:sz w:val="16"/>
              </w:rPr>
              <w:t>1.6% (CRR3 Art 325ae(4))</w:t>
            </w:r>
          </w:p>
        </w:tc>
      </w:tr>
      <w:tr>
        <w:tc>
          <w:tcPr>
            <w:tcW w:type="dxa" w:w="3456"/>
            <w:shd w:fill="F2F2F2" w:val="clear"/>
          </w:tcPr>
          <w:p>
            <w:pPr>
              <w:jc w:val="left"/>
            </w:pPr>
            <w:r/>
            <w:r>
              <w:rPr>
                <w:rFonts w:ascii="Calibri" w:hAnsi="Calibri"/>
                <w:b/>
                <w:color w:val="000000"/>
                <w:sz w:val="16"/>
              </w:rPr>
              <w:t>GIRR Liquid Currencies</w:t>
            </w:r>
          </w:p>
        </w:tc>
        <w:tc>
          <w:tcPr>
            <w:tcW w:type="dxa" w:w="3456"/>
            <w:shd w:fill="F2F2F2" w:val="clear"/>
          </w:tcPr>
          <w:p>
            <w:pPr>
              <w:jc w:val="left"/>
            </w:pPr>
            <w:r/>
            <w:r>
              <w:rPr>
                <w:rFonts w:ascii="Calibri" w:hAnsi="Calibri"/>
                <w:b w:val="0"/>
                <w:color w:val="000000"/>
                <w:sz w:val="16"/>
              </w:rPr>
              <w:t>Risk weights may be divided by sqrt(2) for USD, AUD, CAD, EUR, JPY, SEK, GBP (and agency-specified currencies) (ERBA NPR §__.209)</w:t>
            </w:r>
          </w:p>
        </w:tc>
        <w:tc>
          <w:tcPr>
            <w:tcW w:type="dxa" w:w="3456"/>
            <w:shd w:fill="F2F2F2" w:val="clear"/>
          </w:tcPr>
          <w:p>
            <w:pPr>
              <w:jc w:val="left"/>
            </w:pPr>
            <w:r/>
            <w:r>
              <w:rPr>
                <w:rFonts w:ascii="Calibri" w:hAnsi="Calibri"/>
                <w:b w:val="0"/>
                <w:color w:val="000000"/>
                <w:sz w:val="16"/>
              </w:rPr>
              <w:t>Same sqrt(2) treatment (PS1/26 Ch.16)</w:t>
            </w:r>
          </w:p>
        </w:tc>
        <w:tc>
          <w:tcPr>
            <w:tcW w:type="dxa" w:w="3456"/>
            <w:shd w:fill="F2F2F2" w:val="clear"/>
          </w:tcPr>
          <w:p>
            <w:pPr>
              <w:jc w:val="left"/>
            </w:pPr>
            <w:r/>
            <w:r>
              <w:rPr>
                <w:rFonts w:ascii="Calibri" w:hAnsi="Calibri"/>
                <w:b w:val="0"/>
                <w:color w:val="000000"/>
                <w:sz w:val="16"/>
              </w:rPr>
              <w:t>Same sqrt(2) treatment (CRR3 Art 325ae(2))</w:t>
            </w:r>
          </w:p>
        </w:tc>
      </w:tr>
    </w:tbl>
    <w:p>
      <w:r>
        <w:rPr>
          <w:rFonts w:ascii="Calibri" w:hAnsi="Calibri"/>
          <w:b/>
          <w:color w:val="002060"/>
          <w:sz w:val="22"/>
        </w:rPr>
        <w:t>11.2 CSR Non-Securitization Risk Weights (US Table 3 to §__.209 vs MAR21.53)</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Bucket (US Table 3 to §__.209)</w:t>
            </w:r>
          </w:p>
        </w:tc>
        <w:tc>
          <w:tcPr>
            <w:tcW w:type="dxa" w:w="3456"/>
            <w:shd w:fill="002060" w:val="clear"/>
            <w:tcW w:w="3600" w:type="dxa"/>
          </w:tcPr>
          <w:p>
            <w:pPr>
              <w:jc w:val="center"/>
            </w:pPr>
            <w:r/>
            <w:r>
              <w:rPr>
                <w:rFonts w:ascii="Calibri" w:hAnsi="Calibri"/>
                <w:b/>
                <w:color w:val="FFFFFF"/>
                <w:sz w:val="16"/>
              </w:rPr>
              <w:t>US RW (ERBA)</w:t>
            </w:r>
          </w:p>
        </w:tc>
        <w:tc>
          <w:tcPr>
            <w:tcW w:type="dxa" w:w="3456"/>
            <w:shd w:fill="002060" w:val="clear"/>
            <w:tcW w:w="3600" w:type="dxa"/>
          </w:tcPr>
          <w:p>
            <w:pPr>
              <w:jc w:val="center"/>
            </w:pPr>
            <w:r/>
            <w:r>
              <w:rPr>
                <w:rFonts w:ascii="Calibri" w:hAnsi="Calibri"/>
                <w:b/>
                <w:color w:val="FFFFFF"/>
                <w:sz w:val="16"/>
              </w:rPr>
              <w:t>UK RW (PS1/26)</w:t>
            </w:r>
          </w:p>
        </w:tc>
        <w:tc>
          <w:tcPr>
            <w:tcW w:type="dxa" w:w="3456"/>
            <w:shd w:fill="002060" w:val="clear"/>
            <w:tcW w:w="3600" w:type="dxa"/>
          </w:tcPr>
          <w:p>
            <w:pPr>
              <w:jc w:val="center"/>
            </w:pPr>
            <w:r/>
            <w:r>
              <w:rPr>
                <w:rFonts w:ascii="Calibri" w:hAnsi="Calibri"/>
                <w:b/>
                <w:color w:val="FFFFFF"/>
                <w:sz w:val="16"/>
              </w:rPr>
              <w:t>EU RW (CRR3)</w:t>
            </w:r>
          </w:p>
        </w:tc>
      </w:tr>
      <w:tr>
        <w:tc>
          <w:tcPr>
            <w:tcW w:type="dxa" w:w="3456"/>
            <w:shd w:fill="F2F2F2" w:val="clear"/>
          </w:tcPr>
          <w:p>
            <w:pPr>
              <w:jc w:val="left"/>
            </w:pPr>
            <w:r/>
            <w:r>
              <w:rPr>
                <w:rFonts w:ascii="Calibri" w:hAnsi="Calibri"/>
                <w:b/>
                <w:color w:val="000000"/>
                <w:sz w:val="16"/>
              </w:rPr>
              <w:t>CSR 1: Sovereigns, MDBs, supranationals (IG)</w:t>
            </w:r>
          </w:p>
        </w:tc>
        <w:tc>
          <w:tcPr>
            <w:tcW w:type="dxa" w:w="3456"/>
            <w:shd w:fill="F2F2F2" w:val="clear"/>
          </w:tcPr>
          <w:p>
            <w:pPr>
              <w:jc w:val="left"/>
            </w:pPr>
            <w:r/>
            <w:r>
              <w:rPr>
                <w:rFonts w:ascii="Calibri" w:hAnsi="Calibri"/>
                <w:b w:val="0"/>
                <w:color w:val="000000"/>
                <w:sz w:val="16"/>
              </w:rPr>
              <w:t>0.5% (Table 3 to §__.209)</w:t>
            </w:r>
          </w:p>
        </w:tc>
        <w:tc>
          <w:tcPr>
            <w:tcW w:type="dxa" w:w="3456"/>
            <w:shd w:fill="F2F2F2" w:val="clear"/>
          </w:tcPr>
          <w:p>
            <w:pPr>
              <w:jc w:val="left"/>
            </w:pPr>
            <w:r/>
            <w:r>
              <w:rPr>
                <w:rFonts w:ascii="Calibri" w:hAnsi="Calibri"/>
                <w:b w:val="0"/>
                <w:color w:val="000000"/>
                <w:sz w:val="16"/>
              </w:rPr>
              <w:t>0.5% (MAR21.53 bkt 1) (PS1/26 Ch.16 Table 16.3)</w:t>
            </w:r>
          </w:p>
        </w:tc>
        <w:tc>
          <w:tcPr>
            <w:tcW w:type="dxa" w:w="3456"/>
            <w:shd w:fill="F2F2F2" w:val="clear"/>
          </w:tcPr>
          <w:p>
            <w:pPr>
              <w:jc w:val="left"/>
            </w:pPr>
            <w:r/>
            <w:r>
              <w:rPr>
                <w:rFonts w:ascii="Calibri" w:hAnsi="Calibri"/>
                <w:b w:val="0"/>
                <w:color w:val="000000"/>
                <w:sz w:val="16"/>
              </w:rPr>
              <w:t>0.5% (MAR21.53 bkt 1) (CRR3 Art 325ah Table 5)</w:t>
            </w:r>
          </w:p>
        </w:tc>
      </w:tr>
      <w:tr>
        <w:tc>
          <w:tcPr>
            <w:tcW w:type="dxa" w:w="3456"/>
            <w:shd w:fill="FFFFFF" w:val="clear"/>
          </w:tcPr>
          <w:p>
            <w:pPr>
              <w:jc w:val="left"/>
            </w:pPr>
            <w:r/>
            <w:r>
              <w:rPr>
                <w:rFonts w:ascii="Calibri" w:hAnsi="Calibri"/>
                <w:b/>
                <w:color w:val="000000"/>
                <w:sz w:val="16"/>
              </w:rPr>
              <w:t>CSR 2: PSE, gov-backed non-fin, GSE debt, education, public admin (IG)</w:t>
            </w:r>
          </w:p>
        </w:tc>
        <w:tc>
          <w:tcPr>
            <w:tcW w:type="dxa" w:w="3456"/>
            <w:shd w:fill="FFFFFF" w:val="clear"/>
          </w:tcPr>
          <w:p>
            <w:pPr>
              <w:jc w:val="left"/>
            </w:pPr>
            <w:r/>
            <w:r>
              <w:rPr>
                <w:rFonts w:ascii="Calibri" w:hAnsi="Calibri"/>
                <w:b w:val="0"/>
                <w:color w:val="000000"/>
                <w:sz w:val="16"/>
              </w:rPr>
              <w:t>1.0% (Table 3 to §__.209)</w:t>
            </w:r>
          </w:p>
        </w:tc>
        <w:tc>
          <w:tcPr>
            <w:tcW w:type="dxa" w:w="3456"/>
            <w:shd w:fill="FFFFFF" w:val="clear"/>
          </w:tcPr>
          <w:p>
            <w:pPr>
              <w:jc w:val="left"/>
            </w:pPr>
            <w:r/>
            <w:r>
              <w:rPr>
                <w:rFonts w:ascii="Calibri" w:hAnsi="Calibri"/>
                <w:b w:val="0"/>
                <w:color w:val="000000"/>
                <w:sz w:val="16"/>
              </w:rPr>
              <w:t>1.0% (MAR21.53 bkt 2) (PS1/26 Ch.16 Table 16.3)</w:t>
            </w:r>
          </w:p>
        </w:tc>
        <w:tc>
          <w:tcPr>
            <w:tcW w:type="dxa" w:w="3456"/>
            <w:shd w:fill="FFFFFF" w:val="clear"/>
          </w:tcPr>
          <w:p>
            <w:pPr>
              <w:jc w:val="left"/>
            </w:pPr>
            <w:r/>
            <w:r>
              <w:rPr>
                <w:rFonts w:ascii="Calibri" w:hAnsi="Calibri"/>
                <w:b w:val="0"/>
                <w:color w:val="000000"/>
                <w:sz w:val="16"/>
              </w:rPr>
              <w:t>1.0% (MAR21.53 bkt 2) (CRR3 Art 325ah Table 5)</w:t>
            </w:r>
          </w:p>
        </w:tc>
      </w:tr>
      <w:tr>
        <w:tc>
          <w:tcPr>
            <w:tcW w:type="dxa" w:w="3456"/>
            <w:shd w:fill="F2F2F2" w:val="clear"/>
          </w:tcPr>
          <w:p>
            <w:pPr>
              <w:jc w:val="left"/>
            </w:pPr>
            <w:r/>
            <w:r>
              <w:rPr>
                <w:rFonts w:ascii="Calibri" w:hAnsi="Calibri"/>
                <w:b/>
                <w:color w:val="000000"/>
                <w:sz w:val="16"/>
              </w:rPr>
              <w:t>CSR 3: Financials incl gov-backed, real estate (IG)</w:t>
            </w:r>
          </w:p>
        </w:tc>
        <w:tc>
          <w:tcPr>
            <w:tcW w:type="dxa" w:w="3456"/>
            <w:shd w:fill="F2F2F2" w:val="clear"/>
          </w:tcPr>
          <w:p>
            <w:pPr>
              <w:jc w:val="left"/>
            </w:pPr>
            <w:r/>
            <w:r>
              <w:rPr>
                <w:rFonts w:ascii="Calibri" w:hAnsi="Calibri"/>
                <w:b w:val="0"/>
                <w:color w:val="000000"/>
                <w:sz w:val="16"/>
              </w:rPr>
              <w:t>5.0% (Table 3 to §__.209)</w:t>
            </w:r>
          </w:p>
        </w:tc>
        <w:tc>
          <w:tcPr>
            <w:tcW w:type="dxa" w:w="3456"/>
            <w:shd w:fill="F2F2F2" w:val="clear"/>
          </w:tcPr>
          <w:p>
            <w:pPr>
              <w:jc w:val="left"/>
            </w:pPr>
            <w:r/>
            <w:r>
              <w:rPr>
                <w:rFonts w:ascii="Calibri" w:hAnsi="Calibri"/>
                <w:b w:val="0"/>
                <w:color w:val="000000"/>
                <w:sz w:val="16"/>
              </w:rPr>
              <w:t>5.0% (MAR21.53 bkt 3) (PS1/26 Ch.16 Table 16.3)</w:t>
            </w:r>
          </w:p>
        </w:tc>
        <w:tc>
          <w:tcPr>
            <w:tcW w:type="dxa" w:w="3456"/>
            <w:shd w:fill="F2F2F2" w:val="clear"/>
          </w:tcPr>
          <w:p>
            <w:pPr>
              <w:jc w:val="left"/>
            </w:pPr>
            <w:r/>
            <w:r>
              <w:rPr>
                <w:rFonts w:ascii="Calibri" w:hAnsi="Calibri"/>
                <w:b w:val="0"/>
                <w:color w:val="000000"/>
                <w:sz w:val="16"/>
              </w:rPr>
              <w:t>5.0% (MAR21.53 bkt 3) (CRR3 Art 325ah Table 5)</w:t>
            </w:r>
          </w:p>
        </w:tc>
      </w:tr>
      <w:tr>
        <w:tc>
          <w:tcPr>
            <w:tcW w:type="dxa" w:w="3456"/>
            <w:shd w:fill="FFFFFF" w:val="clear"/>
          </w:tcPr>
          <w:p>
            <w:pPr>
              <w:jc w:val="left"/>
            </w:pPr>
            <w:r/>
            <w:r>
              <w:rPr>
                <w:rFonts w:ascii="Calibri" w:hAnsi="Calibri"/>
                <w:b/>
                <w:color w:val="000000"/>
                <w:sz w:val="16"/>
              </w:rPr>
              <w:t>CSR 4: Basic materials, energy, industrials, agri, manufacturing, mining (IG)</w:t>
            </w:r>
          </w:p>
        </w:tc>
        <w:tc>
          <w:tcPr>
            <w:tcW w:type="dxa" w:w="3456"/>
            <w:shd w:fill="FFFFFF" w:val="clear"/>
          </w:tcPr>
          <w:p>
            <w:pPr>
              <w:jc w:val="left"/>
            </w:pPr>
            <w:r/>
            <w:r>
              <w:rPr>
                <w:rFonts w:ascii="Calibri" w:hAnsi="Calibri"/>
                <w:b w:val="0"/>
                <w:color w:val="000000"/>
                <w:sz w:val="16"/>
              </w:rPr>
              <w:t>3.0% (Table 3 to §__.209)</w:t>
            </w:r>
          </w:p>
        </w:tc>
        <w:tc>
          <w:tcPr>
            <w:tcW w:type="dxa" w:w="3456"/>
            <w:shd w:fill="FFFFFF" w:val="clear"/>
          </w:tcPr>
          <w:p>
            <w:pPr>
              <w:jc w:val="left"/>
            </w:pPr>
            <w:r/>
            <w:r>
              <w:rPr>
                <w:rFonts w:ascii="Calibri" w:hAnsi="Calibri"/>
                <w:b w:val="0"/>
                <w:color w:val="000000"/>
                <w:sz w:val="16"/>
              </w:rPr>
              <w:t>3.0% (MAR21.53 bkt 4) (PS1/26 Ch.16 Table 16.3)</w:t>
            </w:r>
          </w:p>
        </w:tc>
        <w:tc>
          <w:tcPr>
            <w:tcW w:type="dxa" w:w="3456"/>
            <w:shd w:fill="FFFFFF" w:val="clear"/>
          </w:tcPr>
          <w:p>
            <w:pPr>
              <w:jc w:val="left"/>
            </w:pPr>
            <w:r/>
            <w:r>
              <w:rPr>
                <w:rFonts w:ascii="Calibri" w:hAnsi="Calibri"/>
                <w:b w:val="0"/>
                <w:color w:val="000000"/>
                <w:sz w:val="16"/>
              </w:rPr>
              <w:t>3.0% (MAR21.53 bkt 4) (CRR3 Art 325ah Table 5)</w:t>
            </w:r>
          </w:p>
        </w:tc>
      </w:tr>
      <w:tr>
        <w:tc>
          <w:tcPr>
            <w:tcW w:type="dxa" w:w="3456"/>
            <w:shd w:fill="F2F2F2" w:val="clear"/>
          </w:tcPr>
          <w:p>
            <w:pPr>
              <w:jc w:val="left"/>
            </w:pPr>
            <w:r/>
            <w:r>
              <w:rPr>
                <w:rFonts w:ascii="Calibri" w:hAnsi="Calibri"/>
                <w:b/>
                <w:color w:val="000000"/>
                <w:sz w:val="16"/>
              </w:rPr>
              <w:t>CSR 5: Consumer goods &amp; services, transport, admin (IG)</w:t>
            </w:r>
          </w:p>
        </w:tc>
        <w:tc>
          <w:tcPr>
            <w:tcW w:type="dxa" w:w="3456"/>
            <w:shd w:fill="F2F2F2" w:val="clear"/>
          </w:tcPr>
          <w:p>
            <w:pPr>
              <w:jc w:val="left"/>
            </w:pPr>
            <w:r/>
            <w:r>
              <w:rPr>
                <w:rFonts w:ascii="Calibri" w:hAnsi="Calibri"/>
                <w:b w:val="0"/>
                <w:color w:val="000000"/>
                <w:sz w:val="16"/>
              </w:rPr>
              <w:t>3.0% (Table 3 to §__.209)</w:t>
            </w:r>
          </w:p>
        </w:tc>
        <w:tc>
          <w:tcPr>
            <w:tcW w:type="dxa" w:w="3456"/>
            <w:shd w:fill="F2F2F2" w:val="clear"/>
          </w:tcPr>
          <w:p>
            <w:pPr>
              <w:jc w:val="left"/>
            </w:pPr>
            <w:r/>
            <w:r>
              <w:rPr>
                <w:rFonts w:ascii="Calibri" w:hAnsi="Calibri"/>
                <w:b w:val="0"/>
                <w:color w:val="000000"/>
                <w:sz w:val="16"/>
              </w:rPr>
              <w:t>3.0% (MAR21.53 bkt 5) (PS1/26 Ch.16 Table 16.3)</w:t>
            </w:r>
          </w:p>
        </w:tc>
        <w:tc>
          <w:tcPr>
            <w:tcW w:type="dxa" w:w="3456"/>
            <w:shd w:fill="F2F2F2" w:val="clear"/>
          </w:tcPr>
          <w:p>
            <w:pPr>
              <w:jc w:val="left"/>
            </w:pPr>
            <w:r/>
            <w:r>
              <w:rPr>
                <w:rFonts w:ascii="Calibri" w:hAnsi="Calibri"/>
                <w:b w:val="0"/>
                <w:color w:val="000000"/>
                <w:sz w:val="16"/>
              </w:rPr>
              <w:t>3.0% (MAR21.53 bkt 5) (CRR3 Art 325ah Table 5)</w:t>
            </w:r>
          </w:p>
        </w:tc>
      </w:tr>
      <w:tr>
        <w:tc>
          <w:tcPr>
            <w:tcW w:type="dxa" w:w="3456"/>
            <w:shd w:fill="FFFFFF" w:val="clear"/>
          </w:tcPr>
          <w:p>
            <w:pPr>
              <w:jc w:val="left"/>
            </w:pPr>
            <w:r/>
            <w:r>
              <w:rPr>
                <w:rFonts w:ascii="Calibri" w:hAnsi="Calibri"/>
                <w:b/>
                <w:color w:val="000000"/>
                <w:sz w:val="16"/>
              </w:rPr>
              <w:t>CSR 6: Technology, telecom (IG)</w:t>
            </w:r>
          </w:p>
        </w:tc>
        <w:tc>
          <w:tcPr>
            <w:tcW w:type="dxa" w:w="3456"/>
            <w:shd w:fill="FFFFFF" w:val="clear"/>
          </w:tcPr>
          <w:p>
            <w:pPr>
              <w:jc w:val="left"/>
            </w:pPr>
            <w:r/>
            <w:r>
              <w:rPr>
                <w:rFonts w:ascii="Calibri" w:hAnsi="Calibri"/>
                <w:b w:val="0"/>
                <w:color w:val="000000"/>
                <w:sz w:val="16"/>
              </w:rPr>
              <w:t>2.0% (Table 3 to §__.209)</w:t>
            </w:r>
          </w:p>
        </w:tc>
        <w:tc>
          <w:tcPr>
            <w:tcW w:type="dxa" w:w="3456"/>
            <w:shd w:fill="FFFFFF" w:val="clear"/>
          </w:tcPr>
          <w:p>
            <w:pPr>
              <w:jc w:val="left"/>
            </w:pPr>
            <w:r/>
            <w:r>
              <w:rPr>
                <w:rFonts w:ascii="Calibri" w:hAnsi="Calibri"/>
                <w:b w:val="0"/>
                <w:color w:val="000000"/>
                <w:sz w:val="16"/>
              </w:rPr>
              <w:t>2.0% (MAR21.53 bkt 6) (PS1/26 Ch.16 Table 16.3)</w:t>
            </w:r>
          </w:p>
        </w:tc>
        <w:tc>
          <w:tcPr>
            <w:tcW w:type="dxa" w:w="3456"/>
            <w:shd w:fill="FFFFFF" w:val="clear"/>
          </w:tcPr>
          <w:p>
            <w:pPr>
              <w:jc w:val="left"/>
            </w:pPr>
            <w:r/>
            <w:r>
              <w:rPr>
                <w:rFonts w:ascii="Calibri" w:hAnsi="Calibri"/>
                <w:b w:val="0"/>
                <w:color w:val="000000"/>
                <w:sz w:val="16"/>
              </w:rPr>
              <w:t>2.0% (MAR21.53 bkt 6) (CRR3 Art 325ah Table 5)</w:t>
            </w:r>
          </w:p>
        </w:tc>
      </w:tr>
      <w:tr>
        <w:tc>
          <w:tcPr>
            <w:tcW w:type="dxa" w:w="3456"/>
            <w:shd w:fill="F2F2F2" w:val="clear"/>
          </w:tcPr>
          <w:p>
            <w:pPr>
              <w:jc w:val="left"/>
            </w:pPr>
            <w:r/>
            <w:r>
              <w:rPr>
                <w:rFonts w:ascii="Calibri" w:hAnsi="Calibri"/>
                <w:b/>
                <w:color w:val="000000"/>
                <w:sz w:val="16"/>
              </w:rPr>
              <w:t>CSR 7: Health care, utilities, professional services (IG)</w:t>
            </w:r>
          </w:p>
        </w:tc>
        <w:tc>
          <w:tcPr>
            <w:tcW w:type="dxa" w:w="3456"/>
            <w:shd w:fill="F2F2F2" w:val="clear"/>
          </w:tcPr>
          <w:p>
            <w:pPr>
              <w:jc w:val="left"/>
            </w:pPr>
            <w:r/>
            <w:r>
              <w:rPr>
                <w:rFonts w:ascii="Calibri" w:hAnsi="Calibri"/>
                <w:b w:val="0"/>
                <w:color w:val="000000"/>
                <w:sz w:val="16"/>
              </w:rPr>
              <w:t>1.5% (Table 3 to §__.209)</w:t>
            </w:r>
          </w:p>
        </w:tc>
        <w:tc>
          <w:tcPr>
            <w:tcW w:type="dxa" w:w="3456"/>
            <w:shd w:fill="F2F2F2" w:val="clear"/>
          </w:tcPr>
          <w:p>
            <w:pPr>
              <w:jc w:val="left"/>
            </w:pPr>
            <w:r/>
            <w:r>
              <w:rPr>
                <w:rFonts w:ascii="Calibri" w:hAnsi="Calibri"/>
                <w:b w:val="0"/>
                <w:color w:val="000000"/>
                <w:sz w:val="16"/>
              </w:rPr>
              <w:t>1.5% (MAR21.53 bkt 7) (PS1/26 Ch.16 Table 16.3)</w:t>
            </w:r>
          </w:p>
        </w:tc>
        <w:tc>
          <w:tcPr>
            <w:tcW w:type="dxa" w:w="3456"/>
            <w:shd w:fill="F2F2F2" w:val="clear"/>
          </w:tcPr>
          <w:p>
            <w:pPr>
              <w:jc w:val="left"/>
            </w:pPr>
            <w:r/>
            <w:r>
              <w:rPr>
                <w:rFonts w:ascii="Calibri" w:hAnsi="Calibri"/>
                <w:b w:val="0"/>
                <w:color w:val="000000"/>
                <w:sz w:val="16"/>
              </w:rPr>
              <w:t>1.5% (MAR21.53 bkt 7) (CRR3 Art 325ah Table 5)</w:t>
            </w:r>
          </w:p>
        </w:tc>
      </w:tr>
      <w:tr>
        <w:tc>
          <w:tcPr>
            <w:tcW w:type="dxa" w:w="3456"/>
            <w:shd w:fill="FFFFFF" w:val="clear"/>
          </w:tcPr>
          <w:p>
            <w:pPr>
              <w:jc w:val="left"/>
            </w:pPr>
            <w:r/>
            <w:r>
              <w:rPr>
                <w:rFonts w:ascii="Calibri" w:hAnsi="Calibri"/>
                <w:b/>
                <w:color w:val="000000"/>
                <w:sz w:val="16"/>
              </w:rPr>
              <w:t>CSR 8: Covered bonds (IG)</w:t>
            </w:r>
          </w:p>
        </w:tc>
        <w:tc>
          <w:tcPr>
            <w:tcW w:type="dxa" w:w="3456"/>
            <w:shd w:fill="FFFFFF" w:val="clear"/>
          </w:tcPr>
          <w:p>
            <w:pPr>
              <w:jc w:val="left"/>
            </w:pPr>
            <w:r/>
            <w:r>
              <w:rPr>
                <w:rFonts w:ascii="Calibri" w:hAnsi="Calibri"/>
                <w:b w:val="0"/>
                <w:color w:val="000000"/>
                <w:sz w:val="16"/>
              </w:rPr>
              <w:t>1.5% (Table 3 to §__.209)</w:t>
            </w:r>
          </w:p>
        </w:tc>
        <w:tc>
          <w:tcPr>
            <w:tcW w:type="dxa" w:w="3456"/>
            <w:shd w:fill="FFFFFF" w:val="clear"/>
          </w:tcPr>
          <w:p>
            <w:pPr>
              <w:jc w:val="left"/>
            </w:pPr>
            <w:r/>
            <w:r>
              <w:rPr>
                <w:rFonts w:ascii="Calibri" w:hAnsi="Calibri"/>
                <w:b w:val="0"/>
                <w:color w:val="000000"/>
                <w:sz w:val="16"/>
              </w:rPr>
              <w:t>1.5% (MAR21.53 bkt 8) (PS1/26 Ch.16 Table 16.3)</w:t>
            </w:r>
          </w:p>
        </w:tc>
        <w:tc>
          <w:tcPr>
            <w:tcW w:type="dxa" w:w="3456"/>
            <w:shd w:fill="FFFFFF" w:val="clear"/>
          </w:tcPr>
          <w:p>
            <w:pPr>
              <w:jc w:val="left"/>
            </w:pPr>
            <w:r/>
            <w:r>
              <w:rPr>
                <w:rFonts w:ascii="Calibri" w:hAnsi="Calibri"/>
                <w:b w:val="0"/>
                <w:color w:val="000000"/>
                <w:sz w:val="16"/>
              </w:rPr>
              <w:t>1.5% (MAR21.53 bkt 8) (CRR3 Art 325ah Table 5)</w:t>
            </w:r>
          </w:p>
        </w:tc>
      </w:tr>
      <w:tr>
        <w:tc>
          <w:tcPr>
            <w:tcW w:type="dxa" w:w="3456"/>
            <w:shd w:fill="F2F2F2" w:val="clear"/>
          </w:tcPr>
          <w:p>
            <w:pPr>
              <w:jc w:val="left"/>
            </w:pPr>
            <w:r/>
            <w:r>
              <w:rPr>
                <w:rFonts w:ascii="Calibri" w:hAnsi="Calibri"/>
                <w:b/>
                <w:color w:val="000000"/>
                <w:sz w:val="16"/>
              </w:rPr>
              <w:t>CSR 9: Sovereigns, MDBs (speculative)</w:t>
            </w:r>
          </w:p>
        </w:tc>
        <w:tc>
          <w:tcPr>
            <w:tcW w:type="dxa" w:w="3456"/>
            <w:shd w:fill="F2F2F2" w:val="clear"/>
          </w:tcPr>
          <w:p>
            <w:pPr>
              <w:jc w:val="left"/>
            </w:pPr>
            <w:r/>
            <w:r>
              <w:rPr>
                <w:rFonts w:ascii="Calibri" w:hAnsi="Calibri"/>
                <w:b w:val="0"/>
                <w:color w:val="000000"/>
                <w:sz w:val="16"/>
              </w:rPr>
              <w:t>3.0% (Table 3 to §__.209)</w:t>
            </w:r>
          </w:p>
        </w:tc>
        <w:tc>
          <w:tcPr>
            <w:tcW w:type="dxa" w:w="3456"/>
            <w:shd w:fill="F2F2F2" w:val="clear"/>
          </w:tcPr>
          <w:p>
            <w:pPr>
              <w:jc w:val="left"/>
            </w:pPr>
            <w:r/>
            <w:r>
              <w:rPr>
                <w:rFonts w:ascii="Calibri" w:hAnsi="Calibri"/>
                <w:b w:val="0"/>
                <w:color w:val="000000"/>
                <w:sz w:val="16"/>
              </w:rPr>
              <w:t>2.0% (MAR21.53 bkt 9, HY sovereign) (PS1/26 Ch.16 Table 16.3)</w:t>
            </w:r>
          </w:p>
        </w:tc>
        <w:tc>
          <w:tcPr>
            <w:tcW w:type="dxa" w:w="3456"/>
            <w:shd w:fill="F2F2F2" w:val="clear"/>
          </w:tcPr>
          <w:p>
            <w:pPr>
              <w:jc w:val="left"/>
            </w:pPr>
            <w:r/>
            <w:r>
              <w:rPr>
                <w:rFonts w:ascii="Calibri" w:hAnsi="Calibri"/>
                <w:b w:val="0"/>
                <w:color w:val="000000"/>
                <w:sz w:val="16"/>
              </w:rPr>
              <w:t>2.0% (MAR21.53 bkt 9, HY sovereign) (CRR3 Art 325ah Table 5)</w:t>
            </w:r>
          </w:p>
        </w:tc>
      </w:tr>
      <w:tr>
        <w:tc>
          <w:tcPr>
            <w:tcW w:type="dxa" w:w="3456"/>
            <w:shd w:fill="FFFFFF" w:val="clear"/>
          </w:tcPr>
          <w:p>
            <w:pPr>
              <w:jc w:val="left"/>
            </w:pPr>
            <w:r/>
            <w:r>
              <w:rPr>
                <w:rFonts w:ascii="Calibri" w:hAnsi="Calibri"/>
                <w:b/>
                <w:color w:val="000000"/>
                <w:sz w:val="16"/>
              </w:rPr>
              <w:t>CSR 10: PSE etc (speculative)</w:t>
            </w:r>
          </w:p>
        </w:tc>
        <w:tc>
          <w:tcPr>
            <w:tcW w:type="dxa" w:w="3456"/>
            <w:shd w:fill="FFFFFF" w:val="clear"/>
          </w:tcPr>
          <w:p>
            <w:pPr>
              <w:jc w:val="left"/>
            </w:pPr>
            <w:r/>
            <w:r>
              <w:rPr>
                <w:rFonts w:ascii="Calibri" w:hAnsi="Calibri"/>
                <w:b w:val="0"/>
                <w:color w:val="000000"/>
                <w:sz w:val="16"/>
              </w:rPr>
              <w:t>4.0% (Table 3 to §__.209)</w:t>
            </w:r>
          </w:p>
        </w:tc>
        <w:tc>
          <w:tcPr>
            <w:tcW w:type="dxa" w:w="3456"/>
            <w:shd w:fill="FFFFFF" w:val="clear"/>
          </w:tcPr>
          <w:p>
            <w:pPr>
              <w:jc w:val="left"/>
            </w:pPr>
            <w:r/>
            <w:r>
              <w:rPr>
                <w:rFonts w:ascii="Calibri" w:hAnsi="Calibri"/>
                <w:b w:val="0"/>
                <w:color w:val="000000"/>
                <w:sz w:val="16"/>
              </w:rPr>
              <w:t>4.0% (MAR21.53 bkt 10) (PS1/26 Ch.16 Table 16.3)</w:t>
            </w:r>
          </w:p>
        </w:tc>
        <w:tc>
          <w:tcPr>
            <w:tcW w:type="dxa" w:w="3456"/>
            <w:shd w:fill="FFFFFF" w:val="clear"/>
          </w:tcPr>
          <w:p>
            <w:pPr>
              <w:jc w:val="left"/>
            </w:pPr>
            <w:r/>
            <w:r>
              <w:rPr>
                <w:rFonts w:ascii="Calibri" w:hAnsi="Calibri"/>
                <w:b w:val="0"/>
                <w:color w:val="000000"/>
                <w:sz w:val="16"/>
              </w:rPr>
              <w:t>4.0% (MAR21.53 bkt 10) (CRR3 Art 325ah Table 5)</w:t>
            </w:r>
          </w:p>
        </w:tc>
      </w:tr>
      <w:tr>
        <w:tc>
          <w:tcPr>
            <w:tcW w:type="dxa" w:w="3456"/>
            <w:shd w:fill="F2F2F2" w:val="clear"/>
          </w:tcPr>
          <w:p>
            <w:pPr>
              <w:jc w:val="left"/>
            </w:pPr>
            <w:r/>
            <w:r>
              <w:rPr>
                <w:rFonts w:ascii="Calibri" w:hAnsi="Calibri"/>
                <w:b/>
                <w:color w:val="000000"/>
                <w:sz w:val="16"/>
              </w:rPr>
              <w:t>CSR 11: Financials (speculative)</w:t>
            </w:r>
          </w:p>
        </w:tc>
        <w:tc>
          <w:tcPr>
            <w:tcW w:type="dxa" w:w="3456"/>
            <w:shd w:fill="F2F2F2" w:val="clear"/>
          </w:tcPr>
          <w:p>
            <w:pPr>
              <w:jc w:val="left"/>
            </w:pPr>
            <w:r/>
            <w:r>
              <w:rPr>
                <w:rFonts w:ascii="Calibri" w:hAnsi="Calibri"/>
                <w:b w:val="0"/>
                <w:color w:val="000000"/>
                <w:sz w:val="16"/>
              </w:rPr>
              <w:t>12.0% (Table 3 to §__.209)</w:t>
            </w:r>
          </w:p>
        </w:tc>
        <w:tc>
          <w:tcPr>
            <w:tcW w:type="dxa" w:w="3456"/>
            <w:shd w:fill="F2F2F2" w:val="clear"/>
          </w:tcPr>
          <w:p>
            <w:pPr>
              <w:jc w:val="left"/>
            </w:pPr>
            <w:r/>
            <w:r>
              <w:rPr>
                <w:rFonts w:ascii="Calibri" w:hAnsi="Calibri"/>
                <w:b w:val="0"/>
                <w:color w:val="000000"/>
                <w:sz w:val="16"/>
              </w:rPr>
              <w:t>12.0% (MAR21.53 bkt 11) (PS1/26 Ch.16 Table 16.3)</w:t>
            </w:r>
          </w:p>
        </w:tc>
        <w:tc>
          <w:tcPr>
            <w:tcW w:type="dxa" w:w="3456"/>
            <w:shd w:fill="F2F2F2" w:val="clear"/>
          </w:tcPr>
          <w:p>
            <w:pPr>
              <w:jc w:val="left"/>
            </w:pPr>
            <w:r/>
            <w:r>
              <w:rPr>
                <w:rFonts w:ascii="Calibri" w:hAnsi="Calibri"/>
                <w:b w:val="0"/>
                <w:color w:val="000000"/>
                <w:sz w:val="16"/>
              </w:rPr>
              <w:t>12.0% (MAR21.53 bkt 11) (CRR3 Art 325ah Table 5)</w:t>
            </w:r>
          </w:p>
        </w:tc>
      </w:tr>
      <w:tr>
        <w:tc>
          <w:tcPr>
            <w:tcW w:type="dxa" w:w="3456"/>
            <w:shd w:fill="FFFFFF" w:val="clear"/>
          </w:tcPr>
          <w:p>
            <w:pPr>
              <w:jc w:val="left"/>
            </w:pPr>
            <w:r/>
            <w:r>
              <w:rPr>
                <w:rFonts w:ascii="Calibri" w:hAnsi="Calibri"/>
                <w:b/>
                <w:color w:val="000000"/>
                <w:sz w:val="16"/>
              </w:rPr>
              <w:t>CSR 12: Basic materials etc (spec + sub-spec)</w:t>
            </w:r>
          </w:p>
        </w:tc>
        <w:tc>
          <w:tcPr>
            <w:tcW w:type="dxa" w:w="3456"/>
            <w:shd w:fill="FFFFFF" w:val="clear"/>
          </w:tcPr>
          <w:p>
            <w:pPr>
              <w:jc w:val="left"/>
            </w:pPr>
            <w:r/>
            <w:r>
              <w:rPr>
                <w:rFonts w:ascii="Calibri" w:hAnsi="Calibri"/>
                <w:b w:val="0"/>
                <w:color w:val="000000"/>
                <w:sz w:val="16"/>
              </w:rPr>
              <w:t>7.0% (Table 3 to §__.209)</w:t>
            </w:r>
          </w:p>
        </w:tc>
        <w:tc>
          <w:tcPr>
            <w:tcW w:type="dxa" w:w="3456"/>
            <w:shd w:fill="FFFFFF" w:val="clear"/>
          </w:tcPr>
          <w:p>
            <w:pPr>
              <w:jc w:val="left"/>
            </w:pPr>
            <w:r/>
            <w:r>
              <w:rPr>
                <w:rFonts w:ascii="Calibri" w:hAnsi="Calibri"/>
                <w:b w:val="0"/>
                <w:color w:val="000000"/>
                <w:sz w:val="16"/>
              </w:rPr>
              <w:t>7.0% (MAR21.53 bkt 12) (PS1/26 Ch.16 Table 16.3)</w:t>
            </w:r>
          </w:p>
        </w:tc>
        <w:tc>
          <w:tcPr>
            <w:tcW w:type="dxa" w:w="3456"/>
            <w:shd w:fill="FFFFFF" w:val="clear"/>
          </w:tcPr>
          <w:p>
            <w:pPr>
              <w:jc w:val="left"/>
            </w:pPr>
            <w:r/>
            <w:r>
              <w:rPr>
                <w:rFonts w:ascii="Calibri" w:hAnsi="Calibri"/>
                <w:b w:val="0"/>
                <w:color w:val="000000"/>
                <w:sz w:val="16"/>
              </w:rPr>
              <w:t>7.0% (MAR21.53 bkt 12) (CRR3 Art 325ah Table 5)</w:t>
            </w:r>
          </w:p>
        </w:tc>
      </w:tr>
      <w:tr>
        <w:tc>
          <w:tcPr>
            <w:tcW w:type="dxa" w:w="3456"/>
            <w:shd w:fill="F2F2F2" w:val="clear"/>
          </w:tcPr>
          <w:p>
            <w:pPr>
              <w:jc w:val="left"/>
            </w:pPr>
            <w:r/>
            <w:r>
              <w:rPr>
                <w:rFonts w:ascii="Calibri" w:hAnsi="Calibri"/>
                <w:b/>
                <w:color w:val="000000"/>
                <w:sz w:val="16"/>
              </w:rPr>
              <w:t>CSR 13: Consumer goods etc (spec + sub-spec)</w:t>
            </w:r>
          </w:p>
        </w:tc>
        <w:tc>
          <w:tcPr>
            <w:tcW w:type="dxa" w:w="3456"/>
            <w:shd w:fill="F2F2F2" w:val="clear"/>
          </w:tcPr>
          <w:p>
            <w:pPr>
              <w:jc w:val="left"/>
            </w:pPr>
            <w:r/>
            <w:r>
              <w:rPr>
                <w:rFonts w:ascii="Calibri" w:hAnsi="Calibri"/>
                <w:b w:val="0"/>
                <w:color w:val="000000"/>
                <w:sz w:val="16"/>
              </w:rPr>
              <w:t>8.5% (Table 3 to §__.209)</w:t>
            </w:r>
          </w:p>
        </w:tc>
        <w:tc>
          <w:tcPr>
            <w:tcW w:type="dxa" w:w="3456"/>
            <w:shd w:fill="F2F2F2" w:val="clear"/>
          </w:tcPr>
          <w:p>
            <w:pPr>
              <w:jc w:val="left"/>
            </w:pPr>
            <w:r/>
            <w:r>
              <w:rPr>
                <w:rFonts w:ascii="Calibri" w:hAnsi="Calibri"/>
                <w:b w:val="0"/>
                <w:color w:val="000000"/>
                <w:sz w:val="16"/>
              </w:rPr>
              <w:t>8.5% (MAR21.53 bkt 13) (PS1/26 Ch.16 Table 16.3)</w:t>
            </w:r>
          </w:p>
        </w:tc>
        <w:tc>
          <w:tcPr>
            <w:tcW w:type="dxa" w:w="3456"/>
            <w:shd w:fill="F2F2F2" w:val="clear"/>
          </w:tcPr>
          <w:p>
            <w:pPr>
              <w:jc w:val="left"/>
            </w:pPr>
            <w:r/>
            <w:r>
              <w:rPr>
                <w:rFonts w:ascii="Calibri" w:hAnsi="Calibri"/>
                <w:b w:val="0"/>
                <w:color w:val="000000"/>
                <w:sz w:val="16"/>
              </w:rPr>
              <w:t>8.5% (MAR21.53 bkt 13) (CRR3 Art 325ah Table 5)</w:t>
            </w:r>
          </w:p>
        </w:tc>
      </w:tr>
      <w:tr>
        <w:tc>
          <w:tcPr>
            <w:tcW w:type="dxa" w:w="3456"/>
            <w:shd w:fill="FFFFFF" w:val="clear"/>
          </w:tcPr>
          <w:p>
            <w:pPr>
              <w:jc w:val="left"/>
            </w:pPr>
            <w:r/>
            <w:r>
              <w:rPr>
                <w:rFonts w:ascii="Calibri" w:hAnsi="Calibri"/>
                <w:b/>
                <w:color w:val="000000"/>
                <w:sz w:val="16"/>
              </w:rPr>
              <w:t>CSR 14: Technology, telecom (spec + sub-spec)</w:t>
            </w:r>
          </w:p>
        </w:tc>
        <w:tc>
          <w:tcPr>
            <w:tcW w:type="dxa" w:w="3456"/>
            <w:shd w:fill="FFFFFF" w:val="clear"/>
          </w:tcPr>
          <w:p>
            <w:pPr>
              <w:jc w:val="left"/>
            </w:pPr>
            <w:r/>
            <w:r>
              <w:rPr>
                <w:rFonts w:ascii="Calibri" w:hAnsi="Calibri"/>
                <w:b w:val="0"/>
                <w:color w:val="000000"/>
                <w:sz w:val="16"/>
              </w:rPr>
              <w:t>5.5% (Table 3 to §__.209)</w:t>
            </w:r>
          </w:p>
        </w:tc>
        <w:tc>
          <w:tcPr>
            <w:tcW w:type="dxa" w:w="3456"/>
            <w:shd w:fill="FFFFFF" w:val="clear"/>
          </w:tcPr>
          <w:p>
            <w:pPr>
              <w:jc w:val="left"/>
            </w:pPr>
            <w:r/>
            <w:r>
              <w:rPr>
                <w:rFonts w:ascii="Calibri" w:hAnsi="Calibri"/>
                <w:b w:val="0"/>
                <w:color w:val="000000"/>
                <w:sz w:val="16"/>
              </w:rPr>
              <w:t>5.5% (MAR21.53 bkt 14) (PS1/26 Ch.16 Table 16.3)</w:t>
            </w:r>
          </w:p>
        </w:tc>
        <w:tc>
          <w:tcPr>
            <w:tcW w:type="dxa" w:w="3456"/>
            <w:shd w:fill="FFFFFF" w:val="clear"/>
          </w:tcPr>
          <w:p>
            <w:pPr>
              <w:jc w:val="left"/>
            </w:pPr>
            <w:r/>
            <w:r>
              <w:rPr>
                <w:rFonts w:ascii="Calibri" w:hAnsi="Calibri"/>
                <w:b w:val="0"/>
                <w:color w:val="000000"/>
                <w:sz w:val="16"/>
              </w:rPr>
              <w:t>5.5% (MAR21.53 bkt 14) (CRR3 Art 325ah Table 5)</w:t>
            </w:r>
          </w:p>
        </w:tc>
      </w:tr>
      <w:tr>
        <w:tc>
          <w:tcPr>
            <w:tcW w:type="dxa" w:w="3456"/>
            <w:shd w:fill="F2F2F2" w:val="clear"/>
          </w:tcPr>
          <w:p>
            <w:pPr>
              <w:jc w:val="left"/>
            </w:pPr>
            <w:r/>
            <w:r>
              <w:rPr>
                <w:rFonts w:ascii="Calibri" w:hAnsi="Calibri"/>
                <w:b/>
                <w:color w:val="000000"/>
                <w:sz w:val="16"/>
              </w:rPr>
              <w:t>CSR 15: Health care etc (spec + sub-spec)</w:t>
            </w:r>
          </w:p>
        </w:tc>
        <w:tc>
          <w:tcPr>
            <w:tcW w:type="dxa" w:w="3456"/>
            <w:shd w:fill="F2F2F2" w:val="clear"/>
          </w:tcPr>
          <w:p>
            <w:pPr>
              <w:jc w:val="left"/>
            </w:pPr>
            <w:r/>
            <w:r>
              <w:rPr>
                <w:rFonts w:ascii="Calibri" w:hAnsi="Calibri"/>
                <w:b w:val="0"/>
                <w:color w:val="000000"/>
                <w:sz w:val="16"/>
              </w:rPr>
              <w:t>5.0% (Table 3 to §__.209)</w:t>
            </w:r>
          </w:p>
        </w:tc>
        <w:tc>
          <w:tcPr>
            <w:tcW w:type="dxa" w:w="3456"/>
            <w:shd w:fill="F2F2F2" w:val="clear"/>
          </w:tcPr>
          <w:p>
            <w:pPr>
              <w:jc w:val="left"/>
            </w:pPr>
            <w:r/>
            <w:r>
              <w:rPr>
                <w:rFonts w:ascii="Calibri" w:hAnsi="Calibri"/>
                <w:b w:val="0"/>
                <w:color w:val="000000"/>
                <w:sz w:val="16"/>
              </w:rPr>
              <w:t>5.0% (MAR21.53 bkt 15) (PS1/26 Ch.16 Table 16.3)</w:t>
            </w:r>
          </w:p>
        </w:tc>
        <w:tc>
          <w:tcPr>
            <w:tcW w:type="dxa" w:w="3456"/>
            <w:shd w:fill="F2F2F2" w:val="clear"/>
          </w:tcPr>
          <w:p>
            <w:pPr>
              <w:jc w:val="left"/>
            </w:pPr>
            <w:r/>
            <w:r>
              <w:rPr>
                <w:rFonts w:ascii="Calibri" w:hAnsi="Calibri"/>
                <w:b w:val="0"/>
                <w:color w:val="000000"/>
                <w:sz w:val="16"/>
              </w:rPr>
              <w:t>5.0% (MAR21.53 bkt 15) (CRR3 Art 325ah Table 5)</w:t>
            </w:r>
          </w:p>
        </w:tc>
      </w:tr>
      <w:tr>
        <w:tc>
          <w:tcPr>
            <w:tcW w:type="dxa" w:w="3456"/>
            <w:shd w:fill="FFFFFF" w:val="clear"/>
          </w:tcPr>
          <w:p>
            <w:pPr>
              <w:jc w:val="left"/>
            </w:pPr>
            <w:r/>
            <w:r>
              <w:rPr>
                <w:rFonts w:ascii="Calibri" w:hAnsi="Calibri"/>
                <w:b/>
                <w:color w:val="000000"/>
                <w:sz w:val="16"/>
              </w:rPr>
              <w:t>CSR 16: Covered bonds (spec + sub-spec)</w:t>
            </w:r>
          </w:p>
        </w:tc>
        <w:tc>
          <w:tcPr>
            <w:tcW w:type="dxa" w:w="3456"/>
            <w:shd w:fill="FFFFFF" w:val="clear"/>
          </w:tcPr>
          <w:p>
            <w:pPr>
              <w:jc w:val="left"/>
            </w:pPr>
            <w:r/>
            <w:r>
              <w:rPr>
                <w:rFonts w:ascii="Calibri" w:hAnsi="Calibri"/>
                <w:b w:val="0"/>
                <w:color w:val="000000"/>
                <w:sz w:val="16"/>
              </w:rPr>
              <w:t>2.5% (Table 3 to §__.209)</w:t>
            </w:r>
          </w:p>
        </w:tc>
        <w:tc>
          <w:tcPr>
            <w:tcW w:type="dxa" w:w="3456"/>
            <w:shd w:fill="FFFFFF" w:val="clear"/>
          </w:tcPr>
          <w:p>
            <w:pPr>
              <w:jc w:val="left"/>
            </w:pPr>
            <w:r/>
            <w:r>
              <w:rPr>
                <w:rFonts w:ascii="Calibri" w:hAnsi="Calibri"/>
                <w:b w:val="0"/>
                <w:color w:val="000000"/>
                <w:sz w:val="16"/>
              </w:rPr>
              <w:t>No equivalent bucket (BCBS covered bonds IG only) (PS1/26 Ch.16 Table 16.3)</w:t>
            </w:r>
          </w:p>
        </w:tc>
        <w:tc>
          <w:tcPr>
            <w:tcW w:type="dxa" w:w="3456"/>
            <w:shd w:fill="FFFFFF" w:val="clear"/>
          </w:tcPr>
          <w:p>
            <w:pPr>
              <w:jc w:val="left"/>
            </w:pPr>
            <w:r/>
            <w:r>
              <w:rPr>
                <w:rFonts w:ascii="Calibri" w:hAnsi="Calibri"/>
                <w:b w:val="0"/>
                <w:color w:val="000000"/>
                <w:sz w:val="16"/>
              </w:rPr>
              <w:t>No equivalent bucket (BCBS covered bonds IG only) (CRR3 Art 325ah Table 5)</w:t>
            </w:r>
          </w:p>
        </w:tc>
      </w:tr>
      <w:tr>
        <w:tc>
          <w:tcPr>
            <w:tcW w:type="dxa" w:w="3456"/>
            <w:shd w:fill="F2F2F2" w:val="clear"/>
          </w:tcPr>
          <w:p>
            <w:pPr>
              <w:jc w:val="left"/>
            </w:pPr>
            <w:r/>
            <w:r>
              <w:rPr>
                <w:rFonts w:ascii="Calibri" w:hAnsi="Calibri"/>
                <w:b/>
                <w:color w:val="000000"/>
                <w:sz w:val="16"/>
              </w:rPr>
              <w:t>CSR 17: Sovereigns, MDBs (sub-speculative)</w:t>
            </w:r>
          </w:p>
        </w:tc>
        <w:tc>
          <w:tcPr>
            <w:tcW w:type="dxa" w:w="3456"/>
            <w:shd w:fill="F2F2F2" w:val="clear"/>
          </w:tcPr>
          <w:p>
            <w:pPr>
              <w:jc w:val="left"/>
            </w:pPr>
            <w:r/>
            <w:r>
              <w:rPr>
                <w:rFonts w:ascii="Calibri" w:hAnsi="Calibri"/>
                <w:b w:val="0"/>
                <w:color w:val="000000"/>
                <w:sz w:val="16"/>
              </w:rPr>
              <w:t>7.0% (Table 3 to §__.209)</w:t>
            </w:r>
          </w:p>
        </w:tc>
        <w:tc>
          <w:tcPr>
            <w:tcW w:type="dxa" w:w="3456"/>
            <w:shd w:fill="F2F2F2" w:val="clear"/>
          </w:tcPr>
          <w:p>
            <w:pPr>
              <w:jc w:val="left"/>
            </w:pPr>
            <w:r/>
            <w:r>
              <w:rPr>
                <w:rFonts w:ascii="Calibri" w:hAnsi="Calibri"/>
                <w:b w:val="0"/>
                <w:color w:val="000000"/>
                <w:sz w:val="16"/>
              </w:rPr>
              <w:t>No equivalent bucket (BCBS HY sovereign 2.0%) (PS1/26 Ch.16 Table 16.3)</w:t>
            </w:r>
          </w:p>
        </w:tc>
        <w:tc>
          <w:tcPr>
            <w:tcW w:type="dxa" w:w="3456"/>
            <w:shd w:fill="F2F2F2" w:val="clear"/>
          </w:tcPr>
          <w:p>
            <w:pPr>
              <w:jc w:val="left"/>
            </w:pPr>
            <w:r/>
            <w:r>
              <w:rPr>
                <w:rFonts w:ascii="Calibri" w:hAnsi="Calibri"/>
                <w:b w:val="0"/>
                <w:color w:val="000000"/>
                <w:sz w:val="16"/>
              </w:rPr>
              <w:t>No equivalent bucket (BCBS HY sovereign 2.0%) (CRR3 Art 325ah Table 5)</w:t>
            </w:r>
          </w:p>
        </w:tc>
      </w:tr>
      <w:tr>
        <w:tc>
          <w:tcPr>
            <w:tcW w:type="dxa" w:w="3456"/>
            <w:shd w:fill="FFFFFF" w:val="clear"/>
          </w:tcPr>
          <w:p>
            <w:pPr>
              <w:jc w:val="left"/>
            </w:pPr>
            <w:r/>
            <w:r>
              <w:rPr>
                <w:rFonts w:ascii="Calibri" w:hAnsi="Calibri"/>
                <w:b/>
                <w:color w:val="000000"/>
                <w:sz w:val="16"/>
              </w:rPr>
              <w:t>CSR 18: Other sector (spec + sub-spec)</w:t>
            </w:r>
          </w:p>
        </w:tc>
        <w:tc>
          <w:tcPr>
            <w:tcW w:type="dxa" w:w="3456"/>
            <w:shd w:fill="FFFFFF" w:val="clear"/>
          </w:tcPr>
          <w:p>
            <w:pPr>
              <w:jc w:val="left"/>
            </w:pPr>
            <w:r/>
            <w:r>
              <w:rPr>
                <w:rFonts w:ascii="Calibri" w:hAnsi="Calibri"/>
                <w:b w:val="0"/>
                <w:color w:val="000000"/>
                <w:sz w:val="16"/>
              </w:rPr>
              <w:t>12.0% (sum of |WS|) (Table 3 to §__.209)</w:t>
            </w:r>
          </w:p>
        </w:tc>
        <w:tc>
          <w:tcPr>
            <w:tcW w:type="dxa" w:w="3456"/>
            <w:shd w:fill="FFFFFF" w:val="clear"/>
          </w:tcPr>
          <w:p>
            <w:pPr>
              <w:jc w:val="left"/>
            </w:pPr>
            <w:r/>
            <w:r>
              <w:rPr>
                <w:rFonts w:ascii="Calibri" w:hAnsi="Calibri"/>
                <w:b w:val="0"/>
                <w:color w:val="000000"/>
                <w:sz w:val="16"/>
              </w:rPr>
              <w:t>12.0% (MAR21.53 bkt 16) (PS1/26 Ch.16 Table 16.3)</w:t>
            </w:r>
          </w:p>
        </w:tc>
        <w:tc>
          <w:tcPr>
            <w:tcW w:type="dxa" w:w="3456"/>
            <w:shd w:fill="FFFFFF" w:val="clear"/>
          </w:tcPr>
          <w:p>
            <w:pPr>
              <w:jc w:val="left"/>
            </w:pPr>
            <w:r/>
            <w:r>
              <w:rPr>
                <w:rFonts w:ascii="Calibri" w:hAnsi="Calibri"/>
                <w:b w:val="0"/>
                <w:color w:val="000000"/>
                <w:sz w:val="16"/>
              </w:rPr>
              <w:t>12.0% (MAR21.53 bkt 16) (CRR3 Art 325ah Table 5)</w:t>
            </w:r>
          </w:p>
        </w:tc>
      </w:tr>
      <w:tr>
        <w:tc>
          <w:tcPr>
            <w:tcW w:type="dxa" w:w="3456"/>
            <w:shd w:fill="F2F2F2" w:val="clear"/>
          </w:tcPr>
          <w:p>
            <w:pPr>
              <w:jc w:val="left"/>
            </w:pPr>
            <w:r/>
            <w:r>
              <w:rPr>
                <w:rFonts w:ascii="Calibri" w:hAnsi="Calibri"/>
                <w:b/>
                <w:color w:val="000000"/>
                <w:sz w:val="16"/>
              </w:rPr>
              <w:t>CSR 19: IG indices</w:t>
            </w:r>
          </w:p>
        </w:tc>
        <w:tc>
          <w:tcPr>
            <w:tcW w:type="dxa" w:w="3456"/>
            <w:shd w:fill="F2F2F2" w:val="clear"/>
          </w:tcPr>
          <w:p>
            <w:pPr>
              <w:jc w:val="left"/>
            </w:pPr>
            <w:r/>
            <w:r>
              <w:rPr>
                <w:rFonts w:ascii="Calibri" w:hAnsi="Calibri"/>
                <w:b w:val="0"/>
                <w:color w:val="000000"/>
                <w:sz w:val="16"/>
              </w:rPr>
              <w:t>1.5% (Table 3 to §__.209)</w:t>
            </w:r>
          </w:p>
        </w:tc>
        <w:tc>
          <w:tcPr>
            <w:tcW w:type="dxa" w:w="3456"/>
            <w:shd w:fill="F2F2F2" w:val="clear"/>
          </w:tcPr>
          <w:p>
            <w:pPr>
              <w:jc w:val="left"/>
            </w:pPr>
            <w:r/>
            <w:r>
              <w:rPr>
                <w:rFonts w:ascii="Calibri" w:hAnsi="Calibri"/>
                <w:b w:val="0"/>
                <w:color w:val="000000"/>
                <w:sz w:val="16"/>
              </w:rPr>
              <w:t>1.5% (MAR21.53 bkt 17) (PS1/26 Ch.16 Table 16.3)</w:t>
            </w:r>
          </w:p>
        </w:tc>
        <w:tc>
          <w:tcPr>
            <w:tcW w:type="dxa" w:w="3456"/>
            <w:shd w:fill="F2F2F2" w:val="clear"/>
          </w:tcPr>
          <w:p>
            <w:pPr>
              <w:jc w:val="left"/>
            </w:pPr>
            <w:r/>
            <w:r>
              <w:rPr>
                <w:rFonts w:ascii="Calibri" w:hAnsi="Calibri"/>
                <w:b w:val="0"/>
                <w:color w:val="000000"/>
                <w:sz w:val="16"/>
              </w:rPr>
              <w:t>1.5% (MAR21.53 bkt 17) (CRR3 Art 325ah Table 5)</w:t>
            </w:r>
          </w:p>
        </w:tc>
      </w:tr>
      <w:tr>
        <w:tc>
          <w:tcPr>
            <w:tcW w:type="dxa" w:w="3456"/>
            <w:shd w:fill="FFFFFF" w:val="clear"/>
          </w:tcPr>
          <w:p>
            <w:pPr>
              <w:jc w:val="left"/>
            </w:pPr>
            <w:r/>
            <w:r>
              <w:rPr>
                <w:rFonts w:ascii="Calibri" w:hAnsi="Calibri"/>
                <w:b/>
                <w:color w:val="000000"/>
                <w:sz w:val="16"/>
              </w:rPr>
              <w:t>CSR 20: Spec + sub-spec indices</w:t>
            </w:r>
          </w:p>
        </w:tc>
        <w:tc>
          <w:tcPr>
            <w:tcW w:type="dxa" w:w="3456"/>
            <w:shd w:fill="FFFFFF" w:val="clear"/>
          </w:tcPr>
          <w:p>
            <w:pPr>
              <w:jc w:val="left"/>
            </w:pPr>
            <w:r/>
            <w:r>
              <w:rPr>
                <w:rFonts w:ascii="Calibri" w:hAnsi="Calibri"/>
                <w:b w:val="0"/>
                <w:color w:val="000000"/>
                <w:sz w:val="16"/>
              </w:rPr>
              <w:t>5.0% (Table 3 to §__.209)</w:t>
            </w:r>
          </w:p>
        </w:tc>
        <w:tc>
          <w:tcPr>
            <w:tcW w:type="dxa" w:w="3456"/>
            <w:shd w:fill="FFFFFF" w:val="clear"/>
          </w:tcPr>
          <w:p>
            <w:pPr>
              <w:jc w:val="left"/>
            </w:pPr>
            <w:r/>
            <w:r>
              <w:rPr>
                <w:rFonts w:ascii="Calibri" w:hAnsi="Calibri"/>
                <w:b w:val="0"/>
                <w:color w:val="000000"/>
                <w:sz w:val="16"/>
              </w:rPr>
              <w:t>5.0% (MAR21.53 bkt 18) (PS1/26 Ch.16 Table 16.3)</w:t>
            </w:r>
          </w:p>
        </w:tc>
        <w:tc>
          <w:tcPr>
            <w:tcW w:type="dxa" w:w="3456"/>
            <w:shd w:fill="FFFFFF" w:val="clear"/>
          </w:tcPr>
          <w:p>
            <w:pPr>
              <w:jc w:val="left"/>
            </w:pPr>
            <w:r/>
            <w:r>
              <w:rPr>
                <w:rFonts w:ascii="Calibri" w:hAnsi="Calibri"/>
                <w:b w:val="0"/>
                <w:color w:val="000000"/>
                <w:sz w:val="16"/>
              </w:rPr>
              <w:t>5.0% (MAR21.53 bkt 18) (CRR3 Art 325ah Table 5)</w:t>
            </w:r>
          </w:p>
        </w:tc>
      </w:tr>
    </w:tbl>
    <w:p>
      <w:r>
        <w:rPr>
          <w:rFonts w:ascii="Calibri" w:hAnsi="Calibri"/>
          <w:b/>
          <w:color w:val="002060"/>
          <w:sz w:val="22"/>
        </w:rPr>
        <w:t>11.3 CSR Securitization CTP &amp; Non-CTP</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CSR Sec CTP Buckets</w:t>
            </w:r>
          </w:p>
        </w:tc>
        <w:tc>
          <w:tcPr>
            <w:tcW w:type="dxa" w:w="3456"/>
            <w:shd w:fill="F2F2F2" w:val="clear"/>
          </w:tcPr>
          <w:p>
            <w:pPr>
              <w:jc w:val="left"/>
            </w:pPr>
            <w:r/>
            <w:r>
              <w:rPr>
                <w:rFonts w:ascii="Calibri" w:hAnsi="Calibri"/>
                <w:b w:val="0"/>
                <w:color w:val="000000"/>
                <w:sz w:val="16"/>
              </w:rPr>
              <w:t>16 buckets by sector x credit quality (IG / spec / sub-spec) (Table 5 to §__.209). RWs: 2.0%-16.0% (e.g. IG sovereign 4.0%, IG financials 8.0%, spec+sub-spec financials 16.0%, sub-spec sovereign 16.0%, other 13.0%)</w:t>
            </w:r>
          </w:p>
        </w:tc>
        <w:tc>
          <w:tcPr>
            <w:tcW w:type="dxa" w:w="3456"/>
            <w:shd w:fill="F2F2F2" w:val="clear"/>
          </w:tcPr>
          <w:p>
            <w:pPr>
              <w:jc w:val="left"/>
            </w:pPr>
            <w:r/>
            <w:r>
              <w:rPr>
                <w:rFonts w:ascii="Calibri" w:hAnsi="Calibri"/>
                <w:b w:val="0"/>
                <w:color w:val="000000"/>
                <w:sz w:val="16"/>
              </w:rPr>
              <w:t>16 buckets (PS1/26 Ch.16 Table 16.5)</w:t>
            </w:r>
          </w:p>
        </w:tc>
        <w:tc>
          <w:tcPr>
            <w:tcW w:type="dxa" w:w="3456"/>
            <w:shd w:fill="F2F2F2" w:val="clear"/>
          </w:tcPr>
          <w:p>
            <w:pPr>
              <w:jc w:val="left"/>
            </w:pPr>
            <w:r/>
            <w:r>
              <w:rPr>
                <w:rFonts w:ascii="Calibri" w:hAnsi="Calibri"/>
                <w:b w:val="0"/>
                <w:color w:val="000000"/>
                <w:sz w:val="16"/>
              </w:rPr>
              <w:t>16 buckets (CRR3 Art 325ak Table 9)</w:t>
            </w:r>
          </w:p>
        </w:tc>
      </w:tr>
      <w:tr>
        <w:tc>
          <w:tcPr>
            <w:tcW w:type="dxa" w:w="3456"/>
            <w:shd w:fill="FFFFFF" w:val="clear"/>
          </w:tcPr>
          <w:p>
            <w:pPr>
              <w:jc w:val="left"/>
            </w:pPr>
            <w:r/>
            <w:r>
              <w:rPr>
                <w:rFonts w:ascii="Calibri" w:hAnsi="Calibri"/>
                <w:b/>
                <w:color w:val="000000"/>
                <w:sz w:val="16"/>
              </w:rPr>
              <w:t>CSR Sec Non-CTP Buckets</w:t>
            </w:r>
          </w:p>
        </w:tc>
        <w:tc>
          <w:tcPr>
            <w:tcW w:type="dxa" w:w="3456"/>
            <w:shd w:fill="FFFFFF" w:val="clear"/>
          </w:tcPr>
          <w:p>
            <w:pPr>
              <w:jc w:val="left"/>
            </w:pPr>
            <w:r/>
            <w:r>
              <w:rPr>
                <w:rFonts w:ascii="Calibri" w:hAnsi="Calibri"/>
                <w:b w:val="0"/>
                <w:color w:val="000000"/>
                <w:sz w:val="16"/>
              </w:rPr>
              <w:t>25 buckets: senior IG / non-senior IG / spec+sub-spec x 8 asset classes (RMBS prime/mid/sub-prime, CMBS, ABS student, cards, auto, CLO) + other sector (Table 7 to §__.209). RWs: 0.80%-3.50%; cross-bucket gamma = 0%</w:t>
            </w:r>
          </w:p>
        </w:tc>
        <w:tc>
          <w:tcPr>
            <w:tcW w:type="dxa" w:w="3456"/>
            <w:shd w:fill="FFFFFF" w:val="clear"/>
          </w:tcPr>
          <w:p>
            <w:pPr>
              <w:jc w:val="left"/>
            </w:pPr>
            <w:r/>
            <w:r>
              <w:rPr>
                <w:rFonts w:ascii="Calibri" w:hAnsi="Calibri"/>
                <w:b w:val="0"/>
                <w:color w:val="000000"/>
                <w:sz w:val="16"/>
              </w:rPr>
              <w:t>25 buckets (PS1/26 Ch.16 Table 16.4)</w:t>
            </w:r>
          </w:p>
        </w:tc>
        <w:tc>
          <w:tcPr>
            <w:tcW w:type="dxa" w:w="3456"/>
            <w:shd w:fill="FFFFFF" w:val="clear"/>
          </w:tcPr>
          <w:p>
            <w:pPr>
              <w:jc w:val="left"/>
            </w:pPr>
            <w:r/>
            <w:r>
              <w:rPr>
                <w:rFonts w:ascii="Calibri" w:hAnsi="Calibri"/>
                <w:b w:val="0"/>
                <w:color w:val="000000"/>
                <w:sz w:val="16"/>
              </w:rPr>
              <w:t>25 buckets (CRR3 Art 325aj Table 7)</w:t>
            </w:r>
          </w:p>
        </w:tc>
      </w:tr>
      <w:tr>
        <w:tc>
          <w:tcPr>
            <w:tcW w:type="dxa" w:w="3456"/>
            <w:shd w:fill="F2F2F2" w:val="clear"/>
          </w:tcPr>
          <w:p>
            <w:pPr>
              <w:jc w:val="left"/>
            </w:pPr>
            <w:r/>
            <w:r>
              <w:rPr>
                <w:rFonts w:ascii="Calibri" w:hAnsi="Calibri"/>
                <w:b/>
                <w:color w:val="000000"/>
                <w:sz w:val="16"/>
              </w:rPr>
              <w:t>Sec Non-CTP Bucket 1</w:t>
            </w:r>
          </w:p>
        </w:tc>
        <w:tc>
          <w:tcPr>
            <w:tcW w:type="dxa" w:w="3456"/>
            <w:shd w:fill="F2F2F2" w:val="clear"/>
          </w:tcPr>
          <w:p>
            <w:pPr>
              <w:jc w:val="left"/>
            </w:pPr>
            <w:r/>
            <w:r>
              <w:rPr>
                <w:rFonts w:ascii="Calibri" w:hAnsi="Calibri"/>
                <w:b w:val="0"/>
                <w:color w:val="000000"/>
                <w:sz w:val="16"/>
              </w:rPr>
              <w:t>Senior IG prime RMBS 0.90%; mid-prime 1.50%; sub-prime 2.00%; CMBS 2.00%; student ABS 0.80%; cards 1.20%; auto 1.20%; CLO 1.40% (Table 7 to §__.209)</w:t>
            </w:r>
          </w:p>
        </w:tc>
        <w:tc>
          <w:tcPr>
            <w:tcW w:type="dxa" w:w="3456"/>
            <w:shd w:fill="F2F2F2" w:val="clear"/>
          </w:tcPr>
          <w:p>
            <w:pPr>
              <w:jc w:val="left"/>
            </w:pPr>
            <w:r/>
            <w:r>
              <w:rPr>
                <w:rFonts w:ascii="Calibri" w:hAnsi="Calibri"/>
                <w:b w:val="0"/>
                <w:color w:val="000000"/>
                <w:sz w:val="16"/>
              </w:rPr>
              <w:t>Same (PS1/26 Ch.16)</w:t>
            </w:r>
          </w:p>
        </w:tc>
        <w:tc>
          <w:tcPr>
            <w:tcW w:type="dxa" w:w="3456"/>
            <w:shd w:fill="F2F2F2" w:val="clear"/>
          </w:tcPr>
          <w:p>
            <w:pPr>
              <w:jc w:val="left"/>
            </w:pPr>
            <w:r/>
            <w:r>
              <w:rPr>
                <w:rFonts w:ascii="Calibri" w:hAnsi="Calibri"/>
                <w:b w:val="0"/>
                <w:color w:val="000000"/>
                <w:sz w:val="16"/>
              </w:rPr>
              <w:t>Same (CRR3 Art 325aj)</w:t>
            </w:r>
          </w:p>
        </w:tc>
      </w:tr>
      <w:tr>
        <w:tc>
          <w:tcPr>
            <w:tcW w:type="dxa" w:w="3456"/>
            <w:shd w:fill="FFFFFF" w:val="clear"/>
          </w:tcPr>
          <w:p>
            <w:pPr>
              <w:jc w:val="left"/>
            </w:pPr>
            <w:r/>
            <w:r>
              <w:rPr>
                <w:rFonts w:ascii="Calibri" w:hAnsi="Calibri"/>
                <w:b/>
                <w:color w:val="000000"/>
                <w:sz w:val="16"/>
              </w:rPr>
              <w:t>Sec Non-CTP Bucket 25</w:t>
            </w:r>
          </w:p>
        </w:tc>
        <w:tc>
          <w:tcPr>
            <w:tcW w:type="dxa" w:w="3456"/>
            <w:shd w:fill="FFFFFF" w:val="clear"/>
          </w:tcPr>
          <w:p>
            <w:pPr>
              <w:jc w:val="left"/>
            </w:pPr>
            <w:r/>
            <w:r>
              <w:rPr>
                <w:rFonts w:ascii="Calibri" w:hAnsi="Calibri"/>
                <w:b w:val="0"/>
                <w:color w:val="000000"/>
                <w:sz w:val="16"/>
              </w:rPr>
              <w:t>Other sector 3.50% (sum of |WS|) (Table 7 to §__.209)</w:t>
            </w:r>
          </w:p>
        </w:tc>
        <w:tc>
          <w:tcPr>
            <w:tcW w:type="dxa" w:w="3456"/>
            <w:shd w:fill="FFFFFF" w:val="clear"/>
          </w:tcPr>
          <w:p>
            <w:pPr>
              <w:jc w:val="left"/>
            </w:pPr>
            <w:r/>
            <w:r>
              <w:rPr>
                <w:rFonts w:ascii="Calibri" w:hAnsi="Calibri"/>
                <w:b w:val="0"/>
                <w:color w:val="000000"/>
                <w:sz w:val="16"/>
              </w:rPr>
              <w:t>Same (PS1/26 Ch.16)</w:t>
            </w:r>
          </w:p>
        </w:tc>
        <w:tc>
          <w:tcPr>
            <w:tcW w:type="dxa" w:w="3456"/>
            <w:shd w:fill="FFFFFF" w:val="clear"/>
          </w:tcPr>
          <w:p>
            <w:pPr>
              <w:jc w:val="left"/>
            </w:pPr>
            <w:r/>
            <w:r>
              <w:rPr>
                <w:rFonts w:ascii="Calibri" w:hAnsi="Calibri"/>
                <w:b w:val="0"/>
                <w:color w:val="000000"/>
                <w:sz w:val="16"/>
              </w:rPr>
              <w:t>Same (CRR3 Art 325aj)</w:t>
            </w:r>
          </w:p>
        </w:tc>
      </w:tr>
    </w:tbl>
    <w:p>
      <w:r>
        <w:rPr>
          <w:rFonts w:ascii="Calibri" w:hAnsi="Calibri"/>
          <w:b/>
          <w:color w:val="002060"/>
          <w:sz w:val="22"/>
        </w:rPr>
        <w:t>11.4 Equity Risk Weights (US Table 8 to §__.209 / MAR21.77)</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Bucket</w:t>
            </w:r>
          </w:p>
        </w:tc>
        <w:tc>
          <w:tcPr>
            <w:tcW w:type="dxa" w:w="3456"/>
            <w:shd w:fill="002060" w:val="clear"/>
            <w:tcW w:w="3600" w:type="dxa"/>
          </w:tcPr>
          <w:p>
            <w:pPr>
              <w:jc w:val="center"/>
            </w:pPr>
            <w:r/>
            <w:r>
              <w:rPr>
                <w:rFonts w:ascii="Calibri" w:hAnsi="Calibri"/>
                <w:b/>
                <w:color w:val="FFFFFF"/>
                <w:sz w:val="16"/>
              </w:rPr>
              <w:t>US RW (ERBA)</w:t>
            </w:r>
          </w:p>
        </w:tc>
        <w:tc>
          <w:tcPr>
            <w:tcW w:type="dxa" w:w="3456"/>
            <w:shd w:fill="002060" w:val="clear"/>
            <w:tcW w:w="3600" w:type="dxa"/>
          </w:tcPr>
          <w:p>
            <w:pPr>
              <w:jc w:val="center"/>
            </w:pPr>
            <w:r/>
            <w:r>
              <w:rPr>
                <w:rFonts w:ascii="Calibri" w:hAnsi="Calibri"/>
                <w:b/>
                <w:color w:val="FFFFFF"/>
                <w:sz w:val="16"/>
              </w:rPr>
              <w:t>UK RW (PS1/26)</w:t>
            </w:r>
          </w:p>
        </w:tc>
        <w:tc>
          <w:tcPr>
            <w:tcW w:type="dxa" w:w="3456"/>
            <w:shd w:fill="002060" w:val="clear"/>
            <w:tcW w:w="3600" w:type="dxa"/>
          </w:tcPr>
          <w:p>
            <w:pPr>
              <w:jc w:val="center"/>
            </w:pPr>
            <w:r/>
            <w:r>
              <w:rPr>
                <w:rFonts w:ascii="Calibri" w:hAnsi="Calibri"/>
                <w:b/>
                <w:color w:val="FFFFFF"/>
                <w:sz w:val="16"/>
              </w:rPr>
              <w:t>EU RW (CRR3)</w:t>
            </w:r>
          </w:p>
        </w:tc>
      </w:tr>
      <w:tr>
        <w:tc>
          <w:tcPr>
            <w:tcW w:type="dxa" w:w="3456"/>
            <w:shd w:fill="F2F2F2" w:val="clear"/>
          </w:tcPr>
          <w:p>
            <w:pPr>
              <w:jc w:val="left"/>
            </w:pPr>
            <w:r/>
            <w:r>
              <w:rPr>
                <w:rFonts w:ascii="Calibri" w:hAnsi="Calibri"/>
                <w:b/>
                <w:color w:val="000000"/>
                <w:sz w:val="16"/>
              </w:rPr>
              <w:t>Equity 1: Large Cap Emerging (Consumer/Transport/Admin/Health/Utilities)</w:t>
            </w:r>
          </w:p>
        </w:tc>
        <w:tc>
          <w:tcPr>
            <w:tcW w:type="dxa" w:w="3456"/>
            <w:shd w:fill="F2F2F2" w:val="clear"/>
          </w:tcPr>
          <w:p>
            <w:pPr>
              <w:jc w:val="left"/>
            </w:pPr>
            <w:r/>
            <w:r>
              <w:rPr>
                <w:rFonts w:ascii="Calibri" w:hAnsi="Calibri"/>
                <w:b w:val="0"/>
                <w:color w:val="000000"/>
                <w:sz w:val="16"/>
              </w:rPr>
              <w:t>55% spot / 55bp repo (Table 8 to §__.209)</w:t>
            </w:r>
          </w:p>
        </w:tc>
        <w:tc>
          <w:tcPr>
            <w:tcW w:type="dxa" w:w="3456"/>
            <w:shd w:fill="F2F2F2" w:val="clear"/>
          </w:tcPr>
          <w:p>
            <w:pPr>
              <w:jc w:val="left"/>
            </w:pPr>
            <w:r/>
            <w:r>
              <w:rPr>
                <w:rFonts w:ascii="Calibri" w:hAnsi="Calibri"/>
                <w:b w:val="0"/>
                <w:color w:val="000000"/>
                <w:sz w:val="16"/>
              </w:rPr>
              <w:t>55% (PS1/26 Ch.16 Table 16.7)</w:t>
            </w:r>
          </w:p>
        </w:tc>
        <w:tc>
          <w:tcPr>
            <w:tcW w:type="dxa" w:w="3456"/>
            <w:shd w:fill="F2F2F2" w:val="clear"/>
          </w:tcPr>
          <w:p>
            <w:pPr>
              <w:jc w:val="left"/>
            </w:pPr>
            <w:r/>
            <w:r>
              <w:rPr>
                <w:rFonts w:ascii="Calibri" w:hAnsi="Calibri"/>
                <w:b w:val="0"/>
                <w:color w:val="000000"/>
                <w:sz w:val="16"/>
              </w:rPr>
              <w:t>55% (CRR3 Art 325ap Table 10)</w:t>
            </w:r>
          </w:p>
        </w:tc>
      </w:tr>
      <w:tr>
        <w:tc>
          <w:tcPr>
            <w:tcW w:type="dxa" w:w="3456"/>
            <w:shd w:fill="FFFFFF" w:val="clear"/>
          </w:tcPr>
          <w:p>
            <w:pPr>
              <w:jc w:val="left"/>
            </w:pPr>
            <w:r/>
            <w:r>
              <w:rPr>
                <w:rFonts w:ascii="Calibri" w:hAnsi="Calibri"/>
                <w:b/>
                <w:color w:val="000000"/>
                <w:sz w:val="16"/>
              </w:rPr>
              <w:t>Equity 2: Large Cap Emerging (Telecom/Industrials)</w:t>
            </w:r>
          </w:p>
        </w:tc>
        <w:tc>
          <w:tcPr>
            <w:tcW w:type="dxa" w:w="3456"/>
            <w:shd w:fill="FFFFFF" w:val="clear"/>
          </w:tcPr>
          <w:p>
            <w:pPr>
              <w:jc w:val="left"/>
            </w:pPr>
            <w:r/>
            <w:r>
              <w:rPr>
                <w:rFonts w:ascii="Calibri" w:hAnsi="Calibri"/>
                <w:b w:val="0"/>
                <w:color w:val="000000"/>
                <w:sz w:val="16"/>
              </w:rPr>
              <w:t>60% spot / 60bp repo (Table 8 to §__.209)</w:t>
            </w:r>
          </w:p>
        </w:tc>
        <w:tc>
          <w:tcPr>
            <w:tcW w:type="dxa" w:w="3456"/>
            <w:shd w:fill="FFFFFF" w:val="clear"/>
          </w:tcPr>
          <w:p>
            <w:pPr>
              <w:jc w:val="left"/>
            </w:pPr>
            <w:r/>
            <w:r>
              <w:rPr>
                <w:rFonts w:ascii="Calibri" w:hAnsi="Calibri"/>
                <w:b w:val="0"/>
                <w:color w:val="000000"/>
                <w:sz w:val="16"/>
              </w:rPr>
              <w:t>60% (PS1/26 Ch.16 Table 16.7)</w:t>
            </w:r>
          </w:p>
        </w:tc>
        <w:tc>
          <w:tcPr>
            <w:tcW w:type="dxa" w:w="3456"/>
            <w:shd w:fill="FFFFFF" w:val="clear"/>
          </w:tcPr>
          <w:p>
            <w:pPr>
              <w:jc w:val="left"/>
            </w:pPr>
            <w:r/>
            <w:r>
              <w:rPr>
                <w:rFonts w:ascii="Calibri" w:hAnsi="Calibri"/>
                <w:b w:val="0"/>
                <w:color w:val="000000"/>
                <w:sz w:val="16"/>
              </w:rPr>
              <w:t>60% (CRR3 Art 325ap Table 10)</w:t>
            </w:r>
          </w:p>
        </w:tc>
      </w:tr>
      <w:tr>
        <w:tc>
          <w:tcPr>
            <w:tcW w:type="dxa" w:w="3456"/>
            <w:shd w:fill="F2F2F2" w:val="clear"/>
          </w:tcPr>
          <w:p>
            <w:pPr>
              <w:jc w:val="left"/>
            </w:pPr>
            <w:r/>
            <w:r>
              <w:rPr>
                <w:rFonts w:ascii="Calibri" w:hAnsi="Calibri"/>
                <w:b/>
                <w:color w:val="000000"/>
                <w:sz w:val="16"/>
              </w:rPr>
              <w:t>Equity 3: Large Cap Emerging (Basic Materials/Energy/Agri/Manufacturing/Mining)</w:t>
            </w:r>
          </w:p>
        </w:tc>
        <w:tc>
          <w:tcPr>
            <w:tcW w:type="dxa" w:w="3456"/>
            <w:shd w:fill="F2F2F2" w:val="clear"/>
          </w:tcPr>
          <w:p>
            <w:pPr>
              <w:jc w:val="left"/>
            </w:pPr>
            <w:r/>
            <w:r>
              <w:rPr>
                <w:rFonts w:ascii="Calibri" w:hAnsi="Calibri"/>
                <w:b w:val="0"/>
                <w:color w:val="000000"/>
                <w:sz w:val="16"/>
              </w:rPr>
              <w:t>45% spot / 45bp repo (Table 8 to §__.209)</w:t>
            </w:r>
          </w:p>
        </w:tc>
        <w:tc>
          <w:tcPr>
            <w:tcW w:type="dxa" w:w="3456"/>
            <w:shd w:fill="F2F2F2" w:val="clear"/>
          </w:tcPr>
          <w:p>
            <w:pPr>
              <w:jc w:val="left"/>
            </w:pPr>
            <w:r/>
            <w:r>
              <w:rPr>
                <w:rFonts w:ascii="Calibri" w:hAnsi="Calibri"/>
                <w:b w:val="0"/>
                <w:color w:val="000000"/>
                <w:sz w:val="16"/>
              </w:rPr>
              <w:t>45% (PS1/26 Ch.16 Table 16.7)</w:t>
            </w:r>
          </w:p>
        </w:tc>
        <w:tc>
          <w:tcPr>
            <w:tcW w:type="dxa" w:w="3456"/>
            <w:shd w:fill="F2F2F2" w:val="clear"/>
          </w:tcPr>
          <w:p>
            <w:pPr>
              <w:jc w:val="left"/>
            </w:pPr>
            <w:r/>
            <w:r>
              <w:rPr>
                <w:rFonts w:ascii="Calibri" w:hAnsi="Calibri"/>
                <w:b w:val="0"/>
                <w:color w:val="000000"/>
                <w:sz w:val="16"/>
              </w:rPr>
              <w:t>45% (CRR3 Art 325ap Table 10)</w:t>
            </w:r>
          </w:p>
        </w:tc>
      </w:tr>
      <w:tr>
        <w:tc>
          <w:tcPr>
            <w:tcW w:type="dxa" w:w="3456"/>
            <w:shd w:fill="FFFFFF" w:val="clear"/>
          </w:tcPr>
          <w:p>
            <w:pPr>
              <w:jc w:val="left"/>
            </w:pPr>
            <w:r/>
            <w:r>
              <w:rPr>
                <w:rFonts w:ascii="Calibri" w:hAnsi="Calibri"/>
                <w:b/>
                <w:color w:val="000000"/>
                <w:sz w:val="16"/>
              </w:rPr>
              <w:t>Equity 4: Large Cap Emerging (Financials/Real Estate/Technology)</w:t>
            </w:r>
          </w:p>
        </w:tc>
        <w:tc>
          <w:tcPr>
            <w:tcW w:type="dxa" w:w="3456"/>
            <w:shd w:fill="FFFFFF" w:val="clear"/>
          </w:tcPr>
          <w:p>
            <w:pPr>
              <w:jc w:val="left"/>
            </w:pPr>
            <w:r/>
            <w:r>
              <w:rPr>
                <w:rFonts w:ascii="Calibri" w:hAnsi="Calibri"/>
                <w:b w:val="0"/>
                <w:color w:val="000000"/>
                <w:sz w:val="16"/>
              </w:rPr>
              <w:t>55% spot / 55bp repo (Table 8 to §__.209)</w:t>
            </w:r>
          </w:p>
        </w:tc>
        <w:tc>
          <w:tcPr>
            <w:tcW w:type="dxa" w:w="3456"/>
            <w:shd w:fill="FFFFFF" w:val="clear"/>
          </w:tcPr>
          <w:p>
            <w:pPr>
              <w:jc w:val="left"/>
            </w:pPr>
            <w:r/>
            <w:r>
              <w:rPr>
                <w:rFonts w:ascii="Calibri" w:hAnsi="Calibri"/>
                <w:b w:val="0"/>
                <w:color w:val="000000"/>
                <w:sz w:val="16"/>
              </w:rPr>
              <w:t>55% (PS1/26 Ch.16 Table 16.7)</w:t>
            </w:r>
          </w:p>
        </w:tc>
        <w:tc>
          <w:tcPr>
            <w:tcW w:type="dxa" w:w="3456"/>
            <w:shd w:fill="FFFFFF" w:val="clear"/>
          </w:tcPr>
          <w:p>
            <w:pPr>
              <w:jc w:val="left"/>
            </w:pPr>
            <w:r/>
            <w:r>
              <w:rPr>
                <w:rFonts w:ascii="Calibri" w:hAnsi="Calibri"/>
                <w:b w:val="0"/>
                <w:color w:val="000000"/>
                <w:sz w:val="16"/>
              </w:rPr>
              <w:t>55% (CRR3 Art 325ap Table 10)</w:t>
            </w:r>
          </w:p>
        </w:tc>
      </w:tr>
      <w:tr>
        <w:tc>
          <w:tcPr>
            <w:tcW w:type="dxa" w:w="3456"/>
            <w:shd w:fill="F2F2F2" w:val="clear"/>
          </w:tcPr>
          <w:p>
            <w:pPr>
              <w:jc w:val="left"/>
            </w:pPr>
            <w:r/>
            <w:r>
              <w:rPr>
                <w:rFonts w:ascii="Calibri" w:hAnsi="Calibri"/>
                <w:b/>
                <w:color w:val="000000"/>
                <w:sz w:val="16"/>
              </w:rPr>
              <w:t>Equity 5: Large Cap Liquid Markets (Consumer/Transport/Admin/Health/Utilities)</w:t>
            </w:r>
          </w:p>
        </w:tc>
        <w:tc>
          <w:tcPr>
            <w:tcW w:type="dxa" w:w="3456"/>
            <w:shd w:fill="F2F2F2" w:val="clear"/>
          </w:tcPr>
          <w:p>
            <w:pPr>
              <w:jc w:val="left"/>
            </w:pPr>
            <w:r/>
            <w:r>
              <w:rPr>
                <w:rFonts w:ascii="Calibri" w:hAnsi="Calibri"/>
                <w:b w:val="0"/>
                <w:color w:val="000000"/>
                <w:sz w:val="16"/>
              </w:rPr>
              <w:t>30% spot / 30bp repo (Table 8 to §__.209)</w:t>
            </w:r>
          </w:p>
        </w:tc>
        <w:tc>
          <w:tcPr>
            <w:tcW w:type="dxa" w:w="3456"/>
            <w:shd w:fill="F2F2F2" w:val="clear"/>
          </w:tcPr>
          <w:p>
            <w:pPr>
              <w:jc w:val="left"/>
            </w:pPr>
            <w:r/>
            <w:r>
              <w:rPr>
                <w:rFonts w:ascii="Calibri" w:hAnsi="Calibri"/>
                <w:b w:val="0"/>
                <w:color w:val="000000"/>
                <w:sz w:val="16"/>
              </w:rPr>
              <w:t>30% (PS1/26 Ch.16 Table 16.7)</w:t>
            </w:r>
          </w:p>
        </w:tc>
        <w:tc>
          <w:tcPr>
            <w:tcW w:type="dxa" w:w="3456"/>
            <w:shd w:fill="F2F2F2" w:val="clear"/>
          </w:tcPr>
          <w:p>
            <w:pPr>
              <w:jc w:val="left"/>
            </w:pPr>
            <w:r/>
            <w:r>
              <w:rPr>
                <w:rFonts w:ascii="Calibri" w:hAnsi="Calibri"/>
                <w:b w:val="0"/>
                <w:color w:val="000000"/>
                <w:sz w:val="16"/>
              </w:rPr>
              <w:t>30% (CRR3 Art 325ap Table 10)</w:t>
            </w:r>
          </w:p>
        </w:tc>
      </w:tr>
      <w:tr>
        <w:tc>
          <w:tcPr>
            <w:tcW w:type="dxa" w:w="3456"/>
            <w:shd w:fill="FFFFFF" w:val="clear"/>
          </w:tcPr>
          <w:p>
            <w:pPr>
              <w:jc w:val="left"/>
            </w:pPr>
            <w:r/>
            <w:r>
              <w:rPr>
                <w:rFonts w:ascii="Calibri" w:hAnsi="Calibri"/>
                <w:b/>
                <w:color w:val="000000"/>
                <w:sz w:val="16"/>
              </w:rPr>
              <w:t>Equity 6: Large Cap Liquid Markets (Telecom/Industrials)</w:t>
            </w:r>
          </w:p>
        </w:tc>
        <w:tc>
          <w:tcPr>
            <w:tcW w:type="dxa" w:w="3456"/>
            <w:shd w:fill="FFFFFF" w:val="clear"/>
          </w:tcPr>
          <w:p>
            <w:pPr>
              <w:jc w:val="left"/>
            </w:pPr>
            <w:r/>
            <w:r>
              <w:rPr>
                <w:rFonts w:ascii="Calibri" w:hAnsi="Calibri"/>
                <w:b w:val="0"/>
                <w:color w:val="000000"/>
                <w:sz w:val="16"/>
              </w:rPr>
              <w:t>35% spot / 35bp repo (Table 8 to §__.209)</w:t>
            </w:r>
          </w:p>
        </w:tc>
        <w:tc>
          <w:tcPr>
            <w:tcW w:type="dxa" w:w="3456"/>
            <w:shd w:fill="FFFFFF" w:val="clear"/>
          </w:tcPr>
          <w:p>
            <w:pPr>
              <w:jc w:val="left"/>
            </w:pPr>
            <w:r/>
            <w:r>
              <w:rPr>
                <w:rFonts w:ascii="Calibri" w:hAnsi="Calibri"/>
                <w:b w:val="0"/>
                <w:color w:val="000000"/>
                <w:sz w:val="16"/>
              </w:rPr>
              <w:t>35% (PS1/26 Ch.16 Table 16.7)</w:t>
            </w:r>
          </w:p>
        </w:tc>
        <w:tc>
          <w:tcPr>
            <w:tcW w:type="dxa" w:w="3456"/>
            <w:shd w:fill="FFFFFF" w:val="clear"/>
          </w:tcPr>
          <w:p>
            <w:pPr>
              <w:jc w:val="left"/>
            </w:pPr>
            <w:r/>
            <w:r>
              <w:rPr>
                <w:rFonts w:ascii="Calibri" w:hAnsi="Calibri"/>
                <w:b w:val="0"/>
                <w:color w:val="000000"/>
                <w:sz w:val="16"/>
              </w:rPr>
              <w:t>35% (CRR3 Art 325ap Table 10)</w:t>
            </w:r>
          </w:p>
        </w:tc>
      </w:tr>
      <w:tr>
        <w:tc>
          <w:tcPr>
            <w:tcW w:type="dxa" w:w="3456"/>
            <w:shd w:fill="F2F2F2" w:val="clear"/>
          </w:tcPr>
          <w:p>
            <w:pPr>
              <w:jc w:val="left"/>
            </w:pPr>
            <w:r/>
            <w:r>
              <w:rPr>
                <w:rFonts w:ascii="Calibri" w:hAnsi="Calibri"/>
                <w:b/>
                <w:color w:val="000000"/>
                <w:sz w:val="16"/>
              </w:rPr>
              <w:t>Equity 7: Large Cap Liquid Markets (Basic Materials/Energy/Agri/Manufacturing/Mining)</w:t>
            </w:r>
          </w:p>
        </w:tc>
        <w:tc>
          <w:tcPr>
            <w:tcW w:type="dxa" w:w="3456"/>
            <w:shd w:fill="F2F2F2" w:val="clear"/>
          </w:tcPr>
          <w:p>
            <w:pPr>
              <w:jc w:val="left"/>
            </w:pPr>
            <w:r/>
            <w:r>
              <w:rPr>
                <w:rFonts w:ascii="Calibri" w:hAnsi="Calibri"/>
                <w:b w:val="0"/>
                <w:color w:val="000000"/>
                <w:sz w:val="16"/>
              </w:rPr>
              <w:t>40% spot / 40bp repo (Table 8 to §__.209)</w:t>
            </w:r>
          </w:p>
        </w:tc>
        <w:tc>
          <w:tcPr>
            <w:tcW w:type="dxa" w:w="3456"/>
            <w:shd w:fill="F2F2F2" w:val="clear"/>
          </w:tcPr>
          <w:p>
            <w:pPr>
              <w:jc w:val="left"/>
            </w:pPr>
            <w:r/>
            <w:r>
              <w:rPr>
                <w:rFonts w:ascii="Calibri" w:hAnsi="Calibri"/>
                <w:b w:val="0"/>
                <w:color w:val="000000"/>
                <w:sz w:val="16"/>
              </w:rPr>
              <w:t>40% (PS1/26 Ch.16 Table 16.7)</w:t>
            </w:r>
          </w:p>
        </w:tc>
        <w:tc>
          <w:tcPr>
            <w:tcW w:type="dxa" w:w="3456"/>
            <w:shd w:fill="F2F2F2" w:val="clear"/>
          </w:tcPr>
          <w:p>
            <w:pPr>
              <w:jc w:val="left"/>
            </w:pPr>
            <w:r/>
            <w:r>
              <w:rPr>
                <w:rFonts w:ascii="Calibri" w:hAnsi="Calibri"/>
                <w:b w:val="0"/>
                <w:color w:val="000000"/>
                <w:sz w:val="16"/>
              </w:rPr>
              <w:t>40% (CRR3 Art 325ap Table 10)</w:t>
            </w:r>
          </w:p>
        </w:tc>
      </w:tr>
      <w:tr>
        <w:tc>
          <w:tcPr>
            <w:tcW w:type="dxa" w:w="3456"/>
            <w:shd w:fill="FFFFFF" w:val="clear"/>
          </w:tcPr>
          <w:p>
            <w:pPr>
              <w:jc w:val="left"/>
            </w:pPr>
            <w:r/>
            <w:r>
              <w:rPr>
                <w:rFonts w:ascii="Calibri" w:hAnsi="Calibri"/>
                <w:b/>
                <w:color w:val="000000"/>
                <w:sz w:val="16"/>
              </w:rPr>
              <w:t>Equity 8: Large Cap Liquid Markets (Financials/Real Estate/Technology)</w:t>
            </w:r>
          </w:p>
        </w:tc>
        <w:tc>
          <w:tcPr>
            <w:tcW w:type="dxa" w:w="3456"/>
            <w:shd w:fill="FFFFFF" w:val="clear"/>
          </w:tcPr>
          <w:p>
            <w:pPr>
              <w:jc w:val="left"/>
            </w:pPr>
            <w:r/>
            <w:r>
              <w:rPr>
                <w:rFonts w:ascii="Calibri" w:hAnsi="Calibri"/>
                <w:b w:val="0"/>
                <w:color w:val="000000"/>
                <w:sz w:val="16"/>
              </w:rPr>
              <w:t>50% spot / 50bp repo (Table 8 to §__.209)</w:t>
            </w:r>
          </w:p>
        </w:tc>
        <w:tc>
          <w:tcPr>
            <w:tcW w:type="dxa" w:w="3456"/>
            <w:shd w:fill="FFFFFF" w:val="clear"/>
          </w:tcPr>
          <w:p>
            <w:pPr>
              <w:jc w:val="left"/>
            </w:pPr>
            <w:r/>
            <w:r>
              <w:rPr>
                <w:rFonts w:ascii="Calibri" w:hAnsi="Calibri"/>
                <w:b w:val="0"/>
                <w:color w:val="000000"/>
                <w:sz w:val="16"/>
              </w:rPr>
              <w:t>50% (PS1/26 Ch.16 Table 16.7)</w:t>
            </w:r>
          </w:p>
        </w:tc>
        <w:tc>
          <w:tcPr>
            <w:tcW w:type="dxa" w:w="3456"/>
            <w:shd w:fill="FFFFFF" w:val="clear"/>
          </w:tcPr>
          <w:p>
            <w:pPr>
              <w:jc w:val="left"/>
            </w:pPr>
            <w:r/>
            <w:r>
              <w:rPr>
                <w:rFonts w:ascii="Calibri" w:hAnsi="Calibri"/>
                <w:b w:val="0"/>
                <w:color w:val="000000"/>
                <w:sz w:val="16"/>
              </w:rPr>
              <w:t>50% (CRR3 Art 325ap Table 10)</w:t>
            </w:r>
          </w:p>
        </w:tc>
      </w:tr>
      <w:tr>
        <w:tc>
          <w:tcPr>
            <w:tcW w:type="dxa" w:w="3456"/>
            <w:shd w:fill="F2F2F2" w:val="clear"/>
          </w:tcPr>
          <w:p>
            <w:pPr>
              <w:jc w:val="left"/>
            </w:pPr>
            <w:r/>
            <w:r>
              <w:rPr>
                <w:rFonts w:ascii="Calibri" w:hAnsi="Calibri"/>
                <w:b/>
                <w:color w:val="000000"/>
                <w:sz w:val="16"/>
              </w:rPr>
              <w:t>Equity 9: Small Cap Emerging</w:t>
            </w:r>
          </w:p>
        </w:tc>
        <w:tc>
          <w:tcPr>
            <w:tcW w:type="dxa" w:w="3456"/>
            <w:shd w:fill="F2F2F2" w:val="clear"/>
          </w:tcPr>
          <w:p>
            <w:pPr>
              <w:jc w:val="left"/>
            </w:pPr>
            <w:r/>
            <w:r>
              <w:rPr>
                <w:rFonts w:ascii="Calibri" w:hAnsi="Calibri"/>
                <w:b w:val="0"/>
                <w:color w:val="000000"/>
                <w:sz w:val="16"/>
              </w:rPr>
              <w:t>70% spot / 70bp repo (Table 8 to §__.209)</w:t>
            </w:r>
          </w:p>
        </w:tc>
        <w:tc>
          <w:tcPr>
            <w:tcW w:type="dxa" w:w="3456"/>
            <w:shd w:fill="F2F2F2" w:val="clear"/>
          </w:tcPr>
          <w:p>
            <w:pPr>
              <w:jc w:val="left"/>
            </w:pPr>
            <w:r/>
            <w:r>
              <w:rPr>
                <w:rFonts w:ascii="Calibri" w:hAnsi="Calibri"/>
                <w:b w:val="0"/>
                <w:color w:val="000000"/>
                <w:sz w:val="16"/>
              </w:rPr>
              <w:t>70% (PS1/26 Ch.16 Table 16.7)</w:t>
            </w:r>
          </w:p>
        </w:tc>
        <w:tc>
          <w:tcPr>
            <w:tcW w:type="dxa" w:w="3456"/>
            <w:shd w:fill="F2F2F2" w:val="clear"/>
          </w:tcPr>
          <w:p>
            <w:pPr>
              <w:jc w:val="left"/>
            </w:pPr>
            <w:r/>
            <w:r>
              <w:rPr>
                <w:rFonts w:ascii="Calibri" w:hAnsi="Calibri"/>
                <w:b w:val="0"/>
                <w:color w:val="000000"/>
                <w:sz w:val="16"/>
              </w:rPr>
              <w:t>70% (CRR3 Art 325ap Table 10)</w:t>
            </w:r>
          </w:p>
        </w:tc>
      </w:tr>
      <w:tr>
        <w:tc>
          <w:tcPr>
            <w:tcW w:type="dxa" w:w="3456"/>
            <w:shd w:fill="FFFFFF" w:val="clear"/>
          </w:tcPr>
          <w:p>
            <w:pPr>
              <w:jc w:val="left"/>
            </w:pPr>
            <w:r/>
            <w:r>
              <w:rPr>
                <w:rFonts w:ascii="Calibri" w:hAnsi="Calibri"/>
                <w:b/>
                <w:color w:val="000000"/>
                <w:sz w:val="16"/>
              </w:rPr>
              <w:t>Equity 10: Small Cap Liquid Markets</w:t>
            </w:r>
          </w:p>
        </w:tc>
        <w:tc>
          <w:tcPr>
            <w:tcW w:type="dxa" w:w="3456"/>
            <w:shd w:fill="FFFFFF" w:val="clear"/>
          </w:tcPr>
          <w:p>
            <w:pPr>
              <w:jc w:val="left"/>
            </w:pPr>
            <w:r/>
            <w:r>
              <w:rPr>
                <w:rFonts w:ascii="Calibri" w:hAnsi="Calibri"/>
                <w:b w:val="0"/>
                <w:color w:val="000000"/>
                <w:sz w:val="16"/>
              </w:rPr>
              <w:t>50% spot / 50bp repo (Table 8 to §__.209)</w:t>
            </w:r>
          </w:p>
        </w:tc>
        <w:tc>
          <w:tcPr>
            <w:tcW w:type="dxa" w:w="3456"/>
            <w:shd w:fill="FFFFFF" w:val="clear"/>
          </w:tcPr>
          <w:p>
            <w:pPr>
              <w:jc w:val="left"/>
            </w:pPr>
            <w:r/>
            <w:r>
              <w:rPr>
                <w:rFonts w:ascii="Calibri" w:hAnsi="Calibri"/>
                <w:b w:val="0"/>
                <w:color w:val="000000"/>
                <w:sz w:val="16"/>
              </w:rPr>
              <w:t>50% (PS1/26 Ch.16 Table 16.7)</w:t>
            </w:r>
          </w:p>
        </w:tc>
        <w:tc>
          <w:tcPr>
            <w:tcW w:type="dxa" w:w="3456"/>
            <w:shd w:fill="FFFFFF" w:val="clear"/>
          </w:tcPr>
          <w:p>
            <w:pPr>
              <w:jc w:val="left"/>
            </w:pPr>
            <w:r/>
            <w:r>
              <w:rPr>
                <w:rFonts w:ascii="Calibri" w:hAnsi="Calibri"/>
                <w:b w:val="0"/>
                <w:color w:val="000000"/>
                <w:sz w:val="16"/>
              </w:rPr>
              <w:t>50% (CRR3 Art 325ap Table 10)</w:t>
            </w:r>
          </w:p>
        </w:tc>
      </w:tr>
      <w:tr>
        <w:tc>
          <w:tcPr>
            <w:tcW w:type="dxa" w:w="3456"/>
            <w:shd w:fill="F2F2F2" w:val="clear"/>
          </w:tcPr>
          <w:p>
            <w:pPr>
              <w:jc w:val="left"/>
            </w:pPr>
            <w:r/>
            <w:r>
              <w:rPr>
                <w:rFonts w:ascii="Calibri" w:hAnsi="Calibri"/>
                <w:b/>
                <w:color w:val="000000"/>
                <w:sz w:val="16"/>
              </w:rPr>
              <w:t>Equity 11: Other Sector</w:t>
            </w:r>
          </w:p>
        </w:tc>
        <w:tc>
          <w:tcPr>
            <w:tcW w:type="dxa" w:w="3456"/>
            <w:shd w:fill="F2F2F2" w:val="clear"/>
          </w:tcPr>
          <w:p>
            <w:pPr>
              <w:jc w:val="left"/>
            </w:pPr>
            <w:r/>
            <w:r>
              <w:rPr>
                <w:rFonts w:ascii="Calibri" w:hAnsi="Calibri"/>
                <w:b w:val="0"/>
                <w:color w:val="000000"/>
                <w:sz w:val="16"/>
              </w:rPr>
              <w:t>70% spot / 70bp repo (Table 8 to §__.209)</w:t>
            </w:r>
          </w:p>
        </w:tc>
        <w:tc>
          <w:tcPr>
            <w:tcW w:type="dxa" w:w="3456"/>
            <w:shd w:fill="F2F2F2" w:val="clear"/>
          </w:tcPr>
          <w:p>
            <w:pPr>
              <w:jc w:val="left"/>
            </w:pPr>
            <w:r/>
            <w:r>
              <w:rPr>
                <w:rFonts w:ascii="Calibri" w:hAnsi="Calibri"/>
                <w:b w:val="0"/>
                <w:color w:val="000000"/>
                <w:sz w:val="16"/>
              </w:rPr>
              <w:t>70% (PS1/26 Ch.16 Table 16.7)</w:t>
            </w:r>
          </w:p>
        </w:tc>
        <w:tc>
          <w:tcPr>
            <w:tcW w:type="dxa" w:w="3456"/>
            <w:shd w:fill="F2F2F2" w:val="clear"/>
          </w:tcPr>
          <w:p>
            <w:pPr>
              <w:jc w:val="left"/>
            </w:pPr>
            <w:r/>
            <w:r>
              <w:rPr>
                <w:rFonts w:ascii="Calibri" w:hAnsi="Calibri"/>
                <w:b w:val="0"/>
                <w:color w:val="000000"/>
                <w:sz w:val="16"/>
              </w:rPr>
              <w:t>70% (CRR3 Art 325ap Table 10)</w:t>
            </w:r>
          </w:p>
        </w:tc>
      </w:tr>
      <w:tr>
        <w:tc>
          <w:tcPr>
            <w:tcW w:type="dxa" w:w="3456"/>
            <w:shd w:fill="FFFFFF" w:val="clear"/>
          </w:tcPr>
          <w:p>
            <w:pPr>
              <w:jc w:val="left"/>
            </w:pPr>
            <w:r/>
            <w:r>
              <w:rPr>
                <w:rFonts w:ascii="Calibri" w:hAnsi="Calibri"/>
                <w:b/>
                <w:color w:val="000000"/>
                <w:sz w:val="16"/>
              </w:rPr>
              <w:t>Equity 12: Large Cap Liquid-Market Indices</w:t>
            </w:r>
          </w:p>
        </w:tc>
        <w:tc>
          <w:tcPr>
            <w:tcW w:type="dxa" w:w="3456"/>
            <w:shd w:fill="FFFFFF" w:val="clear"/>
          </w:tcPr>
          <w:p>
            <w:pPr>
              <w:jc w:val="left"/>
            </w:pPr>
            <w:r/>
            <w:r>
              <w:rPr>
                <w:rFonts w:ascii="Calibri" w:hAnsi="Calibri"/>
                <w:b w:val="0"/>
                <w:color w:val="000000"/>
                <w:sz w:val="16"/>
              </w:rPr>
              <w:t>15% spot / 15bp repo (Table 8 to §__.209)</w:t>
            </w:r>
          </w:p>
        </w:tc>
        <w:tc>
          <w:tcPr>
            <w:tcW w:type="dxa" w:w="3456"/>
            <w:shd w:fill="FFFFFF" w:val="clear"/>
          </w:tcPr>
          <w:p>
            <w:pPr>
              <w:jc w:val="left"/>
            </w:pPr>
            <w:r/>
            <w:r>
              <w:rPr>
                <w:rFonts w:ascii="Calibri" w:hAnsi="Calibri"/>
                <w:b w:val="0"/>
                <w:color w:val="000000"/>
                <w:sz w:val="16"/>
              </w:rPr>
              <w:t>15% (PS1/26 Ch.16 Table 16.7)</w:t>
            </w:r>
          </w:p>
        </w:tc>
        <w:tc>
          <w:tcPr>
            <w:tcW w:type="dxa" w:w="3456"/>
            <w:shd w:fill="FFFFFF" w:val="clear"/>
          </w:tcPr>
          <w:p>
            <w:pPr>
              <w:jc w:val="left"/>
            </w:pPr>
            <w:r/>
            <w:r>
              <w:rPr>
                <w:rFonts w:ascii="Calibri" w:hAnsi="Calibri"/>
                <w:b w:val="0"/>
                <w:color w:val="000000"/>
                <w:sz w:val="16"/>
              </w:rPr>
              <w:t>15% (CRR3 Art 325ap Table 10)</w:t>
            </w:r>
          </w:p>
        </w:tc>
      </w:tr>
      <w:tr>
        <w:tc>
          <w:tcPr>
            <w:tcW w:type="dxa" w:w="3456"/>
            <w:shd w:fill="F2F2F2" w:val="clear"/>
          </w:tcPr>
          <w:p>
            <w:pPr>
              <w:jc w:val="left"/>
            </w:pPr>
            <w:r/>
            <w:r>
              <w:rPr>
                <w:rFonts w:ascii="Calibri" w:hAnsi="Calibri"/>
                <w:b/>
                <w:color w:val="000000"/>
                <w:sz w:val="16"/>
              </w:rPr>
              <w:t>Equity 13: Other Indices</w:t>
            </w:r>
          </w:p>
        </w:tc>
        <w:tc>
          <w:tcPr>
            <w:tcW w:type="dxa" w:w="3456"/>
            <w:shd w:fill="F2F2F2" w:val="clear"/>
          </w:tcPr>
          <w:p>
            <w:pPr>
              <w:jc w:val="left"/>
            </w:pPr>
            <w:r/>
            <w:r>
              <w:rPr>
                <w:rFonts w:ascii="Calibri" w:hAnsi="Calibri"/>
                <w:b w:val="0"/>
                <w:color w:val="000000"/>
                <w:sz w:val="16"/>
              </w:rPr>
              <w:t>25% spot / 25bp repo (Table 8 to §__.209)</w:t>
            </w:r>
          </w:p>
        </w:tc>
        <w:tc>
          <w:tcPr>
            <w:tcW w:type="dxa" w:w="3456"/>
            <w:shd w:fill="F2F2F2" w:val="clear"/>
          </w:tcPr>
          <w:p>
            <w:pPr>
              <w:jc w:val="left"/>
            </w:pPr>
            <w:r/>
            <w:r>
              <w:rPr>
                <w:rFonts w:ascii="Calibri" w:hAnsi="Calibri"/>
                <w:b w:val="0"/>
                <w:color w:val="000000"/>
                <w:sz w:val="16"/>
              </w:rPr>
              <w:t>25% (PS1/26 Ch.16 Table 16.7)</w:t>
            </w:r>
          </w:p>
        </w:tc>
        <w:tc>
          <w:tcPr>
            <w:tcW w:type="dxa" w:w="3456"/>
            <w:shd w:fill="F2F2F2" w:val="clear"/>
          </w:tcPr>
          <w:p>
            <w:pPr>
              <w:jc w:val="left"/>
            </w:pPr>
            <w:r/>
            <w:r>
              <w:rPr>
                <w:rFonts w:ascii="Calibri" w:hAnsi="Calibri"/>
                <w:b w:val="0"/>
                <w:color w:val="000000"/>
                <w:sz w:val="16"/>
              </w:rPr>
              <w:t>25% (CRR3 Art 325ap Table 10)</w:t>
            </w:r>
          </w:p>
        </w:tc>
      </w:tr>
    </w:tbl>
    <w:p>
      <w:r>
        <w:rPr>
          <w:rFonts w:ascii="Calibri" w:hAnsi="Calibri"/>
          <w:b/>
          <w:color w:val="002060"/>
          <w:sz w:val="22"/>
        </w:rPr>
        <w:t>11.5 Commodity Risk Weights (US Table 9 to §__.209 / MAR21.82)</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Bucket</w:t>
            </w:r>
          </w:p>
        </w:tc>
        <w:tc>
          <w:tcPr>
            <w:tcW w:type="dxa" w:w="3456"/>
            <w:shd w:fill="002060" w:val="clear"/>
            <w:tcW w:w="3600" w:type="dxa"/>
          </w:tcPr>
          <w:p>
            <w:pPr>
              <w:jc w:val="center"/>
            </w:pPr>
            <w:r/>
            <w:r>
              <w:rPr>
                <w:rFonts w:ascii="Calibri" w:hAnsi="Calibri"/>
                <w:b/>
                <w:color w:val="FFFFFF"/>
                <w:sz w:val="16"/>
              </w:rPr>
              <w:t>US RW (ERBA)</w:t>
            </w:r>
          </w:p>
        </w:tc>
        <w:tc>
          <w:tcPr>
            <w:tcW w:type="dxa" w:w="3456"/>
            <w:shd w:fill="002060" w:val="clear"/>
            <w:tcW w:w="3600" w:type="dxa"/>
          </w:tcPr>
          <w:p>
            <w:pPr>
              <w:jc w:val="center"/>
            </w:pPr>
            <w:r/>
            <w:r>
              <w:rPr>
                <w:rFonts w:ascii="Calibri" w:hAnsi="Calibri"/>
                <w:b/>
                <w:color w:val="FFFFFF"/>
                <w:sz w:val="16"/>
              </w:rPr>
              <w:t>UK RW (PS1/26)</w:t>
            </w:r>
          </w:p>
        </w:tc>
        <w:tc>
          <w:tcPr>
            <w:tcW w:type="dxa" w:w="3456"/>
            <w:shd w:fill="002060" w:val="clear"/>
            <w:tcW w:w="3600" w:type="dxa"/>
          </w:tcPr>
          <w:p>
            <w:pPr>
              <w:jc w:val="center"/>
            </w:pPr>
            <w:r/>
            <w:r>
              <w:rPr>
                <w:rFonts w:ascii="Calibri" w:hAnsi="Calibri"/>
                <w:b/>
                <w:color w:val="FFFFFF"/>
                <w:sz w:val="16"/>
              </w:rPr>
              <w:t>EU RW (CRR3)</w:t>
            </w:r>
          </w:p>
        </w:tc>
      </w:tr>
      <w:tr>
        <w:tc>
          <w:tcPr>
            <w:tcW w:type="dxa" w:w="3456"/>
            <w:shd w:fill="F2F2F2" w:val="clear"/>
          </w:tcPr>
          <w:p>
            <w:pPr>
              <w:jc w:val="left"/>
            </w:pPr>
            <w:r/>
            <w:r>
              <w:rPr>
                <w:rFonts w:ascii="Calibri" w:hAnsi="Calibri"/>
                <w:b/>
                <w:color w:val="000000"/>
                <w:sz w:val="16"/>
              </w:rPr>
              <w:t>Commodity 1: Energy - Solid Combustibles</w:t>
            </w:r>
          </w:p>
        </w:tc>
        <w:tc>
          <w:tcPr>
            <w:tcW w:type="dxa" w:w="3456"/>
            <w:shd w:fill="F2F2F2" w:val="clear"/>
          </w:tcPr>
          <w:p>
            <w:pPr>
              <w:jc w:val="left"/>
            </w:pPr>
            <w:r/>
            <w:r>
              <w:rPr>
                <w:rFonts w:ascii="Calibri" w:hAnsi="Calibri"/>
                <w:b w:val="0"/>
                <w:color w:val="000000"/>
                <w:sz w:val="16"/>
              </w:rPr>
              <w:t>30% (Table 9 to §__.209)</w:t>
            </w:r>
          </w:p>
        </w:tc>
        <w:tc>
          <w:tcPr>
            <w:tcW w:type="dxa" w:w="3456"/>
            <w:shd w:fill="F2F2F2" w:val="clear"/>
          </w:tcPr>
          <w:p>
            <w:pPr>
              <w:jc w:val="left"/>
            </w:pPr>
            <w:r/>
            <w:r>
              <w:rPr>
                <w:rFonts w:ascii="Calibri" w:hAnsi="Calibri"/>
                <w:b w:val="0"/>
                <w:color w:val="000000"/>
                <w:sz w:val="16"/>
              </w:rPr>
              <w:t>30% (PS1/26 Ch.16 Table 16.9)</w:t>
            </w:r>
          </w:p>
        </w:tc>
        <w:tc>
          <w:tcPr>
            <w:tcW w:type="dxa" w:w="3456"/>
            <w:shd w:fill="F2F2F2" w:val="clear"/>
          </w:tcPr>
          <w:p>
            <w:pPr>
              <w:jc w:val="left"/>
            </w:pPr>
            <w:r/>
            <w:r>
              <w:rPr>
                <w:rFonts w:ascii="Calibri" w:hAnsi="Calibri"/>
                <w:b w:val="0"/>
                <w:color w:val="000000"/>
                <w:sz w:val="16"/>
              </w:rPr>
              <w:t>30% (CRR3 Art 325as Table 13)</w:t>
            </w:r>
          </w:p>
        </w:tc>
      </w:tr>
      <w:tr>
        <w:tc>
          <w:tcPr>
            <w:tcW w:type="dxa" w:w="3456"/>
            <w:shd w:fill="FFFFFF" w:val="clear"/>
          </w:tcPr>
          <w:p>
            <w:pPr>
              <w:jc w:val="left"/>
            </w:pPr>
            <w:r/>
            <w:r>
              <w:rPr>
                <w:rFonts w:ascii="Calibri" w:hAnsi="Calibri"/>
                <w:b/>
                <w:color w:val="000000"/>
                <w:sz w:val="16"/>
              </w:rPr>
              <w:t>Commodity 2: Energy - Liquid Combustibles</w:t>
            </w:r>
          </w:p>
        </w:tc>
        <w:tc>
          <w:tcPr>
            <w:tcW w:type="dxa" w:w="3456"/>
            <w:shd w:fill="FFFFFF" w:val="clear"/>
          </w:tcPr>
          <w:p>
            <w:pPr>
              <w:jc w:val="left"/>
            </w:pPr>
            <w:r/>
            <w:r>
              <w:rPr>
                <w:rFonts w:ascii="Calibri" w:hAnsi="Calibri"/>
                <w:b w:val="0"/>
                <w:color w:val="000000"/>
                <w:sz w:val="16"/>
              </w:rPr>
              <w:t>35% (Table 9 to §__.209)</w:t>
            </w:r>
          </w:p>
        </w:tc>
        <w:tc>
          <w:tcPr>
            <w:tcW w:type="dxa" w:w="3456"/>
            <w:shd w:fill="FFFFFF" w:val="clear"/>
          </w:tcPr>
          <w:p>
            <w:pPr>
              <w:jc w:val="left"/>
            </w:pPr>
            <w:r/>
            <w:r>
              <w:rPr>
                <w:rFonts w:ascii="Calibri" w:hAnsi="Calibri"/>
                <w:b w:val="0"/>
                <w:color w:val="000000"/>
                <w:sz w:val="16"/>
              </w:rPr>
              <w:t>35% (PS1/26 Ch.16 Table 16.9)</w:t>
            </w:r>
          </w:p>
        </w:tc>
        <w:tc>
          <w:tcPr>
            <w:tcW w:type="dxa" w:w="3456"/>
            <w:shd w:fill="FFFFFF" w:val="clear"/>
          </w:tcPr>
          <w:p>
            <w:pPr>
              <w:jc w:val="left"/>
            </w:pPr>
            <w:r/>
            <w:r>
              <w:rPr>
                <w:rFonts w:ascii="Calibri" w:hAnsi="Calibri"/>
                <w:b w:val="0"/>
                <w:color w:val="000000"/>
                <w:sz w:val="16"/>
              </w:rPr>
              <w:t>35% (CRR3 Art 325as Table 13)</w:t>
            </w:r>
          </w:p>
        </w:tc>
      </w:tr>
      <w:tr>
        <w:tc>
          <w:tcPr>
            <w:tcW w:type="dxa" w:w="3456"/>
            <w:shd w:fill="F2F2F2" w:val="clear"/>
          </w:tcPr>
          <w:p>
            <w:pPr>
              <w:jc w:val="left"/>
            </w:pPr>
            <w:r/>
            <w:r>
              <w:rPr>
                <w:rFonts w:ascii="Calibri" w:hAnsi="Calibri"/>
                <w:b/>
                <w:color w:val="000000"/>
                <w:sz w:val="16"/>
              </w:rPr>
              <w:t>Commodity 3: Energy - Electricity &amp; Carbon Trading</w:t>
            </w:r>
          </w:p>
        </w:tc>
        <w:tc>
          <w:tcPr>
            <w:tcW w:type="dxa" w:w="3456"/>
            <w:shd w:fill="F2F2F2" w:val="clear"/>
          </w:tcPr>
          <w:p>
            <w:pPr>
              <w:jc w:val="left"/>
            </w:pPr>
            <w:r/>
            <w:r>
              <w:rPr>
                <w:rFonts w:ascii="Calibri" w:hAnsi="Calibri"/>
                <w:b w:val="0"/>
                <w:color w:val="000000"/>
                <w:sz w:val="16"/>
              </w:rPr>
              <w:t>60% (Table 9 to §__.209)</w:t>
            </w:r>
          </w:p>
        </w:tc>
        <w:tc>
          <w:tcPr>
            <w:tcW w:type="dxa" w:w="3456"/>
            <w:shd w:fill="F2F2F2" w:val="clear"/>
          </w:tcPr>
          <w:p>
            <w:pPr>
              <w:jc w:val="left"/>
            </w:pPr>
            <w:r/>
            <w:r>
              <w:rPr>
                <w:rFonts w:ascii="Calibri" w:hAnsi="Calibri"/>
                <w:b w:val="0"/>
                <w:color w:val="000000"/>
                <w:sz w:val="16"/>
              </w:rPr>
              <w:t>60% (PS1/26 Ch.16 Table 16.9)</w:t>
            </w:r>
          </w:p>
        </w:tc>
        <w:tc>
          <w:tcPr>
            <w:tcW w:type="dxa" w:w="3456"/>
            <w:shd w:fill="F2F2F2" w:val="clear"/>
          </w:tcPr>
          <w:p>
            <w:pPr>
              <w:jc w:val="left"/>
            </w:pPr>
            <w:r/>
            <w:r>
              <w:rPr>
                <w:rFonts w:ascii="Calibri" w:hAnsi="Calibri"/>
                <w:b w:val="0"/>
                <w:color w:val="000000"/>
                <w:sz w:val="16"/>
              </w:rPr>
              <w:t>60% (CRR3 Art 325as Table 13)</w:t>
            </w:r>
          </w:p>
        </w:tc>
      </w:tr>
      <w:tr>
        <w:tc>
          <w:tcPr>
            <w:tcW w:type="dxa" w:w="3456"/>
            <w:shd w:fill="FFFFFF" w:val="clear"/>
          </w:tcPr>
          <w:p>
            <w:pPr>
              <w:jc w:val="left"/>
            </w:pPr>
            <w:r/>
            <w:r>
              <w:rPr>
                <w:rFonts w:ascii="Calibri" w:hAnsi="Calibri"/>
                <w:b/>
                <w:color w:val="000000"/>
                <w:sz w:val="16"/>
              </w:rPr>
              <w:t>Commodity 4: Freight</w:t>
            </w:r>
          </w:p>
        </w:tc>
        <w:tc>
          <w:tcPr>
            <w:tcW w:type="dxa" w:w="3456"/>
            <w:shd w:fill="FFFFFF" w:val="clear"/>
          </w:tcPr>
          <w:p>
            <w:pPr>
              <w:jc w:val="left"/>
            </w:pPr>
            <w:r/>
            <w:r>
              <w:rPr>
                <w:rFonts w:ascii="Calibri" w:hAnsi="Calibri"/>
                <w:b w:val="0"/>
                <w:color w:val="000000"/>
                <w:sz w:val="16"/>
              </w:rPr>
              <w:t>80% (Table 9 to §__.209)</w:t>
            </w:r>
          </w:p>
        </w:tc>
        <w:tc>
          <w:tcPr>
            <w:tcW w:type="dxa" w:w="3456"/>
            <w:shd w:fill="FFFFFF" w:val="clear"/>
          </w:tcPr>
          <w:p>
            <w:pPr>
              <w:jc w:val="left"/>
            </w:pPr>
            <w:r/>
            <w:r>
              <w:rPr>
                <w:rFonts w:ascii="Calibri" w:hAnsi="Calibri"/>
                <w:b w:val="0"/>
                <w:color w:val="000000"/>
                <w:sz w:val="16"/>
              </w:rPr>
              <w:t>80% (PS1/26 Ch.16 Table 16.9)</w:t>
            </w:r>
          </w:p>
        </w:tc>
        <w:tc>
          <w:tcPr>
            <w:tcW w:type="dxa" w:w="3456"/>
            <w:shd w:fill="FFFFFF" w:val="clear"/>
          </w:tcPr>
          <w:p>
            <w:pPr>
              <w:jc w:val="left"/>
            </w:pPr>
            <w:r/>
            <w:r>
              <w:rPr>
                <w:rFonts w:ascii="Calibri" w:hAnsi="Calibri"/>
                <w:b w:val="0"/>
                <w:color w:val="000000"/>
                <w:sz w:val="16"/>
              </w:rPr>
              <w:t>80% (CRR3 Art 325as Table 13)</w:t>
            </w:r>
          </w:p>
        </w:tc>
      </w:tr>
      <w:tr>
        <w:tc>
          <w:tcPr>
            <w:tcW w:type="dxa" w:w="3456"/>
            <w:shd w:fill="F2F2F2" w:val="clear"/>
          </w:tcPr>
          <w:p>
            <w:pPr>
              <w:jc w:val="left"/>
            </w:pPr>
            <w:r/>
            <w:r>
              <w:rPr>
                <w:rFonts w:ascii="Calibri" w:hAnsi="Calibri"/>
                <w:b/>
                <w:color w:val="000000"/>
                <w:sz w:val="16"/>
              </w:rPr>
              <w:t>Commodity 5: Metals - Non-Precious</w:t>
            </w:r>
          </w:p>
        </w:tc>
        <w:tc>
          <w:tcPr>
            <w:tcW w:type="dxa" w:w="3456"/>
            <w:shd w:fill="F2F2F2" w:val="clear"/>
          </w:tcPr>
          <w:p>
            <w:pPr>
              <w:jc w:val="left"/>
            </w:pPr>
            <w:r/>
            <w:r>
              <w:rPr>
                <w:rFonts w:ascii="Calibri" w:hAnsi="Calibri"/>
                <w:b w:val="0"/>
                <w:color w:val="000000"/>
                <w:sz w:val="16"/>
              </w:rPr>
              <w:t>40% (Table 9 to §__.209)</w:t>
            </w:r>
          </w:p>
        </w:tc>
        <w:tc>
          <w:tcPr>
            <w:tcW w:type="dxa" w:w="3456"/>
            <w:shd w:fill="F2F2F2" w:val="clear"/>
          </w:tcPr>
          <w:p>
            <w:pPr>
              <w:jc w:val="left"/>
            </w:pPr>
            <w:r/>
            <w:r>
              <w:rPr>
                <w:rFonts w:ascii="Calibri" w:hAnsi="Calibri"/>
                <w:b w:val="0"/>
                <w:color w:val="000000"/>
                <w:sz w:val="16"/>
              </w:rPr>
              <w:t>40% (PS1/26 Ch.16 Table 16.9)</w:t>
            </w:r>
          </w:p>
        </w:tc>
        <w:tc>
          <w:tcPr>
            <w:tcW w:type="dxa" w:w="3456"/>
            <w:shd w:fill="F2F2F2" w:val="clear"/>
          </w:tcPr>
          <w:p>
            <w:pPr>
              <w:jc w:val="left"/>
            </w:pPr>
            <w:r/>
            <w:r>
              <w:rPr>
                <w:rFonts w:ascii="Calibri" w:hAnsi="Calibri"/>
                <w:b w:val="0"/>
                <w:color w:val="000000"/>
                <w:sz w:val="16"/>
              </w:rPr>
              <w:t>40% (CRR3 Art 325as Table 13)</w:t>
            </w:r>
          </w:p>
        </w:tc>
      </w:tr>
      <w:tr>
        <w:tc>
          <w:tcPr>
            <w:tcW w:type="dxa" w:w="3456"/>
            <w:shd w:fill="FFFFFF" w:val="clear"/>
          </w:tcPr>
          <w:p>
            <w:pPr>
              <w:jc w:val="left"/>
            </w:pPr>
            <w:r/>
            <w:r>
              <w:rPr>
                <w:rFonts w:ascii="Calibri" w:hAnsi="Calibri"/>
                <w:b/>
                <w:color w:val="000000"/>
                <w:sz w:val="16"/>
              </w:rPr>
              <w:t>Commodity 6: Gaseous Combustibles</w:t>
            </w:r>
          </w:p>
        </w:tc>
        <w:tc>
          <w:tcPr>
            <w:tcW w:type="dxa" w:w="3456"/>
            <w:shd w:fill="FFFFFF" w:val="clear"/>
          </w:tcPr>
          <w:p>
            <w:pPr>
              <w:jc w:val="left"/>
            </w:pPr>
            <w:r/>
            <w:r>
              <w:rPr>
                <w:rFonts w:ascii="Calibri" w:hAnsi="Calibri"/>
                <w:b w:val="0"/>
                <w:color w:val="000000"/>
                <w:sz w:val="16"/>
              </w:rPr>
              <w:t>45% (Table 9 to §__.209)</w:t>
            </w:r>
          </w:p>
        </w:tc>
        <w:tc>
          <w:tcPr>
            <w:tcW w:type="dxa" w:w="3456"/>
            <w:shd w:fill="FFFFFF" w:val="clear"/>
          </w:tcPr>
          <w:p>
            <w:pPr>
              <w:jc w:val="left"/>
            </w:pPr>
            <w:r/>
            <w:r>
              <w:rPr>
                <w:rFonts w:ascii="Calibri" w:hAnsi="Calibri"/>
                <w:b w:val="0"/>
                <w:color w:val="000000"/>
                <w:sz w:val="16"/>
              </w:rPr>
              <w:t>45% (PS1/26 Ch.16 Table 16.9)</w:t>
            </w:r>
          </w:p>
        </w:tc>
        <w:tc>
          <w:tcPr>
            <w:tcW w:type="dxa" w:w="3456"/>
            <w:shd w:fill="FFFFFF" w:val="clear"/>
          </w:tcPr>
          <w:p>
            <w:pPr>
              <w:jc w:val="left"/>
            </w:pPr>
            <w:r/>
            <w:r>
              <w:rPr>
                <w:rFonts w:ascii="Calibri" w:hAnsi="Calibri"/>
                <w:b w:val="0"/>
                <w:color w:val="000000"/>
                <w:sz w:val="16"/>
              </w:rPr>
              <w:t>45% (CRR3 Art 325as Table 13)</w:t>
            </w:r>
          </w:p>
        </w:tc>
      </w:tr>
      <w:tr>
        <w:tc>
          <w:tcPr>
            <w:tcW w:type="dxa" w:w="3456"/>
            <w:shd w:fill="F2F2F2" w:val="clear"/>
          </w:tcPr>
          <w:p>
            <w:pPr>
              <w:jc w:val="left"/>
            </w:pPr>
            <w:r/>
            <w:r>
              <w:rPr>
                <w:rFonts w:ascii="Calibri" w:hAnsi="Calibri"/>
                <w:b/>
                <w:color w:val="000000"/>
                <w:sz w:val="16"/>
              </w:rPr>
              <w:t>Commodity 7: Precious Metals (incl Gold)</w:t>
            </w:r>
          </w:p>
        </w:tc>
        <w:tc>
          <w:tcPr>
            <w:tcW w:type="dxa" w:w="3456"/>
            <w:shd w:fill="F2F2F2" w:val="clear"/>
          </w:tcPr>
          <w:p>
            <w:pPr>
              <w:jc w:val="left"/>
            </w:pPr>
            <w:r/>
            <w:r>
              <w:rPr>
                <w:rFonts w:ascii="Calibri" w:hAnsi="Calibri"/>
                <w:b w:val="0"/>
                <w:color w:val="000000"/>
                <w:sz w:val="16"/>
              </w:rPr>
              <w:t>20% (Table 9 to §__.209)</w:t>
            </w:r>
          </w:p>
        </w:tc>
        <w:tc>
          <w:tcPr>
            <w:tcW w:type="dxa" w:w="3456"/>
            <w:shd w:fill="F2F2F2" w:val="clear"/>
          </w:tcPr>
          <w:p>
            <w:pPr>
              <w:jc w:val="left"/>
            </w:pPr>
            <w:r/>
            <w:r>
              <w:rPr>
                <w:rFonts w:ascii="Calibri" w:hAnsi="Calibri"/>
                <w:b w:val="0"/>
                <w:color w:val="000000"/>
                <w:sz w:val="16"/>
              </w:rPr>
              <w:t>20% (PS1/26 Ch.16 Table 16.9)</w:t>
            </w:r>
          </w:p>
        </w:tc>
        <w:tc>
          <w:tcPr>
            <w:tcW w:type="dxa" w:w="3456"/>
            <w:shd w:fill="F2F2F2" w:val="clear"/>
          </w:tcPr>
          <w:p>
            <w:pPr>
              <w:jc w:val="left"/>
            </w:pPr>
            <w:r/>
            <w:r>
              <w:rPr>
                <w:rFonts w:ascii="Calibri" w:hAnsi="Calibri"/>
                <w:b w:val="0"/>
                <w:color w:val="000000"/>
                <w:sz w:val="16"/>
              </w:rPr>
              <w:t>20% (CRR3 Art 325as Table 13)</w:t>
            </w:r>
          </w:p>
        </w:tc>
      </w:tr>
      <w:tr>
        <w:tc>
          <w:tcPr>
            <w:tcW w:type="dxa" w:w="3456"/>
            <w:shd w:fill="FFFFFF" w:val="clear"/>
          </w:tcPr>
          <w:p>
            <w:pPr>
              <w:jc w:val="left"/>
            </w:pPr>
            <w:r/>
            <w:r>
              <w:rPr>
                <w:rFonts w:ascii="Calibri" w:hAnsi="Calibri"/>
                <w:b/>
                <w:color w:val="000000"/>
                <w:sz w:val="16"/>
              </w:rPr>
              <w:t>Commodity 8: Grains &amp; Oilseed</w:t>
            </w:r>
          </w:p>
        </w:tc>
        <w:tc>
          <w:tcPr>
            <w:tcW w:type="dxa" w:w="3456"/>
            <w:shd w:fill="FFFFFF" w:val="clear"/>
          </w:tcPr>
          <w:p>
            <w:pPr>
              <w:jc w:val="left"/>
            </w:pPr>
            <w:r/>
            <w:r>
              <w:rPr>
                <w:rFonts w:ascii="Calibri" w:hAnsi="Calibri"/>
                <w:b w:val="0"/>
                <w:color w:val="000000"/>
                <w:sz w:val="16"/>
              </w:rPr>
              <w:t>35% (Table 9 to §__.209)</w:t>
            </w:r>
          </w:p>
        </w:tc>
        <w:tc>
          <w:tcPr>
            <w:tcW w:type="dxa" w:w="3456"/>
            <w:shd w:fill="FFFFFF" w:val="clear"/>
          </w:tcPr>
          <w:p>
            <w:pPr>
              <w:jc w:val="left"/>
            </w:pPr>
            <w:r/>
            <w:r>
              <w:rPr>
                <w:rFonts w:ascii="Calibri" w:hAnsi="Calibri"/>
                <w:b w:val="0"/>
                <w:color w:val="000000"/>
                <w:sz w:val="16"/>
              </w:rPr>
              <w:t>35% (PS1/26 Ch.16 Table 16.9)</w:t>
            </w:r>
          </w:p>
        </w:tc>
        <w:tc>
          <w:tcPr>
            <w:tcW w:type="dxa" w:w="3456"/>
            <w:shd w:fill="FFFFFF" w:val="clear"/>
          </w:tcPr>
          <w:p>
            <w:pPr>
              <w:jc w:val="left"/>
            </w:pPr>
            <w:r/>
            <w:r>
              <w:rPr>
                <w:rFonts w:ascii="Calibri" w:hAnsi="Calibri"/>
                <w:b w:val="0"/>
                <w:color w:val="000000"/>
                <w:sz w:val="16"/>
              </w:rPr>
              <w:t>35% (CRR3 Art 325as Table 13)</w:t>
            </w:r>
          </w:p>
        </w:tc>
      </w:tr>
      <w:tr>
        <w:tc>
          <w:tcPr>
            <w:tcW w:type="dxa" w:w="3456"/>
            <w:shd w:fill="F2F2F2" w:val="clear"/>
          </w:tcPr>
          <w:p>
            <w:pPr>
              <w:jc w:val="left"/>
            </w:pPr>
            <w:r/>
            <w:r>
              <w:rPr>
                <w:rFonts w:ascii="Calibri" w:hAnsi="Calibri"/>
                <w:b/>
                <w:color w:val="000000"/>
                <w:sz w:val="16"/>
              </w:rPr>
              <w:t>Commodity 9: Livestock &amp; Dairy</w:t>
            </w:r>
          </w:p>
        </w:tc>
        <w:tc>
          <w:tcPr>
            <w:tcW w:type="dxa" w:w="3456"/>
            <w:shd w:fill="F2F2F2" w:val="clear"/>
          </w:tcPr>
          <w:p>
            <w:pPr>
              <w:jc w:val="left"/>
            </w:pPr>
            <w:r/>
            <w:r>
              <w:rPr>
                <w:rFonts w:ascii="Calibri" w:hAnsi="Calibri"/>
                <w:b w:val="0"/>
                <w:color w:val="000000"/>
                <w:sz w:val="16"/>
              </w:rPr>
              <w:t>25% (Table 9 to §__.209)</w:t>
            </w:r>
          </w:p>
        </w:tc>
        <w:tc>
          <w:tcPr>
            <w:tcW w:type="dxa" w:w="3456"/>
            <w:shd w:fill="F2F2F2" w:val="clear"/>
          </w:tcPr>
          <w:p>
            <w:pPr>
              <w:jc w:val="left"/>
            </w:pPr>
            <w:r/>
            <w:r>
              <w:rPr>
                <w:rFonts w:ascii="Calibri" w:hAnsi="Calibri"/>
                <w:b w:val="0"/>
                <w:color w:val="000000"/>
                <w:sz w:val="16"/>
              </w:rPr>
              <w:t>25% (PS1/26 Ch.16 Table 16.9)</w:t>
            </w:r>
          </w:p>
        </w:tc>
        <w:tc>
          <w:tcPr>
            <w:tcW w:type="dxa" w:w="3456"/>
            <w:shd w:fill="F2F2F2" w:val="clear"/>
          </w:tcPr>
          <w:p>
            <w:pPr>
              <w:jc w:val="left"/>
            </w:pPr>
            <w:r/>
            <w:r>
              <w:rPr>
                <w:rFonts w:ascii="Calibri" w:hAnsi="Calibri"/>
                <w:b w:val="0"/>
                <w:color w:val="000000"/>
                <w:sz w:val="16"/>
              </w:rPr>
              <w:t>25% (CRR3 Art 325as Table 13)</w:t>
            </w:r>
          </w:p>
        </w:tc>
      </w:tr>
      <w:tr>
        <w:tc>
          <w:tcPr>
            <w:tcW w:type="dxa" w:w="3456"/>
            <w:shd w:fill="FFFFFF" w:val="clear"/>
          </w:tcPr>
          <w:p>
            <w:pPr>
              <w:jc w:val="left"/>
            </w:pPr>
            <w:r/>
            <w:r>
              <w:rPr>
                <w:rFonts w:ascii="Calibri" w:hAnsi="Calibri"/>
                <w:b/>
                <w:color w:val="000000"/>
                <w:sz w:val="16"/>
              </w:rPr>
              <w:t>Commodity 10: Softs &amp; Other Agriculturals</w:t>
            </w:r>
          </w:p>
        </w:tc>
        <w:tc>
          <w:tcPr>
            <w:tcW w:type="dxa" w:w="3456"/>
            <w:shd w:fill="FFFFFF" w:val="clear"/>
          </w:tcPr>
          <w:p>
            <w:pPr>
              <w:jc w:val="left"/>
            </w:pPr>
            <w:r/>
            <w:r>
              <w:rPr>
                <w:rFonts w:ascii="Calibri" w:hAnsi="Calibri"/>
                <w:b w:val="0"/>
                <w:color w:val="000000"/>
                <w:sz w:val="16"/>
              </w:rPr>
              <w:t>35% (Table 9 to §__.209)</w:t>
            </w:r>
          </w:p>
        </w:tc>
        <w:tc>
          <w:tcPr>
            <w:tcW w:type="dxa" w:w="3456"/>
            <w:shd w:fill="FFFFFF" w:val="clear"/>
          </w:tcPr>
          <w:p>
            <w:pPr>
              <w:jc w:val="left"/>
            </w:pPr>
            <w:r/>
            <w:r>
              <w:rPr>
                <w:rFonts w:ascii="Calibri" w:hAnsi="Calibri"/>
                <w:b w:val="0"/>
                <w:color w:val="000000"/>
                <w:sz w:val="16"/>
              </w:rPr>
              <w:t>35% (PS1/26 Ch.16 Table 16.9)</w:t>
            </w:r>
          </w:p>
        </w:tc>
        <w:tc>
          <w:tcPr>
            <w:tcW w:type="dxa" w:w="3456"/>
            <w:shd w:fill="FFFFFF" w:val="clear"/>
          </w:tcPr>
          <w:p>
            <w:pPr>
              <w:jc w:val="left"/>
            </w:pPr>
            <w:r/>
            <w:r>
              <w:rPr>
                <w:rFonts w:ascii="Calibri" w:hAnsi="Calibri"/>
                <w:b w:val="0"/>
                <w:color w:val="000000"/>
                <w:sz w:val="16"/>
              </w:rPr>
              <w:t>35% (CRR3 Art 325as Table 13)</w:t>
            </w:r>
          </w:p>
        </w:tc>
      </w:tr>
      <w:tr>
        <w:tc>
          <w:tcPr>
            <w:tcW w:type="dxa" w:w="3456"/>
            <w:shd w:fill="F2F2F2" w:val="clear"/>
          </w:tcPr>
          <w:p>
            <w:pPr>
              <w:jc w:val="left"/>
            </w:pPr>
            <w:r/>
            <w:r>
              <w:rPr>
                <w:rFonts w:ascii="Calibri" w:hAnsi="Calibri"/>
                <w:b/>
                <w:color w:val="000000"/>
                <w:sz w:val="16"/>
              </w:rPr>
              <w:t>Commodity 11: Other Commodity</w:t>
            </w:r>
          </w:p>
        </w:tc>
        <w:tc>
          <w:tcPr>
            <w:tcW w:type="dxa" w:w="3456"/>
            <w:shd w:fill="F2F2F2" w:val="clear"/>
          </w:tcPr>
          <w:p>
            <w:pPr>
              <w:jc w:val="left"/>
            </w:pPr>
            <w:r/>
            <w:r>
              <w:rPr>
                <w:rFonts w:ascii="Calibri" w:hAnsi="Calibri"/>
                <w:b w:val="0"/>
                <w:color w:val="000000"/>
                <w:sz w:val="16"/>
              </w:rPr>
              <w:t>50% (Table 9 to §__.209)</w:t>
            </w:r>
          </w:p>
        </w:tc>
        <w:tc>
          <w:tcPr>
            <w:tcW w:type="dxa" w:w="3456"/>
            <w:shd w:fill="F2F2F2" w:val="clear"/>
          </w:tcPr>
          <w:p>
            <w:pPr>
              <w:jc w:val="left"/>
            </w:pPr>
            <w:r/>
            <w:r>
              <w:rPr>
                <w:rFonts w:ascii="Calibri" w:hAnsi="Calibri"/>
                <w:b w:val="0"/>
                <w:color w:val="000000"/>
                <w:sz w:val="16"/>
              </w:rPr>
              <w:t>50% (PS1/26 Ch.16 Table 16.9)</w:t>
            </w:r>
          </w:p>
        </w:tc>
        <w:tc>
          <w:tcPr>
            <w:tcW w:type="dxa" w:w="3456"/>
            <w:shd w:fill="F2F2F2" w:val="clear"/>
          </w:tcPr>
          <w:p>
            <w:pPr>
              <w:jc w:val="left"/>
            </w:pPr>
            <w:r/>
            <w:r>
              <w:rPr>
                <w:rFonts w:ascii="Calibri" w:hAnsi="Calibri"/>
                <w:b w:val="0"/>
                <w:color w:val="000000"/>
                <w:sz w:val="16"/>
              </w:rPr>
              <w:t>50% (CRR3 Art 325as Table 13)</w:t>
            </w:r>
          </w:p>
        </w:tc>
      </w:tr>
      <w:tr>
        <w:tc>
          <w:tcPr>
            <w:tcW w:type="dxa" w:w="3456"/>
            <w:shd w:fill="FFFFFF" w:val="clear"/>
          </w:tcPr>
          <w:p>
            <w:pPr>
              <w:jc w:val="left"/>
            </w:pPr>
            <w:r/>
            <w:r>
              <w:rPr>
                <w:rFonts w:ascii="Calibri" w:hAnsi="Calibri"/>
                <w:b/>
                <w:color w:val="000000"/>
                <w:sz w:val="16"/>
              </w:rPr>
              <w:t>Commodity 12: Commodity Indices</w:t>
            </w:r>
          </w:p>
        </w:tc>
        <w:tc>
          <w:tcPr>
            <w:tcW w:type="dxa" w:w="3456"/>
            <w:shd w:fill="FFFFFF" w:val="clear"/>
          </w:tcPr>
          <w:p>
            <w:pPr>
              <w:jc w:val="left"/>
            </w:pPr>
            <w:r/>
            <w:r>
              <w:rPr>
                <w:rFonts w:ascii="Calibri" w:hAnsi="Calibri"/>
                <w:b w:val="0"/>
                <w:color w:val="000000"/>
                <w:sz w:val="16"/>
              </w:rPr>
              <w:t>30% (Table 9 to §__.209)</w:t>
            </w:r>
          </w:p>
        </w:tc>
        <w:tc>
          <w:tcPr>
            <w:tcW w:type="dxa" w:w="3456"/>
            <w:shd w:fill="FFFFFF" w:val="clear"/>
          </w:tcPr>
          <w:p>
            <w:pPr>
              <w:jc w:val="left"/>
            </w:pPr>
            <w:r/>
            <w:r>
              <w:rPr>
                <w:rFonts w:ascii="Calibri" w:hAnsi="Calibri"/>
                <w:b w:val="0"/>
                <w:color w:val="000000"/>
                <w:sz w:val="16"/>
              </w:rPr>
              <w:t>30% (PS1/26 Ch.16 Table 16.9)</w:t>
            </w:r>
          </w:p>
        </w:tc>
        <w:tc>
          <w:tcPr>
            <w:tcW w:type="dxa" w:w="3456"/>
            <w:shd w:fill="FFFFFF" w:val="clear"/>
          </w:tcPr>
          <w:p>
            <w:pPr>
              <w:jc w:val="left"/>
            </w:pPr>
            <w:r/>
            <w:r>
              <w:rPr>
                <w:rFonts w:ascii="Calibri" w:hAnsi="Calibri"/>
                <w:b w:val="0"/>
                <w:color w:val="000000"/>
                <w:sz w:val="16"/>
              </w:rPr>
              <w:t>30% (CRR3 Art 325as Table 13)</w:t>
            </w:r>
          </w:p>
        </w:tc>
      </w:tr>
    </w:tbl>
    <w:p>
      <w:r>
        <w:rPr>
          <w:rFonts w:ascii="Calibri" w:hAnsi="Calibri"/>
          <w:b/>
          <w:color w:val="002060"/>
          <w:sz w:val="22"/>
        </w:rPr>
        <w:t>11.6 FX Risk Weights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FX Delta RW</w:t>
            </w:r>
          </w:p>
        </w:tc>
        <w:tc>
          <w:tcPr>
            <w:tcW w:type="dxa" w:w="3456"/>
            <w:shd w:fill="F2F2F2" w:val="clear"/>
          </w:tcPr>
          <w:p>
            <w:pPr>
              <w:jc w:val="left"/>
            </w:pPr>
            <w:r/>
            <w:r>
              <w:rPr>
                <w:rFonts w:ascii="Calibri" w:hAnsi="Calibri"/>
                <w:b w:val="0"/>
                <w:color w:val="000000"/>
                <w:sz w:val="16"/>
              </w:rPr>
              <w:t>15% for all currency pairs (ERBA NPR §__.209)</w:t>
            </w:r>
          </w:p>
        </w:tc>
        <w:tc>
          <w:tcPr>
            <w:tcW w:type="dxa" w:w="3456"/>
            <w:shd w:fill="F2F2F2" w:val="clear"/>
          </w:tcPr>
          <w:p>
            <w:pPr>
              <w:jc w:val="left"/>
            </w:pPr>
            <w:r/>
            <w:r>
              <w:rPr>
                <w:rFonts w:ascii="Calibri" w:hAnsi="Calibri"/>
                <w:b w:val="0"/>
                <w:color w:val="000000"/>
                <w:sz w:val="16"/>
              </w:rPr>
              <w:t>15% (PS1/26 Ch.16 Table 16.11)</w:t>
            </w:r>
          </w:p>
        </w:tc>
        <w:tc>
          <w:tcPr>
            <w:tcW w:type="dxa" w:w="3456"/>
            <w:shd w:fill="F2F2F2" w:val="clear"/>
          </w:tcPr>
          <w:p>
            <w:pPr>
              <w:jc w:val="left"/>
            </w:pPr>
            <w:r/>
            <w:r>
              <w:rPr>
                <w:rFonts w:ascii="Calibri" w:hAnsi="Calibri"/>
                <w:b w:val="0"/>
                <w:color w:val="000000"/>
                <w:sz w:val="16"/>
              </w:rPr>
              <w:t>15% (CRR3 Art 325at(2))</w:t>
            </w:r>
          </w:p>
        </w:tc>
      </w:tr>
      <w:tr>
        <w:tc>
          <w:tcPr>
            <w:tcW w:type="dxa" w:w="3456"/>
            <w:shd w:fill="FFFFFF" w:val="clear"/>
          </w:tcPr>
          <w:p>
            <w:pPr>
              <w:jc w:val="left"/>
            </w:pPr>
            <w:r/>
            <w:r>
              <w:rPr>
                <w:rFonts w:ascii="Calibri" w:hAnsi="Calibri"/>
                <w:b/>
                <w:color w:val="000000"/>
                <w:sz w:val="16"/>
              </w:rPr>
              <w:t>Specified FX Pairs</w:t>
            </w:r>
          </w:p>
        </w:tc>
        <w:tc>
          <w:tcPr>
            <w:tcW w:type="dxa" w:w="3456"/>
            <w:shd w:fill="FFFFFF" w:val="clear"/>
          </w:tcPr>
          <w:p>
            <w:pPr>
              <w:jc w:val="left"/>
            </w:pPr>
            <w:r/>
            <w:r>
              <w:rPr>
                <w:rFonts w:ascii="Calibri" w:hAnsi="Calibri"/>
                <w:b w:val="0"/>
                <w:color w:val="000000"/>
                <w:sz w:val="16"/>
              </w:rPr>
              <w:t>RW divided by sqrt(2) (= 10.6%) for any pair formed from USD, EUR, JPY, GBP, AUD, CAD, CHF, MXN, CNY, NZD, HKD, SGD, TRY, KRW, SEK, ZAR, INR, NOK, BRL and agency-specified currencies (ERBA NPR §__.209; P.329 fn 376)</w:t>
            </w:r>
          </w:p>
        </w:tc>
        <w:tc>
          <w:tcPr>
            <w:tcW w:type="dxa" w:w="3456"/>
            <w:shd w:fill="FFFFFF" w:val="clear"/>
          </w:tcPr>
          <w:p>
            <w:pPr>
              <w:jc w:val="left"/>
            </w:pPr>
            <w:r/>
            <w:r>
              <w:rPr>
                <w:rFonts w:ascii="Calibri" w:hAnsi="Calibri"/>
                <w:b w:val="0"/>
                <w:color w:val="000000"/>
                <w:sz w:val="16"/>
              </w:rPr>
              <w:t>Same specified pairs (PS1/26 Ch.16)</w:t>
            </w:r>
          </w:p>
        </w:tc>
        <w:tc>
          <w:tcPr>
            <w:tcW w:type="dxa" w:w="3456"/>
            <w:shd w:fill="FFFFFF" w:val="clear"/>
          </w:tcPr>
          <w:p>
            <w:pPr>
              <w:jc w:val="left"/>
            </w:pPr>
            <w:r/>
            <w:r>
              <w:rPr>
                <w:rFonts w:ascii="Calibri" w:hAnsi="Calibri"/>
                <w:b w:val="0"/>
                <w:color w:val="000000"/>
                <w:sz w:val="16"/>
              </w:rPr>
              <w:t>Same specified pairs (CRR3 Art 325at(3))</w:t>
            </w:r>
          </w:p>
        </w:tc>
      </w:tr>
      <w:tr>
        <w:tc>
          <w:tcPr>
            <w:tcW w:type="dxa" w:w="3456"/>
            <w:shd w:fill="F2F2F2" w:val="clear"/>
          </w:tcPr>
          <w:p>
            <w:pPr>
              <w:jc w:val="left"/>
            </w:pPr>
            <w:r/>
            <w:r>
              <w:rPr>
                <w:rFonts w:ascii="Calibri" w:hAnsi="Calibri"/>
                <w:b/>
                <w:color w:val="000000"/>
                <w:sz w:val="16"/>
              </w:rPr>
              <w:t>FX Triangulation</w:t>
            </w:r>
          </w:p>
        </w:tc>
        <w:tc>
          <w:tcPr>
            <w:tcW w:type="dxa" w:w="3456"/>
            <w:shd w:fill="F2F2F2" w:val="clear"/>
          </w:tcPr>
          <w:p>
            <w:pPr>
              <w:jc w:val="left"/>
            </w:pPr>
            <w:r/>
            <w:r>
              <w:rPr>
                <w:rFonts w:ascii="Calibri" w:hAnsi="Calibri"/>
                <w:b w:val="0"/>
                <w:color w:val="000000"/>
                <w:sz w:val="16"/>
              </w:rPr>
              <w:t>Not separately addressed in the NPR: any pair of two specified currencies qualifies directly (ERBA NPR §__.209). Curvature CVR for options not referencing the reporting currency may be divided by 1.5</w:t>
            </w:r>
          </w:p>
        </w:tc>
        <w:tc>
          <w:tcPr>
            <w:tcW w:type="dxa" w:w="3456"/>
            <w:shd w:fill="F2F2F2" w:val="clear"/>
          </w:tcPr>
          <w:p>
            <w:pPr>
              <w:jc w:val="left"/>
            </w:pPr>
            <w:r/>
            <w:r>
              <w:rPr>
                <w:rFonts w:ascii="Calibri" w:hAnsi="Calibri"/>
                <w:b w:val="0"/>
                <w:color w:val="000000"/>
                <w:sz w:val="16"/>
              </w:rPr>
              <w:t>Same (PS1/26 Ch.16)</w:t>
            </w:r>
          </w:p>
        </w:tc>
        <w:tc>
          <w:tcPr>
            <w:tcW w:type="dxa" w:w="3456"/>
            <w:shd w:fill="F2F2F2" w:val="clear"/>
          </w:tcPr>
          <w:p>
            <w:pPr>
              <w:jc w:val="left"/>
            </w:pPr>
            <w:r/>
            <w:r>
              <w:rPr>
                <w:rFonts w:ascii="Calibri" w:hAnsi="Calibri"/>
                <w:b w:val="0"/>
                <w:color w:val="000000"/>
                <w:sz w:val="16"/>
              </w:rPr>
              <w:t>Same (CRR3 Art 325at(3))</w:t>
            </w:r>
          </w:p>
        </w:tc>
      </w:tr>
    </w:tbl>
    <w:p>
      <w:r>
        <w:rPr>
          <w:rFonts w:ascii="Calibri" w:hAnsi="Calibri"/>
          <w:b/>
          <w:color w:val="002060"/>
          <w:sz w:val="22"/>
        </w:rPr>
        <w:t>11.7 Correlation Scenarios &amp; Aggregation</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Three Correlation Scenarios</w:t>
            </w:r>
          </w:p>
        </w:tc>
        <w:tc>
          <w:tcPr>
            <w:tcW w:type="dxa" w:w="3456"/>
            <w:shd w:fill="F2F2F2" w:val="clear"/>
          </w:tcPr>
          <w:p>
            <w:pPr>
              <w:jc w:val="left"/>
            </w:pPr>
            <w:r/>
            <w:r>
              <w:rPr>
                <w:rFonts w:ascii="Calibri" w:hAnsi="Calibri"/>
                <w:b w:val="0"/>
                <w:color w:val="000000"/>
                <w:sz w:val="16"/>
              </w:rPr>
              <w:t>Medium = specified rho; High = rho x 1.25 capped at 100%; Low = max(2 x rho - 100%, 75% x rho). Capital = max of three (ERBA NPR §__.206)</w:t>
            </w:r>
          </w:p>
        </w:tc>
        <w:tc>
          <w:tcPr>
            <w:tcW w:type="dxa" w:w="3456"/>
            <w:shd w:fill="F2F2F2" w:val="clear"/>
          </w:tcPr>
          <w:p>
            <w:pPr>
              <w:jc w:val="left"/>
            </w:pPr>
            <w:r/>
            <w:r>
              <w:rPr>
                <w:rFonts w:ascii="Calibri" w:hAnsi="Calibri"/>
                <w:b w:val="0"/>
                <w:color w:val="000000"/>
                <w:sz w:val="16"/>
              </w:rPr>
              <w:t>Same three scenarios (PS1/26 Ch.16.8)</w:t>
            </w:r>
          </w:p>
        </w:tc>
        <w:tc>
          <w:tcPr>
            <w:tcW w:type="dxa" w:w="3456"/>
            <w:shd w:fill="F2F2F2" w:val="clear"/>
          </w:tcPr>
          <w:p>
            <w:pPr>
              <w:jc w:val="left"/>
            </w:pPr>
            <w:r/>
            <w:r>
              <w:rPr>
                <w:rFonts w:ascii="Calibri" w:hAnsi="Calibri"/>
                <w:b w:val="0"/>
                <w:color w:val="000000"/>
                <w:sz w:val="16"/>
              </w:rPr>
              <w:t>Same three scenarios (CRR3 Art 325g)</w:t>
            </w:r>
          </w:p>
        </w:tc>
      </w:tr>
      <w:tr>
        <w:tc>
          <w:tcPr>
            <w:tcW w:type="dxa" w:w="3456"/>
            <w:shd w:fill="FFFFFF" w:val="clear"/>
          </w:tcPr>
          <w:p>
            <w:pPr>
              <w:jc w:val="left"/>
            </w:pPr>
            <w:r/>
            <w:r>
              <w:rPr>
                <w:rFonts w:ascii="Calibri" w:hAnsi="Calibri"/>
                <w:b/>
                <w:color w:val="000000"/>
                <w:sz w:val="16"/>
              </w:rPr>
              <w:t>SBM Aggregation</w:t>
            </w:r>
          </w:p>
        </w:tc>
        <w:tc>
          <w:tcPr>
            <w:tcW w:type="dxa" w:w="3456"/>
            <w:shd w:fill="FFFFFF" w:val="clear"/>
          </w:tcPr>
          <w:p>
            <w:pPr>
              <w:jc w:val="left"/>
            </w:pPr>
            <w:r/>
            <w:r>
              <w:rPr>
                <w:rFonts w:ascii="Calibri" w:hAnsi="Calibri"/>
                <w:b w:val="0"/>
                <w:color w:val="000000"/>
                <w:sz w:val="16"/>
              </w:rPr>
              <w:t>SBM = max over the three scenarios of the sum across the 7 risk classes of (delta + vega + curvature); K_b = sqrt(max(sum WS^2 + sum rho WS WS, 0)); across buckets sqrt(sum K_b^2 + sum gamma S_b S_c) with S_b = max(min(sum WS, K_b), -K_b) fallback (ERBA NPR §__.206)</w:t>
            </w:r>
          </w:p>
        </w:tc>
        <w:tc>
          <w:tcPr>
            <w:tcW w:type="dxa" w:w="3456"/>
            <w:shd w:fill="FFFFFF" w:val="clear"/>
          </w:tcPr>
          <w:p>
            <w:pPr>
              <w:jc w:val="left"/>
            </w:pPr>
            <w:r/>
            <w:r>
              <w:rPr>
                <w:rFonts w:ascii="Calibri" w:hAnsi="Calibri"/>
                <w:b w:val="0"/>
                <w:color w:val="000000"/>
                <w:sz w:val="16"/>
              </w:rPr>
              <w:t>Same (PS1/26 Ch.16.8)</w:t>
            </w:r>
          </w:p>
        </w:tc>
        <w:tc>
          <w:tcPr>
            <w:tcW w:type="dxa" w:w="3456"/>
            <w:shd w:fill="FFFFFF" w:val="clear"/>
          </w:tcPr>
          <w:p>
            <w:pPr>
              <w:jc w:val="left"/>
            </w:pPr>
            <w:r/>
            <w:r>
              <w:rPr>
                <w:rFonts w:ascii="Calibri" w:hAnsi="Calibri"/>
                <w:b w:val="0"/>
                <w:color w:val="000000"/>
                <w:sz w:val="16"/>
              </w:rPr>
              <w:t>Same (CRR3 Art 325h)</w:t>
            </w:r>
          </w:p>
        </w:tc>
      </w:tr>
    </w:tbl>
    <w:p>
      <w:r>
        <w:rPr>
          <w:rFonts w:ascii="Calibri" w:hAnsi="Calibri"/>
          <w:b/>
          <w:color w:val="002060"/>
          <w:sz w:val="22"/>
        </w:rPr>
        <w:t>11.8 DRC Parameters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DRC Non-Sec RWs</w:t>
            </w:r>
          </w:p>
        </w:tc>
        <w:tc>
          <w:tcPr>
            <w:tcW w:type="dxa" w:w="3456"/>
            <w:shd w:fill="F2F2F2" w:val="clear"/>
          </w:tcPr>
          <w:p>
            <w:pPr>
              <w:jc w:val="left"/>
            </w:pPr>
            <w:r/>
            <w:r>
              <w:rPr>
                <w:rFonts w:ascii="Calibri" w:hAnsi="Calibri"/>
                <w:b w:val="0"/>
                <w:color w:val="000000"/>
                <w:sz w:val="16"/>
              </w:rPr>
              <w:t>By credit quality category, not external rating (Dodd-Frank 939A): IG 0.6% non-US sovereign / 2.1% PSE &amp; GSE / 4.1% corporate; speculative 22.0%; sub-speculative 50.0%; defaulted 100% (Table 1 to §__.210). Four buckets: non-US sovereign, PSE &amp; GSE, corporate, defaulted; US sovereign/MDB excluded</w:t>
            </w:r>
          </w:p>
        </w:tc>
        <w:tc>
          <w:tcPr>
            <w:tcW w:type="dxa" w:w="3456"/>
            <w:shd w:fill="F2F2F2" w:val="clear"/>
          </w:tcPr>
          <w:p>
            <w:pPr>
              <w:jc w:val="left"/>
            </w:pPr>
            <w:r/>
            <w:r>
              <w:rPr>
                <w:rFonts w:ascii="Calibri" w:hAnsi="Calibri"/>
                <w:b w:val="0"/>
                <w:color w:val="000000"/>
                <w:sz w:val="16"/>
              </w:rPr>
              <w:t>Rating-based RWs (PS1/26 Ch.16.9)</w:t>
            </w:r>
          </w:p>
        </w:tc>
        <w:tc>
          <w:tcPr>
            <w:tcW w:type="dxa" w:w="3456"/>
            <w:shd w:fill="F2F2F2" w:val="clear"/>
          </w:tcPr>
          <w:p>
            <w:pPr>
              <w:jc w:val="left"/>
            </w:pPr>
            <w:r/>
            <w:r>
              <w:rPr>
                <w:rFonts w:ascii="Calibri" w:hAnsi="Calibri"/>
                <w:b w:val="0"/>
                <w:color w:val="000000"/>
                <w:sz w:val="16"/>
              </w:rPr>
              <w:t>Rating-based RWs (CRR3 Art 325bp Table 2)</w:t>
            </w:r>
          </w:p>
        </w:tc>
      </w:tr>
      <w:tr>
        <w:tc>
          <w:tcPr>
            <w:tcW w:type="dxa" w:w="3456"/>
            <w:shd w:fill="FFFFFF" w:val="clear"/>
          </w:tcPr>
          <w:p>
            <w:pPr>
              <w:jc w:val="left"/>
            </w:pPr>
            <w:r/>
            <w:r>
              <w:rPr>
                <w:rFonts w:ascii="Calibri" w:hAnsi="Calibri"/>
                <w:b/>
                <w:color w:val="000000"/>
                <w:sz w:val="16"/>
              </w:rPr>
              <w:t>DRC Sec Non-CTP</w:t>
            </w:r>
          </w:p>
        </w:tc>
        <w:tc>
          <w:tcPr>
            <w:tcW w:type="dxa" w:w="3456"/>
            <w:shd w:fill="FFFFFF" w:val="clear"/>
          </w:tcPr>
          <w:p>
            <w:pPr>
              <w:jc w:val="left"/>
            </w:pPr>
            <w:r/>
            <w:r>
              <w:rPr>
                <w:rFonts w:ascii="Calibri" w:hAnsi="Calibri"/>
                <w:b w:val="0"/>
                <w:color w:val="000000"/>
                <w:sz w:val="16"/>
              </w:rPr>
              <w:t>Gross DE = market value; offsetting only within same pool and same tranche; buckets = corporate + asset class x region; RW = SEC-SA (§__.132) RW x 8%; cap at fair value for cash positions; same HBR formula (ERBA NPR §__.210)</w:t>
            </w:r>
          </w:p>
        </w:tc>
        <w:tc>
          <w:tcPr>
            <w:tcW w:type="dxa" w:w="3456"/>
            <w:shd w:fill="FFFFFF" w:val="clear"/>
          </w:tcPr>
          <w:p>
            <w:pPr>
              <w:jc w:val="left"/>
            </w:pPr>
            <w:r/>
            <w:r>
              <w:rPr>
                <w:rFonts w:ascii="Calibri" w:hAnsi="Calibri"/>
                <w:b w:val="0"/>
                <w:color w:val="000000"/>
                <w:sz w:val="16"/>
              </w:rPr>
              <w:t>Same (PS1/26 Ch.16.9)</w:t>
            </w:r>
          </w:p>
        </w:tc>
        <w:tc>
          <w:tcPr>
            <w:tcW w:type="dxa" w:w="3456"/>
            <w:shd w:fill="FFFFFF" w:val="clear"/>
          </w:tcPr>
          <w:p>
            <w:pPr>
              <w:jc w:val="left"/>
            </w:pPr>
            <w:r/>
            <w:r>
              <w:rPr>
                <w:rFonts w:ascii="Calibri" w:hAnsi="Calibri"/>
                <w:b w:val="0"/>
                <w:color w:val="000000"/>
                <w:sz w:val="16"/>
              </w:rPr>
              <w:t>Same (CRR3 Art 325bp(3))</w:t>
            </w:r>
          </w:p>
        </w:tc>
      </w:tr>
      <w:tr>
        <w:tc>
          <w:tcPr>
            <w:tcW w:type="dxa" w:w="3456"/>
            <w:shd w:fill="F2F2F2" w:val="clear"/>
          </w:tcPr>
          <w:p>
            <w:pPr>
              <w:jc w:val="left"/>
            </w:pPr>
            <w:r/>
            <w:r>
              <w:rPr>
                <w:rFonts w:ascii="Calibri" w:hAnsi="Calibri"/>
                <w:b/>
                <w:color w:val="000000"/>
                <w:sz w:val="16"/>
              </w:rPr>
              <w:t>DRC Sec CTP</w:t>
            </w:r>
          </w:p>
        </w:tc>
        <w:tc>
          <w:tcPr>
            <w:tcW w:type="dxa" w:w="3456"/>
            <w:shd w:fill="F2F2F2" w:val="clear"/>
          </w:tcPr>
          <w:p>
            <w:pPr>
              <w:jc w:val="left"/>
            </w:pPr>
            <w:r/>
            <w:r>
              <w:rPr>
                <w:rFonts w:ascii="Calibri" w:hAnsi="Calibri"/>
                <w:b w:val="0"/>
                <w:color w:val="000000"/>
                <w:sz w:val="16"/>
              </w:rPr>
              <w:t>Each index its own bucket; HBR computed across all CTP buckets; tranche RW = SEC RW x 8%; DRC_CTP = max(sum_b[max(DRC_b, 0) + 0.5 x min(DRC_b, 0)], 0) (ERBA NPR §__.210)</w:t>
            </w:r>
          </w:p>
        </w:tc>
        <w:tc>
          <w:tcPr>
            <w:tcW w:type="dxa" w:w="3456"/>
            <w:shd w:fill="F2F2F2" w:val="clear"/>
          </w:tcPr>
          <w:p>
            <w:pPr>
              <w:jc w:val="left"/>
            </w:pPr>
            <w:r/>
            <w:r>
              <w:rPr>
                <w:rFonts w:ascii="Calibri" w:hAnsi="Calibri"/>
                <w:b w:val="0"/>
                <w:color w:val="000000"/>
                <w:sz w:val="16"/>
              </w:rPr>
              <w:t>Same (PS1/26 Ch.16.9)</w:t>
            </w:r>
          </w:p>
        </w:tc>
        <w:tc>
          <w:tcPr>
            <w:tcW w:type="dxa" w:w="3456"/>
            <w:shd w:fill="F2F2F2" w:val="clear"/>
          </w:tcPr>
          <w:p>
            <w:pPr>
              <w:jc w:val="left"/>
            </w:pPr>
            <w:r/>
            <w:r>
              <w:rPr>
                <w:rFonts w:ascii="Calibri" w:hAnsi="Calibri"/>
                <w:b w:val="0"/>
                <w:color w:val="000000"/>
                <w:sz w:val="16"/>
              </w:rPr>
              <w:t>Same (CRR3 Art 325bp(4))</w:t>
            </w:r>
          </w:p>
        </w:tc>
      </w:tr>
      <w:tr>
        <w:tc>
          <w:tcPr>
            <w:tcW w:type="dxa" w:w="3456"/>
            <w:shd w:fill="FFFFFF" w:val="clear"/>
          </w:tcPr>
          <w:p>
            <w:pPr>
              <w:jc w:val="left"/>
            </w:pPr>
            <w:r/>
            <w:r>
              <w:rPr>
                <w:rFonts w:ascii="Calibri" w:hAnsi="Calibri"/>
                <w:b/>
                <w:color w:val="000000"/>
                <w:sz w:val="16"/>
              </w:rPr>
              <w:t>DRC LGD Non-Sec</w:t>
            </w:r>
          </w:p>
        </w:tc>
        <w:tc>
          <w:tcPr>
            <w:tcW w:type="dxa" w:w="3456"/>
            <w:shd w:fill="FFFFFF" w:val="clear"/>
          </w:tcPr>
          <w:p>
            <w:pPr>
              <w:jc w:val="left"/>
            </w:pPr>
            <w:r/>
            <w:r>
              <w:rPr>
                <w:rFonts w:ascii="Calibri" w:hAnsi="Calibri"/>
                <w:b w:val="0"/>
                <w:color w:val="000000"/>
                <w:sz w:val="16"/>
              </w:rPr>
              <w:t>Equity, non-senior debt and defaulted positions 100%; senior debt 75%; US PSE positions 50%; covered bonds and GSE-guaranteed debt 25%; GSE-issued non-guaranteed debt 75% (ERBA NPR §__.210)</w:t>
            </w:r>
          </w:p>
        </w:tc>
        <w:tc>
          <w:tcPr>
            <w:tcW w:type="dxa" w:w="3456"/>
            <w:shd w:fill="FFFFFF" w:val="clear"/>
          </w:tcPr>
          <w:p>
            <w:pPr>
              <w:jc w:val="left"/>
            </w:pPr>
            <w:r/>
            <w:r>
              <w:rPr>
                <w:rFonts w:ascii="Calibri" w:hAnsi="Calibri"/>
                <w:b w:val="0"/>
                <w:color w:val="000000"/>
                <w:sz w:val="16"/>
              </w:rPr>
              <w:t>100% / 75% / 25% (PS1/26 Ch.16.9)</w:t>
            </w:r>
          </w:p>
        </w:tc>
        <w:tc>
          <w:tcPr>
            <w:tcW w:type="dxa" w:w="3456"/>
            <w:shd w:fill="FFFFFF" w:val="clear"/>
          </w:tcPr>
          <w:p>
            <w:pPr>
              <w:jc w:val="left"/>
            </w:pPr>
            <w:r/>
            <w:r>
              <w:rPr>
                <w:rFonts w:ascii="Calibri" w:hAnsi="Calibri"/>
                <w:b w:val="0"/>
                <w:color w:val="000000"/>
                <w:sz w:val="16"/>
              </w:rPr>
              <w:t>100% / 75% / 25% (CRR3 Art 325bp(1))</w:t>
            </w:r>
          </w:p>
        </w:tc>
      </w:tr>
      <w:tr>
        <w:tc>
          <w:tcPr>
            <w:tcW w:type="dxa" w:w="3456"/>
            <w:shd w:fill="F2F2F2" w:val="clear"/>
          </w:tcPr>
          <w:p>
            <w:pPr>
              <w:jc w:val="left"/>
            </w:pPr>
            <w:r/>
            <w:r>
              <w:rPr>
                <w:rFonts w:ascii="Calibri" w:hAnsi="Calibri"/>
                <w:b/>
                <w:color w:val="000000"/>
                <w:sz w:val="16"/>
              </w:rPr>
              <w:t>DRC HBR / Maturity</w:t>
            </w:r>
          </w:p>
        </w:tc>
        <w:tc>
          <w:tcPr>
            <w:tcW w:type="dxa" w:w="3456"/>
            <w:shd w:fill="F2F2F2" w:val="clear"/>
          </w:tcPr>
          <w:p>
            <w:pPr>
              <w:jc w:val="left"/>
            </w:pPr>
            <w:r/>
            <w:r>
              <w:rPr>
                <w:rFonts w:ascii="Calibri" w:hAnsi="Calibri"/>
                <w:b w:val="0"/>
                <w:color w:val="000000"/>
                <w:sz w:val="16"/>
              </w:rPr>
              <w:t>HBR = sum net long / (sum net long + sum |net short|); positions &lt; 1Y scaled by fraction of year with 3-month floor; unhedged cash equity may use 3 months or 1 year (ERBA NPR §__.210)</w:t>
            </w:r>
          </w:p>
        </w:tc>
        <w:tc>
          <w:tcPr>
            <w:tcW w:type="dxa" w:w="3456"/>
            <w:shd w:fill="F2F2F2" w:val="clear"/>
          </w:tcPr>
          <w:p>
            <w:pPr>
              <w:jc w:val="left"/>
            </w:pPr>
            <w:r/>
            <w:r>
              <w:rPr>
                <w:rFonts w:ascii="Calibri" w:hAnsi="Calibri"/>
                <w:b w:val="0"/>
                <w:color w:val="000000"/>
                <w:sz w:val="16"/>
              </w:rPr>
              <w:t>Same (PS1/26 Ch.16.9)</w:t>
            </w:r>
          </w:p>
        </w:tc>
        <w:tc>
          <w:tcPr>
            <w:tcW w:type="dxa" w:w="3456"/>
            <w:shd w:fill="F2F2F2" w:val="clear"/>
          </w:tcPr>
          <w:p>
            <w:pPr>
              <w:jc w:val="left"/>
            </w:pPr>
            <w:r/>
            <w:r>
              <w:rPr>
                <w:rFonts w:ascii="Calibri" w:hAnsi="Calibri"/>
                <w:b w:val="0"/>
                <w:color w:val="000000"/>
                <w:sz w:val="16"/>
              </w:rPr>
              <w:t>Same (CRR3 Art 325bp)</w:t>
            </w:r>
          </w:p>
        </w:tc>
      </w:tr>
    </w:tbl>
    <w:p>
      <w:r>
        <w:rPr>
          <w:rFonts w:ascii="Calibri" w:hAnsi="Calibri"/>
          <w:b/>
          <w:color w:val="002060"/>
          <w:sz w:val="22"/>
        </w:rPr>
        <w:t>11.9 RRAO &amp; IMA Parameters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RRAO Exotic</w:t>
            </w:r>
          </w:p>
        </w:tc>
        <w:tc>
          <w:tcPr>
            <w:tcW w:type="dxa" w:w="3456"/>
            <w:shd w:fill="F2F2F2" w:val="clear"/>
          </w:tcPr>
          <w:p>
            <w:pPr>
              <w:jc w:val="left"/>
            </w:pPr>
            <w:r/>
            <w:r>
              <w:rPr>
                <w:rFonts w:ascii="Calibri" w:hAnsi="Calibri"/>
                <w:b w:val="0"/>
                <w:color w:val="000000"/>
                <w:sz w:val="16"/>
              </w:rPr>
              <w:t>1.0% of notional (ERBA NPR §__.211). Instruments with exotic underlying: longevity, weather, natural disasters, realized volatility</w:t>
            </w:r>
          </w:p>
        </w:tc>
        <w:tc>
          <w:tcPr>
            <w:tcW w:type="dxa" w:w="3456"/>
            <w:shd w:fill="F2F2F2" w:val="clear"/>
          </w:tcPr>
          <w:p>
            <w:pPr>
              <w:jc w:val="left"/>
            </w:pPr>
            <w:r/>
            <w:r>
              <w:rPr>
                <w:rFonts w:ascii="Calibri" w:hAnsi="Calibri"/>
                <w:b w:val="0"/>
                <w:color w:val="000000"/>
                <w:sz w:val="16"/>
              </w:rPr>
              <w:t>1.0% (PS1/26 Ch.16.10)</w:t>
            </w:r>
          </w:p>
        </w:tc>
        <w:tc>
          <w:tcPr>
            <w:tcW w:type="dxa" w:w="3456"/>
            <w:shd w:fill="F2F2F2" w:val="clear"/>
          </w:tcPr>
          <w:p>
            <w:pPr>
              <w:jc w:val="left"/>
            </w:pPr>
            <w:r/>
            <w:r>
              <w:rPr>
                <w:rFonts w:ascii="Calibri" w:hAnsi="Calibri"/>
                <w:b w:val="0"/>
                <w:color w:val="000000"/>
                <w:sz w:val="16"/>
              </w:rPr>
              <w:t>1.0% (CRR3 Art 325bp(1)(a))</w:t>
            </w:r>
          </w:p>
        </w:tc>
      </w:tr>
      <w:tr>
        <w:tc>
          <w:tcPr>
            <w:tcW w:type="dxa" w:w="3456"/>
            <w:shd w:fill="FFFFFF" w:val="clear"/>
          </w:tcPr>
          <w:p>
            <w:pPr>
              <w:jc w:val="left"/>
            </w:pPr>
            <w:r/>
            <w:r>
              <w:rPr>
                <w:rFonts w:ascii="Calibri" w:hAnsi="Calibri"/>
                <w:b/>
                <w:color w:val="000000"/>
                <w:sz w:val="16"/>
              </w:rPr>
              <w:t>RRAO Other Residual</w:t>
            </w:r>
          </w:p>
        </w:tc>
        <w:tc>
          <w:tcPr>
            <w:tcW w:type="dxa" w:w="3456"/>
            <w:shd w:fill="FFFFFF" w:val="clear"/>
          </w:tcPr>
          <w:p>
            <w:pPr>
              <w:jc w:val="left"/>
            </w:pPr>
            <w:r/>
            <w:r>
              <w:rPr>
                <w:rFonts w:ascii="Calibri" w:hAnsi="Calibri"/>
                <w:b w:val="0"/>
                <w:color w:val="000000"/>
                <w:sz w:val="16"/>
              </w:rPr>
              <w:t>0.1% of notional (ERBA NPR §__.211). CTP with &gt;= 3 underlyings, non-replicable curvature/vega payoffs, no maturity, no/multiple strikes or barriers</w:t>
            </w:r>
          </w:p>
        </w:tc>
        <w:tc>
          <w:tcPr>
            <w:tcW w:type="dxa" w:w="3456"/>
            <w:shd w:fill="FFFFFF" w:val="clear"/>
          </w:tcPr>
          <w:p>
            <w:pPr>
              <w:jc w:val="left"/>
            </w:pPr>
            <w:r/>
            <w:r>
              <w:rPr>
                <w:rFonts w:ascii="Calibri" w:hAnsi="Calibri"/>
                <w:b w:val="0"/>
                <w:color w:val="000000"/>
                <w:sz w:val="16"/>
              </w:rPr>
              <w:t>0.1% (PS1/26 Ch.16.10)</w:t>
            </w:r>
          </w:p>
        </w:tc>
        <w:tc>
          <w:tcPr>
            <w:tcW w:type="dxa" w:w="3456"/>
            <w:shd w:fill="FFFFFF" w:val="clear"/>
          </w:tcPr>
          <w:p>
            <w:pPr>
              <w:jc w:val="left"/>
            </w:pPr>
            <w:r/>
            <w:r>
              <w:rPr>
                <w:rFonts w:ascii="Calibri" w:hAnsi="Calibri"/>
                <w:b w:val="0"/>
                <w:color w:val="000000"/>
                <w:sz w:val="16"/>
              </w:rPr>
              <w:t>0.1% (CRR3 Art 325bp(1)(b))</w:t>
            </w:r>
          </w:p>
        </w:tc>
      </w:tr>
      <w:tr>
        <w:tc>
          <w:tcPr>
            <w:tcW w:type="dxa" w:w="3456"/>
            <w:shd w:fill="F2F2F2" w:val="clear"/>
          </w:tcPr>
          <w:p>
            <w:pPr>
              <w:jc w:val="left"/>
            </w:pPr>
            <w:r/>
            <w:r>
              <w:rPr>
                <w:rFonts w:ascii="Calibri" w:hAnsi="Calibri"/>
                <w:b/>
                <w:color w:val="000000"/>
                <w:sz w:val="16"/>
              </w:rPr>
              <w:t>RRAO Exemptions</w:t>
            </w:r>
          </w:p>
        </w:tc>
        <w:tc>
          <w:tcPr>
            <w:tcW w:type="dxa" w:w="3456"/>
            <w:shd w:fill="F2F2F2" w:val="clear"/>
          </w:tcPr>
          <w:p>
            <w:pPr>
              <w:jc w:val="left"/>
            </w:pPr>
            <w:r/>
            <w:r>
              <w:rPr>
                <w:rFonts w:ascii="Calibri" w:hAnsi="Calibri"/>
                <w:b w:val="0"/>
                <w:color w:val="000000"/>
                <w:sz w:val="16"/>
              </w:rPr>
              <w:t>Listed/cleared instruments, back-to-back positions, plain-vanilla options and other listed exclusions (ERBA NPR §__.211)</w:t>
            </w:r>
          </w:p>
        </w:tc>
        <w:tc>
          <w:tcPr>
            <w:tcW w:type="dxa" w:w="3456"/>
            <w:shd w:fill="F2F2F2" w:val="clear"/>
          </w:tcPr>
          <w:p>
            <w:pPr>
              <w:jc w:val="left"/>
            </w:pPr>
            <w:r/>
            <w:r>
              <w:rPr>
                <w:rFonts w:ascii="Calibri" w:hAnsi="Calibri"/>
                <w:b w:val="0"/>
                <w:color w:val="000000"/>
                <w:sz w:val="16"/>
              </w:rPr>
              <w:t>Same (PS1/26 Ch.16.10)</w:t>
            </w:r>
          </w:p>
        </w:tc>
        <w:tc>
          <w:tcPr>
            <w:tcW w:type="dxa" w:w="3456"/>
            <w:shd w:fill="F2F2F2" w:val="clear"/>
          </w:tcPr>
          <w:p>
            <w:pPr>
              <w:jc w:val="left"/>
            </w:pPr>
            <w:r/>
            <w:r>
              <w:rPr>
                <w:rFonts w:ascii="Calibri" w:hAnsi="Calibri"/>
                <w:b w:val="0"/>
                <w:color w:val="000000"/>
                <w:sz w:val="16"/>
              </w:rPr>
              <w:t>Same (CRR3 Art 325bp(2))</w:t>
            </w:r>
          </w:p>
        </w:tc>
      </w:tr>
      <w:tr>
        <w:tc>
          <w:tcPr>
            <w:tcW w:type="dxa" w:w="3456"/>
            <w:shd w:fill="FFFFFF" w:val="clear"/>
          </w:tcPr>
          <w:p>
            <w:pPr>
              <w:jc w:val="left"/>
            </w:pPr>
            <w:r/>
            <w:r>
              <w:rPr>
                <w:rFonts w:ascii="Calibri" w:hAnsi="Calibri"/>
                <w:b/>
                <w:color w:val="000000"/>
                <w:sz w:val="16"/>
              </w:rPr>
              <w:t>IMA ES</w:t>
            </w:r>
          </w:p>
        </w:tc>
        <w:tc>
          <w:tcPr>
            <w:tcW w:type="dxa" w:w="3456"/>
            <w:shd w:fill="FFFFFF" w:val="clear"/>
          </w:tcPr>
          <w:p>
            <w:pPr>
              <w:jc w:val="left"/>
            </w:pPr>
            <w:r/>
            <w:r>
              <w:rPr>
                <w:rFonts w:ascii="Calibri" w:hAnsi="Calibri"/>
                <w:b w:val="0"/>
                <w:color w:val="000000"/>
                <w:sz w:val="16"/>
              </w:rPr>
              <w:t>ES at 97.5%, base liquidity horizon 10 days with ladder 10/20/40/60/120 days; stress period 12 months back to 2007; reduced factor set must explain &gt;= 75%; IMA_G,A = max(IMCC_t-1 + SES_t-1, m_c x IMCC_avg60 + SES_avg60) + PLA add-on; IMA capped at SA (ERBA NPR §__.204, §__.215)</w:t>
            </w:r>
          </w:p>
        </w:tc>
        <w:tc>
          <w:tcPr>
            <w:tcW w:type="dxa" w:w="3456"/>
            <w:shd w:fill="FFFFFF" w:val="clear"/>
          </w:tcPr>
          <w:p>
            <w:pPr>
              <w:jc w:val="left"/>
            </w:pPr>
            <w:r/>
            <w:r>
              <w:rPr>
                <w:rFonts w:ascii="Calibri" w:hAnsi="Calibri"/>
                <w:b w:val="0"/>
                <w:color w:val="000000"/>
                <w:sz w:val="16"/>
              </w:rPr>
              <w:t>Same (PS1/26 Ch.16.11)</w:t>
            </w:r>
          </w:p>
        </w:tc>
        <w:tc>
          <w:tcPr>
            <w:tcW w:type="dxa" w:w="3456"/>
            <w:shd w:fill="FFFFFF" w:val="clear"/>
          </w:tcPr>
          <w:p>
            <w:pPr>
              <w:jc w:val="left"/>
            </w:pPr>
            <w:r/>
            <w:r>
              <w:rPr>
                <w:rFonts w:ascii="Calibri" w:hAnsi="Calibri"/>
                <w:b w:val="0"/>
                <w:color w:val="000000"/>
                <w:sz w:val="16"/>
              </w:rPr>
              <w:t>Same (CRR3 Art 325bb)</w:t>
            </w:r>
          </w:p>
        </w:tc>
      </w:tr>
      <w:tr>
        <w:tc>
          <w:tcPr>
            <w:tcW w:type="dxa" w:w="3456"/>
            <w:shd w:fill="F2F2F2" w:val="clear"/>
          </w:tcPr>
          <w:p>
            <w:pPr>
              <w:jc w:val="left"/>
            </w:pPr>
            <w:r/>
            <w:r>
              <w:rPr>
                <w:rFonts w:ascii="Calibri" w:hAnsi="Calibri"/>
                <w:b/>
                <w:color w:val="000000"/>
                <w:sz w:val="16"/>
              </w:rPr>
              <w:t>IMA NMRF</w:t>
            </w:r>
          </w:p>
        </w:tc>
        <w:tc>
          <w:tcPr>
            <w:tcW w:type="dxa" w:w="3456"/>
            <w:shd w:fill="F2F2F2" w:val="clear"/>
          </w:tcPr>
          <w:p>
            <w:pPr>
              <w:jc w:val="left"/>
            </w:pPr>
            <w:r/>
            <w:r>
              <w:rPr>
                <w:rFonts w:ascii="Calibri" w:hAnsi="Calibri"/>
                <w:b w:val="0"/>
                <w:color w:val="000000"/>
                <w:sz w:val="16"/>
              </w:rPr>
              <w:t>SES = sqrt(sum SES_NM,k^2 + [(1-rho_b) sum SES_NM,j^2 + rho_b (sum SES_NM,j)^2]), rho_b = 0.36; modellability: 24 real prices (10/20-day LH) or 16 otherwise; NMRF LH &gt;= max(assigned, 20 days); IMCC omega = 0.5 (ERBA NPR §__.214-215)</w:t>
            </w:r>
          </w:p>
        </w:tc>
        <w:tc>
          <w:tcPr>
            <w:tcW w:type="dxa" w:w="3456"/>
            <w:shd w:fill="F2F2F2" w:val="clear"/>
          </w:tcPr>
          <w:p>
            <w:pPr>
              <w:jc w:val="left"/>
            </w:pPr>
            <w:r/>
            <w:r>
              <w:rPr>
                <w:rFonts w:ascii="Calibri" w:hAnsi="Calibri"/>
                <w:b w:val="0"/>
                <w:color w:val="000000"/>
                <w:sz w:val="16"/>
              </w:rPr>
              <w:t>Same (PS1/26 Ch.16.11)</w:t>
            </w:r>
          </w:p>
        </w:tc>
        <w:tc>
          <w:tcPr>
            <w:tcW w:type="dxa" w:w="3456"/>
            <w:shd w:fill="F2F2F2" w:val="clear"/>
          </w:tcPr>
          <w:p>
            <w:pPr>
              <w:jc w:val="left"/>
            </w:pPr>
            <w:r/>
            <w:r>
              <w:rPr>
                <w:rFonts w:ascii="Calibri" w:hAnsi="Calibri"/>
                <w:b w:val="0"/>
                <w:color w:val="000000"/>
                <w:sz w:val="16"/>
              </w:rPr>
              <w:t>Same (CRR3 Art 325bk)</w:t>
            </w:r>
          </w:p>
        </w:tc>
      </w:tr>
      <w:tr>
        <w:tc>
          <w:tcPr>
            <w:tcW w:type="dxa" w:w="3456"/>
            <w:shd w:fill="FFFFFF" w:val="clear"/>
          </w:tcPr>
          <w:p>
            <w:pPr>
              <w:jc w:val="left"/>
            </w:pPr>
            <w:r/>
            <w:r>
              <w:rPr>
                <w:rFonts w:ascii="Calibri" w:hAnsi="Calibri"/>
                <w:b/>
                <w:color w:val="000000"/>
                <w:sz w:val="16"/>
              </w:rPr>
              <w:t>IMA Multiplier</w:t>
            </w:r>
          </w:p>
        </w:tc>
        <w:tc>
          <w:tcPr>
            <w:tcW w:type="dxa" w:w="3456"/>
            <w:shd w:fill="FFFFFF" w:val="clear"/>
          </w:tcPr>
          <w:p>
            <w:pPr>
              <w:jc w:val="left"/>
            </w:pPr>
            <w:r/>
            <w:r>
              <w:rPr>
                <w:rFonts w:ascii="Calibri" w:hAnsi="Calibri"/>
                <w:b w:val="0"/>
                <w:color w:val="000000"/>
                <w:sz w:val="16"/>
              </w:rPr>
              <w:t>m_c = 1.5 base; backtesting ladder (99% 1-day VaR, 250 days, max of actual/hypothetical exceptions): 0-4 exceptions 1.50; 5: 1.70; 6: 1.76; 7: 1.83; 8: 1.88; 9: 1.92; &gt;= 10: 2.00 (Table 1 to §__.204)</w:t>
            </w:r>
          </w:p>
        </w:tc>
        <w:tc>
          <w:tcPr>
            <w:tcW w:type="dxa" w:w="3456"/>
            <w:shd w:fill="FFFFFF" w:val="clear"/>
          </w:tcPr>
          <w:p>
            <w:pPr>
              <w:jc w:val="left"/>
            </w:pPr>
            <w:r/>
            <w:r>
              <w:rPr>
                <w:rFonts w:ascii="Calibri" w:hAnsi="Calibri"/>
                <w:b w:val="0"/>
                <w:color w:val="000000"/>
                <w:sz w:val="16"/>
              </w:rPr>
              <w:t>Same formula (PS1/26 Ch.16.11)</w:t>
            </w:r>
          </w:p>
        </w:tc>
        <w:tc>
          <w:tcPr>
            <w:tcW w:type="dxa" w:w="3456"/>
            <w:shd w:fill="FFFFFF" w:val="clear"/>
          </w:tcPr>
          <w:p>
            <w:pPr>
              <w:jc w:val="left"/>
            </w:pPr>
            <w:r/>
            <w:r>
              <w:rPr>
                <w:rFonts w:ascii="Calibri" w:hAnsi="Calibri"/>
                <w:b w:val="0"/>
                <w:color w:val="000000"/>
                <w:sz w:val="16"/>
              </w:rPr>
              <w:t>Same formula (CRR3 Art 325ba)</w:t>
            </w:r>
          </w:p>
        </w:tc>
      </w:tr>
      <w:tr>
        <w:tc>
          <w:tcPr>
            <w:tcW w:type="dxa" w:w="3456"/>
            <w:shd w:fill="F2F2F2" w:val="clear"/>
          </w:tcPr>
          <w:p>
            <w:pPr>
              <w:jc w:val="left"/>
            </w:pPr>
            <w:r/>
            <w:r>
              <w:rPr>
                <w:rFonts w:ascii="Calibri" w:hAnsi="Calibri"/>
                <w:b/>
                <w:color w:val="000000"/>
                <w:sz w:val="16"/>
              </w:rPr>
              <w:t>PLA Test</w:t>
            </w:r>
          </w:p>
        </w:tc>
        <w:tc>
          <w:tcPr>
            <w:tcW w:type="dxa" w:w="3456"/>
            <w:shd w:fill="F2F2F2" w:val="clear"/>
          </w:tcPr>
          <w:p>
            <w:pPr>
              <w:jc w:val="left"/>
            </w:pPr>
            <w:r/>
            <w:r>
              <w:rPr>
                <w:rFonts w:ascii="Calibri" w:hAnsi="Calibri"/>
                <w:b w:val="0"/>
                <w:color w:val="000000"/>
                <w:sz w:val="16"/>
              </w:rPr>
              <w:t>Kolmogorov-Smirnov metric ONLY (no Spearman correlation test): green KS &lt; 0.09; amber 0.09 &lt;= KS &lt;= 0.12; red &gt; 0.12; PLA add-on = 0.5 x (SA_amber / SA_G,A) x max(SA_G,A - IMA_G,A, 0); three-year transition with no automatic consequences (ERBA NPR §__.213; P.380-381, P.537)</w:t>
            </w:r>
          </w:p>
        </w:tc>
        <w:tc>
          <w:tcPr>
            <w:tcW w:type="dxa" w:w="3456"/>
            <w:shd w:fill="F2F2F2" w:val="clear"/>
          </w:tcPr>
          <w:p>
            <w:pPr>
              <w:jc w:val="left"/>
            </w:pPr>
            <w:r/>
            <w:r>
              <w:rPr>
                <w:rFonts w:ascii="Calibri" w:hAnsi="Calibri"/>
                <w:b w:val="0"/>
                <w:color w:val="000000"/>
                <w:sz w:val="16"/>
              </w:rPr>
              <w:t>Spearman + KS (PS1/26 Ch.16.12)</w:t>
            </w:r>
          </w:p>
        </w:tc>
        <w:tc>
          <w:tcPr>
            <w:tcW w:type="dxa" w:w="3456"/>
            <w:shd w:fill="F2F2F2" w:val="clear"/>
          </w:tcPr>
          <w:p>
            <w:pPr>
              <w:jc w:val="left"/>
            </w:pPr>
            <w:r/>
            <w:r>
              <w:rPr>
                <w:rFonts w:ascii="Calibri" w:hAnsi="Calibri"/>
                <w:b w:val="0"/>
                <w:color w:val="000000"/>
                <w:sz w:val="16"/>
              </w:rPr>
              <w:t>Spearman + KS (CRR3 Art 325bg)</w:t>
            </w:r>
          </w:p>
        </w:tc>
      </w:tr>
      <w:tr>
        <w:tc>
          <w:tcPr>
            <w:tcW w:type="dxa" w:w="3456"/>
            <w:shd w:fill="FFFFFF" w:val="clear"/>
          </w:tcPr>
          <w:p>
            <w:pPr>
              <w:jc w:val="left"/>
            </w:pPr>
            <w:r/>
            <w:r>
              <w:rPr>
                <w:rFonts w:ascii="Calibri" w:hAnsi="Calibri"/>
                <w:b/>
                <w:color w:val="000000"/>
                <w:sz w:val="16"/>
              </w:rPr>
              <w:t>Backtesting</w:t>
            </w:r>
          </w:p>
        </w:tc>
        <w:tc>
          <w:tcPr>
            <w:tcW w:type="dxa" w:w="3456"/>
            <w:shd w:fill="FFFFFF" w:val="clear"/>
          </w:tcPr>
          <w:p>
            <w:pPr>
              <w:jc w:val="left"/>
            </w:pPr>
            <w:r/>
            <w:r>
              <w:rPr>
                <w:rFonts w:ascii="Calibri" w:hAnsi="Calibri"/>
                <w:b w:val="0"/>
                <w:color w:val="000000"/>
                <w:sz w:val="16"/>
              </w:rPr>
              <w:t>Desk-level: 97.5% and 99% VaR over 250 business days; desk ineligible if &gt; 12 exceptions at 99% or &gt; 30 at 97.5% (actual or hypothetical P&amp;L) (ERBA NPR §__.212)</w:t>
            </w:r>
          </w:p>
        </w:tc>
        <w:tc>
          <w:tcPr>
            <w:tcW w:type="dxa" w:w="3456"/>
            <w:shd w:fill="FFFFFF" w:val="clear"/>
          </w:tcPr>
          <w:p>
            <w:pPr>
              <w:jc w:val="left"/>
            </w:pPr>
            <w:r/>
            <w:r>
              <w:rPr>
                <w:rFonts w:ascii="Calibri" w:hAnsi="Calibri"/>
                <w:b w:val="0"/>
                <w:color w:val="000000"/>
                <w:sz w:val="16"/>
              </w:rPr>
              <w:t>Same (PS1/26 Ch.16.12)</w:t>
            </w:r>
          </w:p>
        </w:tc>
        <w:tc>
          <w:tcPr>
            <w:tcW w:type="dxa" w:w="3456"/>
            <w:shd w:fill="FFFFFF" w:val="clear"/>
          </w:tcPr>
          <w:p>
            <w:pPr>
              <w:jc w:val="left"/>
            </w:pPr>
            <w:r/>
            <w:r>
              <w:rPr>
                <w:rFonts w:ascii="Calibri" w:hAnsi="Calibri"/>
                <w:b w:val="0"/>
                <w:color w:val="000000"/>
                <w:sz w:val="16"/>
              </w:rPr>
              <w:t>Same (CRR3 Art 325bf)</w:t>
            </w:r>
          </w:p>
        </w:tc>
      </w:tr>
      <w:tr>
        <w:tc>
          <w:tcPr>
            <w:tcW w:type="dxa" w:w="3456"/>
            <w:shd w:fill="F2F2F2" w:val="clear"/>
          </w:tcPr>
          <w:p>
            <w:pPr>
              <w:jc w:val="left"/>
            </w:pPr>
            <w:r/>
            <w:r>
              <w:rPr>
                <w:rFonts w:ascii="Calibri" w:hAnsi="Calibri"/>
                <w:b/>
                <w:color w:val="000000"/>
                <w:sz w:val="16"/>
              </w:rPr>
              <w:t>Threshold Divergence</w:t>
            </w:r>
          </w:p>
        </w:tc>
        <w:tc>
          <w:tcPr>
            <w:tcW w:type="dxa" w:w="3456"/>
            <w:shd w:fill="F2F2F2" w:val="clear"/>
          </w:tcPr>
          <w:p>
            <w:pPr>
              <w:jc w:val="left"/>
            </w:pPr>
            <w:r/>
            <w:r>
              <w:rPr>
                <w:rFonts w:ascii="Calibri" w:hAnsi="Calibri"/>
                <w:b w:val="0"/>
                <w:color w:val="000000"/>
                <w:sz w:val="16"/>
              </w:rPr>
              <w:t>$5B trading assets + liabilities (4Q avg) or &gt;= 10% of total assets; Cat I/II holding companies regardless (ERBA NPR §__.201)</w:t>
            </w:r>
          </w:p>
        </w:tc>
        <w:tc>
          <w:tcPr>
            <w:tcW w:type="dxa" w:w="3456"/>
            <w:shd w:fill="F2F2F2" w:val="clear"/>
          </w:tcPr>
          <w:p>
            <w:pPr>
              <w:jc w:val="left"/>
            </w:pPr>
            <w:r/>
            <w:r>
              <w:rPr>
                <w:rFonts w:ascii="Calibri" w:hAnsi="Calibri"/>
                <w:b w:val="0"/>
                <w:color w:val="000000"/>
                <w:sz w:val="16"/>
              </w:rPr>
              <w:t>GBP 50M bilateral netting set or 5% total assets (PS1/26 Ch.16.1)</w:t>
            </w:r>
          </w:p>
        </w:tc>
        <w:tc>
          <w:tcPr>
            <w:tcW w:type="dxa" w:w="3456"/>
            <w:shd w:fill="F2F2F2" w:val="clear"/>
          </w:tcPr>
          <w:p>
            <w:pPr>
              <w:jc w:val="left"/>
            </w:pPr>
            <w:r/>
            <w:r>
              <w:rPr>
                <w:rFonts w:ascii="Calibri" w:hAnsi="Calibri"/>
                <w:b w:val="0"/>
                <w:color w:val="000000"/>
                <w:sz w:val="16"/>
              </w:rPr>
              <w:t>EUR 500M or 10% total assets (CRR3 Art 325a(1))</w:t>
            </w:r>
          </w:p>
        </w:tc>
      </w:tr>
    </w:tbl>
    <w:p>
      <w:r>
        <w:br w:type="page"/>
      </w:r>
    </w:p>
    <w:p>
      <w:r>
        <w:rPr>
          <w:rFonts w:ascii="Calibri" w:hAnsi="Calibri"/>
          <w:b/>
          <w:color w:val="C8962E"/>
          <w:sz w:val="28"/>
        </w:rPr>
        <w:t>SECTION 12</w:t>
      </w:r>
    </w:p>
    <w:p>
      <w:r>
        <w:rPr>
          <w:rFonts w:ascii="Calibri" w:hAnsi="Calibri"/>
          <w:b/>
          <w:color w:val="002060"/>
          <w:sz w:val="32"/>
        </w:rPr>
        <w:t>Operational Risk: BI Components, BIC, ILM &amp; Loss Data</w:t>
      </w:r>
    </w:p>
    <w:p>
      <w:r>
        <w:rPr>
          <w:color w:val="C8962E"/>
          <w:sz w:val="12"/>
        </w:rPr>
        <w:t>________________________________________________________________________________________________________________________</w:t>
      </w:r>
    </w:p>
    <w:p>
      <w:r>
        <w:rPr>
          <w:rFonts w:ascii="Calibri" w:hAnsi="Calibri"/>
          <w:b/>
          <w:color w:val="002060"/>
          <w:sz w:val="22"/>
        </w:rPr>
        <w:t>12.1 Business Indicator (BI) Components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BI Components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ILDC Formula</w:t>
            </w:r>
          </w:p>
        </w:tc>
        <w:tc>
          <w:tcPr>
            <w:tcW w:type="dxa" w:w="3456"/>
            <w:shd w:fill="FFFFFF" w:val="clear"/>
          </w:tcPr>
          <w:p>
            <w:pPr>
              <w:jc w:val="left"/>
            </w:pPr>
            <w:r/>
            <w:r>
              <w:rPr>
                <w:rFonts w:ascii="Calibri" w:hAnsi="Calibri"/>
                <w:b w:val="0"/>
                <w:color w:val="000000"/>
                <w:sz w:val="16"/>
              </w:rPr>
              <w:t>ILDC = min(Avg3y|total interest income - total interest expense|, 2.25% x Avg3y interest-earning assets) + Avg3y dividend income (ERBA NPR §__.150). Interest income/expense include lease income/expense; IEA average = 12 quarter-ends / 12</w:t>
            </w:r>
          </w:p>
        </w:tc>
        <w:tc>
          <w:tcPr>
            <w:tcW w:type="dxa" w:w="3456"/>
            <w:shd w:fill="FFFFFF" w:val="clear"/>
          </w:tcPr>
          <w:p>
            <w:pPr>
              <w:jc w:val="left"/>
            </w:pPr>
            <w:r/>
            <w:r>
              <w:rPr>
                <w:rFonts w:ascii="Calibri" w:hAnsi="Calibri"/>
                <w:b w:val="0"/>
                <w:color w:val="000000"/>
                <w:sz w:val="16"/>
              </w:rPr>
              <w:t>Same formula (PS1/26 Ch.14.1)</w:t>
            </w:r>
          </w:p>
        </w:tc>
        <w:tc>
          <w:tcPr>
            <w:tcW w:type="dxa" w:w="3456"/>
            <w:shd w:fill="FFFFFF" w:val="clear"/>
          </w:tcPr>
          <w:p>
            <w:pPr>
              <w:jc w:val="left"/>
            </w:pPr>
            <w:r/>
            <w:r>
              <w:rPr>
                <w:rFonts w:ascii="Calibri" w:hAnsi="Calibri"/>
                <w:b w:val="0"/>
                <w:color w:val="000000"/>
                <w:sz w:val="16"/>
              </w:rPr>
              <w:t>Same formula (CRR3 Art 314(1))</w:t>
            </w:r>
          </w:p>
        </w:tc>
      </w:tr>
      <w:tr>
        <w:tc>
          <w:tcPr>
            <w:tcW w:type="dxa" w:w="3456"/>
            <w:shd w:fill="F2F2F2" w:val="clear"/>
          </w:tcPr>
          <w:p>
            <w:pPr>
              <w:jc w:val="left"/>
            </w:pPr>
            <w:r/>
            <w:r>
              <w:rPr>
                <w:rFonts w:ascii="Calibri" w:hAnsi="Calibri"/>
                <w:b/>
                <w:color w:val="000000"/>
                <w:sz w:val="16"/>
              </w:rPr>
              <w:t>NII Cap</w:t>
            </w:r>
          </w:p>
        </w:tc>
        <w:tc>
          <w:tcPr>
            <w:tcW w:type="dxa" w:w="3456"/>
            <w:shd w:fill="F2F2F2" w:val="clear"/>
          </w:tcPr>
          <w:p>
            <w:pPr>
              <w:jc w:val="left"/>
            </w:pPr>
            <w:r/>
            <w:r>
              <w:rPr>
                <w:rFonts w:ascii="Calibri" w:hAnsi="Calibri"/>
                <w:b w:val="0"/>
                <w:color w:val="000000"/>
                <w:sz w:val="16"/>
              </w:rPr>
              <w:t>2.25% of interest-earning assets (ERBA NPR §__.150). Prevents distortion from high-rate environments</w:t>
            </w:r>
          </w:p>
        </w:tc>
        <w:tc>
          <w:tcPr>
            <w:tcW w:type="dxa" w:w="3456"/>
            <w:shd w:fill="F2F2F2" w:val="clear"/>
          </w:tcPr>
          <w:p>
            <w:pPr>
              <w:jc w:val="left"/>
            </w:pPr>
            <w:r/>
            <w:r>
              <w:rPr>
                <w:rFonts w:ascii="Calibri" w:hAnsi="Calibri"/>
                <w:b w:val="0"/>
                <w:color w:val="000000"/>
                <w:sz w:val="16"/>
              </w:rPr>
              <w:t>2.25% of IEA (PS1/26 Ch.14.1)</w:t>
            </w:r>
          </w:p>
        </w:tc>
        <w:tc>
          <w:tcPr>
            <w:tcW w:type="dxa" w:w="3456"/>
            <w:shd w:fill="F2F2F2" w:val="clear"/>
          </w:tcPr>
          <w:p>
            <w:pPr>
              <w:jc w:val="left"/>
            </w:pPr>
            <w:r/>
            <w:r>
              <w:rPr>
                <w:rFonts w:ascii="Calibri" w:hAnsi="Calibri"/>
                <w:b w:val="0"/>
                <w:color w:val="000000"/>
                <w:sz w:val="16"/>
              </w:rPr>
              <w:t>2.25% of IEA (CRR3 Art 314(1)(a))</w:t>
            </w:r>
          </w:p>
        </w:tc>
      </w:tr>
      <w:tr>
        <w:tc>
          <w:tcPr>
            <w:tcW w:type="dxa" w:w="3456"/>
            <w:shd w:fill="FFFFFF" w:val="clear"/>
          </w:tcPr>
          <w:p>
            <w:pPr>
              <w:jc w:val="left"/>
            </w:pPr>
            <w:r/>
            <w:r>
              <w:rPr>
                <w:rFonts w:ascii="Calibri" w:hAnsi="Calibri"/>
                <w:b/>
                <w:color w:val="000000"/>
                <w:sz w:val="16"/>
              </w:rPr>
              <w:t>SC Formula</w:t>
            </w:r>
          </w:p>
        </w:tc>
        <w:tc>
          <w:tcPr>
            <w:tcW w:type="dxa" w:w="3456"/>
            <w:shd w:fill="FFFFFF" w:val="clear"/>
          </w:tcPr>
          <w:p>
            <w:pPr>
              <w:jc w:val="left"/>
            </w:pPr>
            <w:r/>
            <w:r>
              <w:rPr>
                <w:rFonts w:ascii="Calibri" w:hAnsi="Calibri"/>
                <w:b w:val="0"/>
                <w:color w:val="000000"/>
                <w:sz w:val="16"/>
              </w:rPr>
              <w:t>N/A - no separate services component. US BI has TWO components: ILDC + noninterest component (ERBA NPR §__.150; P.535 'noninterest component replaces financial and services components')</w:t>
            </w:r>
          </w:p>
        </w:tc>
        <w:tc>
          <w:tcPr>
            <w:tcW w:type="dxa" w:w="3456"/>
            <w:shd w:fill="FFFFFF" w:val="clear"/>
          </w:tcPr>
          <w:p>
            <w:pPr>
              <w:jc w:val="left"/>
            </w:pPr>
            <w:r/>
            <w:r>
              <w:rPr>
                <w:rFonts w:ascii="Calibri" w:hAnsi="Calibri"/>
                <w:b w:val="0"/>
                <w:color w:val="000000"/>
                <w:sz w:val="16"/>
              </w:rPr>
              <w:t>Same formula (PS1/26 Ch.14.1)</w:t>
            </w:r>
          </w:p>
        </w:tc>
        <w:tc>
          <w:tcPr>
            <w:tcW w:type="dxa" w:w="3456"/>
            <w:shd w:fill="FFFFFF" w:val="clear"/>
          </w:tcPr>
          <w:p>
            <w:pPr>
              <w:jc w:val="left"/>
            </w:pPr>
            <w:r/>
            <w:r>
              <w:rPr>
                <w:rFonts w:ascii="Calibri" w:hAnsi="Calibri"/>
                <w:b w:val="0"/>
                <w:color w:val="000000"/>
                <w:sz w:val="16"/>
              </w:rPr>
              <w:t>Same formula (CRR3 Art 314(2))</w:t>
            </w:r>
          </w:p>
        </w:tc>
      </w:tr>
      <w:tr>
        <w:tc>
          <w:tcPr>
            <w:tcW w:type="dxa" w:w="3456"/>
            <w:shd w:fill="F2F2F2" w:val="clear"/>
          </w:tcPr>
          <w:p>
            <w:pPr>
              <w:jc w:val="left"/>
            </w:pPr>
            <w:r/>
            <w:r>
              <w:rPr>
                <w:rFonts w:ascii="Calibri" w:hAnsi="Calibri"/>
                <w:b/>
                <w:color w:val="000000"/>
                <w:sz w:val="16"/>
              </w:rPr>
              <w:t>FC Formula</w:t>
            </w:r>
          </w:p>
        </w:tc>
        <w:tc>
          <w:tcPr>
            <w:tcW w:type="dxa" w:w="3456"/>
            <w:shd w:fill="F2F2F2" w:val="clear"/>
          </w:tcPr>
          <w:p>
            <w:pPr>
              <w:jc w:val="left"/>
            </w:pPr>
            <w:r/>
            <w:r>
              <w:rPr>
                <w:rFonts w:ascii="Calibri" w:hAnsi="Calibri"/>
                <w:b w:val="0"/>
                <w:color w:val="000000"/>
                <w:sz w:val="16"/>
              </w:rPr>
              <w:t>N/A - no separate financial component; trading and banking book results enter noninterest income. Noninterest component = Avg3y( |total noninterest income + realized gains/losses on HTM and AFS debt securities - noninterest expense for BI - 0.7 x (fee income from investment management, investment services and non-lending treasury services - related noninterest expense)| + total operational losses ) (ERBA NPR §__.150)</w:t>
            </w:r>
          </w:p>
        </w:tc>
        <w:tc>
          <w:tcPr>
            <w:tcW w:type="dxa" w:w="3456"/>
            <w:shd w:fill="F2F2F2" w:val="clear"/>
          </w:tcPr>
          <w:p>
            <w:pPr>
              <w:jc w:val="left"/>
            </w:pPr>
            <w:r/>
            <w:r>
              <w:rPr>
                <w:rFonts w:ascii="Calibri" w:hAnsi="Calibri"/>
                <w:b w:val="0"/>
                <w:color w:val="000000"/>
                <w:sz w:val="16"/>
              </w:rPr>
              <w:t>Same formula (PS1/26 Ch.14.1)</w:t>
            </w:r>
          </w:p>
        </w:tc>
        <w:tc>
          <w:tcPr>
            <w:tcW w:type="dxa" w:w="3456"/>
            <w:shd w:fill="F2F2F2" w:val="clear"/>
          </w:tcPr>
          <w:p>
            <w:pPr>
              <w:jc w:val="left"/>
            </w:pPr>
            <w:r/>
            <w:r>
              <w:rPr>
                <w:rFonts w:ascii="Calibri" w:hAnsi="Calibri"/>
                <w:b w:val="0"/>
                <w:color w:val="000000"/>
                <w:sz w:val="16"/>
              </w:rPr>
              <w:t>Same formula (CRR3 Art 314(3))</w:t>
            </w:r>
          </w:p>
        </w:tc>
      </w:tr>
      <w:tr>
        <w:tc>
          <w:tcPr>
            <w:tcW w:type="dxa" w:w="3456"/>
            <w:shd w:fill="FFFFFF" w:val="clear"/>
          </w:tcPr>
          <w:p>
            <w:pPr>
              <w:jc w:val="left"/>
            </w:pPr>
            <w:r/>
            <w:r>
              <w:rPr>
                <w:rFonts w:ascii="Calibri" w:hAnsi="Calibri"/>
                <w:b/>
                <w:color w:val="000000"/>
                <w:sz w:val="16"/>
              </w:rPr>
              <w:t>BI Calculation</w:t>
            </w:r>
          </w:p>
        </w:tc>
        <w:tc>
          <w:tcPr>
            <w:tcW w:type="dxa" w:w="3456"/>
            <w:shd w:fill="FFFFFF" w:val="clear"/>
          </w:tcPr>
          <w:p>
            <w:pPr>
              <w:jc w:val="left"/>
            </w:pPr>
            <w:r/>
            <w:r>
              <w:rPr>
                <w:rFonts w:ascii="Calibri" w:hAnsi="Calibri"/>
                <w:b w:val="0"/>
                <w:color w:val="000000"/>
                <w:sz w:val="16"/>
              </w:rPr>
              <w:t>BI = ILDC + noninterest component. Avg3y = average of the three most recent four-quarter periods (ERBA NPR §__.150). Noninterest expense for BI excludes salaries/benefits, premises, goodwill impairment, intangibles amortization and total operational losses (§__.101)</w:t>
            </w:r>
          </w:p>
        </w:tc>
        <w:tc>
          <w:tcPr>
            <w:tcW w:type="dxa" w:w="3456"/>
            <w:shd w:fill="FFFFFF" w:val="clear"/>
          </w:tcPr>
          <w:p>
            <w:pPr>
              <w:jc w:val="left"/>
            </w:pPr>
            <w:r/>
            <w:r>
              <w:rPr>
                <w:rFonts w:ascii="Calibri" w:hAnsi="Calibri"/>
                <w:b w:val="0"/>
                <w:color w:val="000000"/>
                <w:sz w:val="16"/>
              </w:rPr>
              <w:t>Same 3Y average (PS1/26 Ch.14.1)</w:t>
            </w:r>
          </w:p>
        </w:tc>
        <w:tc>
          <w:tcPr>
            <w:tcW w:type="dxa" w:w="3456"/>
            <w:shd w:fill="FFFFFF" w:val="clear"/>
          </w:tcPr>
          <w:p>
            <w:pPr>
              <w:jc w:val="left"/>
            </w:pPr>
            <w:r/>
            <w:r>
              <w:rPr>
                <w:rFonts w:ascii="Calibri" w:hAnsi="Calibri"/>
                <w:b w:val="0"/>
                <w:color w:val="000000"/>
                <w:sz w:val="16"/>
              </w:rPr>
              <w:t>Same 3Y average (CRR3 Art 314(4))</w:t>
            </w:r>
          </w:p>
        </w:tc>
      </w:tr>
      <w:tr>
        <w:tc>
          <w:tcPr>
            <w:tcW w:type="dxa" w:w="3456"/>
            <w:shd w:fill="F2F2F2" w:val="clear"/>
          </w:tcPr>
          <w:p>
            <w:pPr>
              <w:jc w:val="left"/>
            </w:pPr>
            <w:r/>
            <w:r>
              <w:rPr>
                <w:rFonts w:ascii="Calibri" w:hAnsi="Calibri"/>
                <w:b/>
                <w:color w:val="000000"/>
                <w:sz w:val="16"/>
              </w:rPr>
              <w:t>NIC Adjustment</w:t>
            </w:r>
          </w:p>
        </w:tc>
        <w:tc>
          <w:tcPr>
            <w:tcW w:type="dxa" w:w="3456"/>
            <w:shd w:fill="F2F2F2" w:val="clear"/>
          </w:tcPr>
          <w:p>
            <w:pPr>
              <w:jc w:val="left"/>
            </w:pPr>
            <w:r/>
            <w:r>
              <w:rPr>
                <w:rFonts w:ascii="Calibri" w:hAnsi="Calibri"/>
                <w:b w:val="0"/>
                <w:color w:val="000000"/>
                <w:sz w:val="16"/>
              </w:rPr>
              <w:t>0.7x factor applied to NET fee income (income less related noninterest expense) from investment management, investment services AND non-lending treasury services, inside the noninterest component (ERBA NPR §__.150; P.205: op-loss/income ratio for these lines ~32% of the all-business average)</w:t>
            </w:r>
          </w:p>
        </w:tc>
        <w:tc>
          <w:tcPr>
            <w:tcW w:type="dxa" w:w="3456"/>
            <w:shd w:fill="F2F2F2" w:val="clear"/>
          </w:tcPr>
          <w:p>
            <w:pPr>
              <w:jc w:val="left"/>
            </w:pPr>
            <w:r/>
            <w:r>
              <w:rPr>
                <w:rFonts w:ascii="Calibri" w:hAnsi="Calibri"/>
                <w:b w:val="0"/>
                <w:color w:val="000000"/>
                <w:sz w:val="16"/>
              </w:rPr>
              <w:t>Same (PS1/26 Ch.14.1)</w:t>
            </w:r>
          </w:p>
        </w:tc>
        <w:tc>
          <w:tcPr>
            <w:tcW w:type="dxa" w:w="3456"/>
            <w:shd w:fill="F2F2F2" w:val="clear"/>
          </w:tcPr>
          <w:p>
            <w:pPr>
              <w:jc w:val="left"/>
            </w:pPr>
            <w:r/>
            <w:r>
              <w:rPr>
                <w:rFonts w:ascii="Calibri" w:hAnsi="Calibri"/>
                <w:b w:val="0"/>
                <w:color w:val="000000"/>
                <w:sz w:val="16"/>
              </w:rPr>
              <w:t>Same (CRR3 Art 314(3)(b))</w:t>
            </w:r>
          </w:p>
        </w:tc>
      </w:tr>
    </w:tbl>
    <w:p>
      <w:r>
        <w:rPr>
          <w:rFonts w:ascii="Calibri" w:hAnsi="Calibri"/>
          <w:b/>
          <w:color w:val="002060"/>
          <w:sz w:val="22"/>
        </w:rPr>
        <w:t>12.2 BIC Marginal Coefficients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Bucket 1: BI &lt;= $1B</w:t>
            </w:r>
          </w:p>
        </w:tc>
        <w:tc>
          <w:tcPr>
            <w:tcW w:type="dxa" w:w="3456"/>
            <w:shd w:fill="F2F2F2" w:val="clear"/>
          </w:tcPr>
          <w:p>
            <w:pPr>
              <w:jc w:val="left"/>
            </w:pPr>
            <w:r/>
            <w:r>
              <w:rPr>
                <w:rFonts w:ascii="Calibri" w:hAnsi="Calibri"/>
                <w:b w:val="0"/>
                <w:color w:val="000000"/>
                <w:sz w:val="16"/>
              </w:rPr>
              <w:t>12% marginal coefficient (ERBA NPR §__.150). BIC = 0.12 x BI; thresholds CPI-W indexed</w:t>
            </w:r>
          </w:p>
        </w:tc>
        <w:tc>
          <w:tcPr>
            <w:tcW w:type="dxa" w:w="3456"/>
            <w:shd w:fill="F2F2F2" w:val="clear"/>
          </w:tcPr>
          <w:p>
            <w:pPr>
              <w:jc w:val="left"/>
            </w:pPr>
            <w:r/>
            <w:r>
              <w:rPr>
                <w:rFonts w:ascii="Calibri" w:hAnsi="Calibri"/>
                <w:b w:val="0"/>
                <w:color w:val="000000"/>
                <w:sz w:val="16"/>
              </w:rPr>
              <w:t>12% for BI &lt;= GBP 0.88B (PS1/26 Ch.14.2)</w:t>
            </w:r>
          </w:p>
        </w:tc>
        <w:tc>
          <w:tcPr>
            <w:tcW w:type="dxa" w:w="3456"/>
            <w:shd w:fill="F2F2F2" w:val="clear"/>
          </w:tcPr>
          <w:p>
            <w:pPr>
              <w:jc w:val="left"/>
            </w:pPr>
            <w:r/>
            <w:r>
              <w:rPr>
                <w:rFonts w:ascii="Calibri" w:hAnsi="Calibri"/>
                <w:b w:val="0"/>
                <w:color w:val="000000"/>
                <w:sz w:val="16"/>
              </w:rPr>
              <w:t>12% for BI &lt;= EUR 1B (CRR3 Art 315(1))</w:t>
            </w:r>
          </w:p>
        </w:tc>
      </w:tr>
      <w:tr>
        <w:tc>
          <w:tcPr>
            <w:tcW w:type="dxa" w:w="3456"/>
            <w:shd w:fill="FFFFFF" w:val="clear"/>
          </w:tcPr>
          <w:p>
            <w:pPr>
              <w:jc w:val="left"/>
            </w:pPr>
            <w:r/>
            <w:r>
              <w:rPr>
                <w:rFonts w:ascii="Calibri" w:hAnsi="Calibri"/>
                <w:b/>
                <w:color w:val="000000"/>
                <w:sz w:val="16"/>
              </w:rPr>
              <w:t>Bucket 2: $1B &lt; BI &lt;= $30B</w:t>
            </w:r>
          </w:p>
        </w:tc>
        <w:tc>
          <w:tcPr>
            <w:tcW w:type="dxa" w:w="3456"/>
            <w:shd w:fill="FFFFFF" w:val="clear"/>
          </w:tcPr>
          <w:p>
            <w:pPr>
              <w:jc w:val="left"/>
            </w:pPr>
            <w:r/>
            <w:r>
              <w:rPr>
                <w:rFonts w:ascii="Calibri" w:hAnsi="Calibri"/>
                <w:b w:val="0"/>
                <w:color w:val="000000"/>
                <w:sz w:val="16"/>
              </w:rPr>
              <w:t>15% marginal coefficient (ERBA NPR §__.150). BIC = $120M + 0.15 x (BI - $1B)</w:t>
            </w:r>
          </w:p>
        </w:tc>
        <w:tc>
          <w:tcPr>
            <w:tcW w:type="dxa" w:w="3456"/>
            <w:shd w:fill="FFFFFF" w:val="clear"/>
          </w:tcPr>
          <w:p>
            <w:pPr>
              <w:jc w:val="left"/>
            </w:pPr>
            <w:r/>
            <w:r>
              <w:rPr>
                <w:rFonts w:ascii="Calibri" w:hAnsi="Calibri"/>
                <w:b w:val="0"/>
                <w:color w:val="000000"/>
                <w:sz w:val="16"/>
              </w:rPr>
              <w:t>15% for GBP 0.88B-26.4B (PS1/26 Ch.14.2)</w:t>
            </w:r>
          </w:p>
        </w:tc>
        <w:tc>
          <w:tcPr>
            <w:tcW w:type="dxa" w:w="3456"/>
            <w:shd w:fill="FFFFFF" w:val="clear"/>
          </w:tcPr>
          <w:p>
            <w:pPr>
              <w:jc w:val="left"/>
            </w:pPr>
            <w:r/>
            <w:r>
              <w:rPr>
                <w:rFonts w:ascii="Calibri" w:hAnsi="Calibri"/>
                <w:b w:val="0"/>
                <w:color w:val="000000"/>
                <w:sz w:val="16"/>
              </w:rPr>
              <w:t>15% for EUR 1B-30B (CRR3 Art 315(2))</w:t>
            </w:r>
          </w:p>
        </w:tc>
      </w:tr>
      <w:tr>
        <w:tc>
          <w:tcPr>
            <w:tcW w:type="dxa" w:w="3456"/>
            <w:shd w:fill="F2F2F2" w:val="clear"/>
          </w:tcPr>
          <w:p>
            <w:pPr>
              <w:jc w:val="left"/>
            </w:pPr>
            <w:r/>
            <w:r>
              <w:rPr>
                <w:rFonts w:ascii="Calibri" w:hAnsi="Calibri"/>
                <w:b/>
                <w:color w:val="000000"/>
                <w:sz w:val="16"/>
              </w:rPr>
              <w:t>Bucket 3: BI &gt; $30B</w:t>
            </w:r>
          </w:p>
        </w:tc>
        <w:tc>
          <w:tcPr>
            <w:tcW w:type="dxa" w:w="3456"/>
            <w:shd w:fill="F2F2F2" w:val="clear"/>
          </w:tcPr>
          <w:p>
            <w:pPr>
              <w:jc w:val="left"/>
            </w:pPr>
            <w:r/>
            <w:r>
              <w:rPr>
                <w:rFonts w:ascii="Calibri" w:hAnsi="Calibri"/>
                <w:b w:val="0"/>
                <w:color w:val="000000"/>
                <w:sz w:val="16"/>
              </w:rPr>
              <w:t>18% marginal coefficient (ERBA NPR §__.150). BIC = $4.47B + 0.18 x (BI - $30B); operational RWA = 12.5 x BIC</w:t>
            </w:r>
          </w:p>
        </w:tc>
        <w:tc>
          <w:tcPr>
            <w:tcW w:type="dxa" w:w="3456"/>
            <w:shd w:fill="F2F2F2" w:val="clear"/>
          </w:tcPr>
          <w:p>
            <w:pPr>
              <w:jc w:val="left"/>
            </w:pPr>
            <w:r/>
            <w:r>
              <w:rPr>
                <w:rFonts w:ascii="Calibri" w:hAnsi="Calibri"/>
                <w:b w:val="0"/>
                <w:color w:val="000000"/>
                <w:sz w:val="16"/>
              </w:rPr>
              <w:t>18% for BI &gt; GBP 26.4B (PS1/26 Ch.14.2)</w:t>
            </w:r>
          </w:p>
        </w:tc>
        <w:tc>
          <w:tcPr>
            <w:tcW w:type="dxa" w:w="3456"/>
            <w:shd w:fill="F2F2F2" w:val="clear"/>
          </w:tcPr>
          <w:p>
            <w:pPr>
              <w:jc w:val="left"/>
            </w:pPr>
            <w:r/>
            <w:r>
              <w:rPr>
                <w:rFonts w:ascii="Calibri" w:hAnsi="Calibri"/>
                <w:b w:val="0"/>
                <w:color w:val="000000"/>
                <w:sz w:val="16"/>
              </w:rPr>
              <w:t>18% for BI &gt; EUR 30B (CRR3 Art 315(3))</w:t>
            </w:r>
          </w:p>
        </w:tc>
      </w:tr>
      <w:tr>
        <w:tc>
          <w:tcPr>
            <w:tcW w:type="dxa" w:w="3456"/>
            <w:shd w:fill="FFFFFF" w:val="clear"/>
          </w:tcPr>
          <w:p>
            <w:pPr>
              <w:jc w:val="left"/>
            </w:pPr>
            <w:r/>
            <w:r>
              <w:rPr>
                <w:rFonts w:ascii="Calibri" w:hAnsi="Calibri"/>
                <w:b/>
                <w:color w:val="000000"/>
                <w:sz w:val="16"/>
              </w:rPr>
              <w:t>Worked Example: $50B BI</w:t>
            </w:r>
          </w:p>
        </w:tc>
        <w:tc>
          <w:tcPr>
            <w:tcW w:type="dxa" w:w="3456"/>
            <w:shd w:fill="FFFFFF" w:val="clear"/>
          </w:tcPr>
          <w:p>
            <w:pPr>
              <w:jc w:val="left"/>
            </w:pPr>
            <w:r/>
            <w:r>
              <w:rPr>
                <w:rFonts w:ascii="Calibri" w:hAnsi="Calibri"/>
                <w:b w:val="0"/>
                <w:color w:val="000000"/>
                <w:sz w:val="16"/>
              </w:rPr>
              <w:t>BIC = 12%*1 + 15%*29 + 18%*20 = $0.12B + $4.35B + $3.6B = $8.07B</w:t>
            </w:r>
          </w:p>
        </w:tc>
        <w:tc>
          <w:tcPr>
            <w:tcW w:type="dxa" w:w="3456"/>
            <w:shd w:fill="FFFFFF" w:val="clear"/>
          </w:tcPr>
          <w:p>
            <w:pPr>
              <w:jc w:val="left"/>
            </w:pPr>
            <w:r/>
            <w:r>
              <w:rPr>
                <w:rFonts w:ascii="Calibri" w:hAnsi="Calibri"/>
                <w:b w:val="0"/>
                <w:color w:val="000000"/>
                <w:sz w:val="16"/>
              </w:rPr>
              <w:t>Similar calculation in GBP</w:t>
            </w:r>
          </w:p>
        </w:tc>
        <w:tc>
          <w:tcPr>
            <w:tcW w:type="dxa" w:w="3456"/>
            <w:shd w:fill="FFFFFF" w:val="clear"/>
          </w:tcPr>
          <w:p>
            <w:pPr>
              <w:jc w:val="left"/>
            </w:pPr>
            <w:r/>
            <w:r>
              <w:rPr>
                <w:rFonts w:ascii="Calibri" w:hAnsi="Calibri"/>
                <w:b w:val="0"/>
                <w:color w:val="000000"/>
                <w:sz w:val="16"/>
              </w:rPr>
              <w:t>Similar calculation in EUR</w:t>
            </w:r>
          </w:p>
        </w:tc>
      </w:tr>
    </w:tbl>
    <w:p>
      <w:r>
        <w:rPr>
          <w:rFonts w:ascii="Calibri" w:hAnsi="Calibri"/>
          <w:b/>
          <w:color w:val="002060"/>
          <w:sz w:val="22"/>
        </w:rPr>
        <w:t>12.3 Internal Loss Multiplier (ILM)</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ILM Setting</w:t>
            </w:r>
          </w:p>
        </w:tc>
        <w:tc>
          <w:tcPr>
            <w:tcW w:type="dxa" w:w="3456"/>
            <w:shd w:fill="F2F2F2" w:val="clear"/>
          </w:tcPr>
          <w:p>
            <w:pPr>
              <w:jc w:val="left"/>
            </w:pPr>
            <w:r/>
            <w:r>
              <w:rPr>
                <w:rFonts w:ascii="Calibri" w:hAnsi="Calibri"/>
                <w:b w:val="0"/>
                <w:color w:val="000000"/>
                <w:sz w:val="16"/>
              </w:rPr>
              <w:t>NO ILM term in the rule text: operational RWA = 12.5 x BIC (ERBA NPR §__.150). Internal loss data instead enters the BI directly (total operational losses added to the noninterest component); Question 84 asks whether an ILM with a factor between 5 and 15 should be added (P.198-199)</w:t>
            </w:r>
          </w:p>
        </w:tc>
        <w:tc>
          <w:tcPr>
            <w:tcW w:type="dxa" w:w="3456"/>
            <w:shd w:fill="F2F2F2" w:val="clear"/>
          </w:tcPr>
          <w:p>
            <w:pPr>
              <w:jc w:val="left"/>
            </w:pPr>
            <w:r/>
            <w:r>
              <w:rPr>
                <w:rFonts w:ascii="Calibri" w:hAnsi="Calibri"/>
                <w:b w:val="0"/>
                <w:color w:val="000000"/>
                <w:sz w:val="16"/>
              </w:rPr>
              <w:t>ILM = 1.0 (fixed) (PS1/26 Ch.14.3). PRA supervisory expectation for loss data collection but no capital impact</w:t>
            </w:r>
          </w:p>
        </w:tc>
        <w:tc>
          <w:tcPr>
            <w:tcW w:type="dxa" w:w="3456"/>
            <w:shd w:fill="F2F2F2" w:val="clear"/>
          </w:tcPr>
          <w:p>
            <w:pPr>
              <w:jc w:val="left"/>
            </w:pPr>
            <w:r/>
            <w:r>
              <w:rPr>
                <w:rFonts w:ascii="Calibri" w:hAnsi="Calibri"/>
                <w:b w:val="0"/>
                <w:color w:val="000000"/>
                <w:sz w:val="16"/>
              </w:rPr>
              <w:t>ILM = 1.0 (fixed) (CRR3 Art 315a). BUT mandatory loss data collection required</w:t>
            </w:r>
          </w:p>
        </w:tc>
      </w:tr>
      <w:tr>
        <w:tc>
          <w:tcPr>
            <w:tcW w:type="dxa" w:w="3456"/>
            <w:shd w:fill="FFFFFF" w:val="clear"/>
          </w:tcPr>
          <w:p>
            <w:pPr>
              <w:jc w:val="left"/>
            </w:pPr>
            <w:r/>
            <w:r>
              <w:rPr>
                <w:rFonts w:ascii="Calibri" w:hAnsi="Calibri"/>
                <w:b/>
                <w:color w:val="000000"/>
                <w:sz w:val="16"/>
              </w:rPr>
              <w:t>Loss Data Requirement</w:t>
            </w:r>
          </w:p>
        </w:tc>
        <w:tc>
          <w:tcPr>
            <w:tcW w:type="dxa" w:w="3456"/>
            <w:shd w:fill="FFFFFF" w:val="clear"/>
          </w:tcPr>
          <w:p>
            <w:pPr>
              <w:jc w:val="left"/>
            </w:pPr>
            <w:r/>
            <w:r>
              <w:rPr>
                <w:rFonts w:ascii="Calibri" w:hAnsi="Calibri"/>
                <w:b w:val="0"/>
                <w:color w:val="000000"/>
                <w:sz w:val="16"/>
              </w:rPr>
              <w:t>REQUIRED: independent operational risk management function; operational loss event data collection processes; events &gt;= $20,000 (CPI-W indexed) across 7 event types; total operational losses feed the BI (ERBA NPR §__.101, §__.150; P.204-207, P.216)</w:t>
            </w:r>
          </w:p>
        </w:tc>
        <w:tc>
          <w:tcPr>
            <w:tcW w:type="dxa" w:w="3456"/>
            <w:shd w:fill="FFFFFF" w:val="clear"/>
          </w:tcPr>
          <w:p>
            <w:pPr>
              <w:jc w:val="left"/>
            </w:pPr>
            <w:r/>
            <w:r>
              <w:rPr>
                <w:rFonts w:ascii="Calibri" w:hAnsi="Calibri"/>
                <w:b w:val="0"/>
                <w:color w:val="000000"/>
                <w:sz w:val="16"/>
              </w:rPr>
              <w:t>Supervisory expectation only - qualitative requirement (PS1/26 Ch.14.3)</w:t>
            </w:r>
          </w:p>
        </w:tc>
        <w:tc>
          <w:tcPr>
            <w:tcW w:type="dxa" w:w="3456"/>
            <w:shd w:fill="FFFFFF" w:val="clear"/>
          </w:tcPr>
          <w:p>
            <w:pPr>
              <w:jc w:val="left"/>
            </w:pPr>
            <w:r/>
            <w:r>
              <w:rPr>
                <w:rFonts w:ascii="Calibri" w:hAnsi="Calibri"/>
                <w:b w:val="0"/>
                <w:color w:val="000000"/>
                <w:sz w:val="16"/>
              </w:rPr>
              <w:t>MANDATORY: EUR 20K threshold, 10Y history, COREP C16.02-04 reporting (CRR3 Art 316-317). Must have loss data governance framework</w:t>
            </w:r>
          </w:p>
        </w:tc>
      </w:tr>
      <w:tr>
        <w:tc>
          <w:tcPr>
            <w:tcW w:type="dxa" w:w="3456"/>
            <w:shd w:fill="F2F2F2" w:val="clear"/>
          </w:tcPr>
          <w:p>
            <w:pPr>
              <w:jc w:val="left"/>
            </w:pPr>
            <w:r/>
            <w:r>
              <w:rPr>
                <w:rFonts w:ascii="Calibri" w:hAnsi="Calibri"/>
                <w:b/>
                <w:color w:val="000000"/>
                <w:sz w:val="16"/>
              </w:rPr>
              <w:t>Loss Data Threshold</w:t>
            </w:r>
          </w:p>
        </w:tc>
        <w:tc>
          <w:tcPr>
            <w:tcW w:type="dxa" w:w="3456"/>
            <w:shd w:fill="F2F2F2" w:val="clear"/>
          </w:tcPr>
          <w:p>
            <w:pPr>
              <w:jc w:val="left"/>
            </w:pPr>
            <w:r/>
            <w:r>
              <w:rPr>
                <w:rFonts w:ascii="Calibri" w:hAnsi="Calibri"/>
                <w:b w:val="0"/>
                <w:color w:val="000000"/>
                <w:sz w:val="16"/>
              </w:rPr>
              <w:t>$20,000 per event, CPI-W indexed (ERBA NPR §__.150; P.35)</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EUR 20,000 per-event threshold (CRR3 Art 316(1))</w:t>
            </w:r>
          </w:p>
        </w:tc>
      </w:tr>
      <w:tr>
        <w:tc>
          <w:tcPr>
            <w:tcW w:type="dxa" w:w="3456"/>
            <w:shd w:fill="FFFFFF" w:val="clear"/>
          </w:tcPr>
          <w:p>
            <w:pPr>
              <w:jc w:val="left"/>
            </w:pPr>
            <w:r/>
            <w:r>
              <w:rPr>
                <w:rFonts w:ascii="Calibri" w:hAnsi="Calibri"/>
                <w:b/>
                <w:color w:val="000000"/>
                <w:sz w:val="16"/>
              </w:rPr>
              <w:t>Loss Data History</w:t>
            </w:r>
          </w:p>
        </w:tc>
        <w:tc>
          <w:tcPr>
            <w:tcW w:type="dxa" w:w="3456"/>
            <w:shd w:fill="FFFFFF" w:val="clear"/>
          </w:tcPr>
          <w:p>
            <w:pPr>
              <w:jc w:val="left"/>
            </w:pPr>
            <w:r/>
            <w:r>
              <w:rPr>
                <w:rFonts w:ascii="Calibri" w:hAnsi="Calibri"/>
                <w:b w:val="0"/>
                <w:color w:val="000000"/>
                <w:sz w:val="16"/>
              </w:rPr>
              <w:t>10 years, including loss data of acquired or merged entities (ERBA NPR §__.150)</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10 years minimum; 5 years transitional (CRR3 Art 316(2))</w:t>
            </w:r>
          </w:p>
        </w:tc>
      </w:tr>
      <w:tr>
        <w:tc>
          <w:tcPr>
            <w:tcW w:type="dxa" w:w="3456"/>
            <w:shd w:fill="F2F2F2" w:val="clear"/>
          </w:tcPr>
          <w:p>
            <w:pPr>
              <w:jc w:val="left"/>
            </w:pPr>
            <w:r/>
            <w:r>
              <w:rPr>
                <w:rFonts w:ascii="Calibri" w:hAnsi="Calibri"/>
                <w:b/>
                <w:color w:val="000000"/>
                <w:sz w:val="16"/>
              </w:rPr>
              <w:t>COREP Templates</w:t>
            </w:r>
          </w:p>
        </w:tc>
        <w:tc>
          <w:tcPr>
            <w:tcW w:type="dxa" w:w="3456"/>
            <w:shd w:fill="F2F2F2" w:val="clear"/>
          </w:tcPr>
          <w:p>
            <w:pPr>
              <w:jc w:val="left"/>
            </w:pPr>
            <w:r/>
            <w:r>
              <w:rPr>
                <w:rFonts w:ascii="Calibri" w:hAnsi="Calibri"/>
                <w:b w:val="0"/>
                <w:color w:val="000000"/>
                <w:sz w:val="16"/>
              </w:rPr>
              <w:t>N/A (FR Y-14Q operational loss data; Cat I/II HCs reported &gt; $308B of &gt;= $20,000 losses 2007Q1-2025Q2, P.195)</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C16.02 (losses by event type), C16.03 (large losses), C16.04 (loss trends) (EBA ITS 2024/XXX)</w:t>
            </w:r>
          </w:p>
        </w:tc>
      </w:tr>
      <w:tr>
        <w:tc>
          <w:tcPr>
            <w:tcW w:type="dxa" w:w="3456"/>
            <w:shd w:fill="FFFFFF" w:val="clear"/>
          </w:tcPr>
          <w:p>
            <w:pPr>
              <w:jc w:val="left"/>
            </w:pPr>
            <w:r/>
            <w:r>
              <w:rPr>
                <w:rFonts w:ascii="Calibri" w:hAnsi="Calibri"/>
                <w:b/>
                <w:color w:val="000000"/>
                <w:sz w:val="16"/>
              </w:rPr>
              <w:t>ILM Formula (if applied)</w:t>
            </w:r>
          </w:p>
        </w:tc>
        <w:tc>
          <w:tcPr>
            <w:tcW w:type="dxa" w:w="3456"/>
            <w:shd w:fill="FFFFFF" w:val="clear"/>
          </w:tcPr>
          <w:p>
            <w:pPr>
              <w:jc w:val="left"/>
            </w:pPr>
            <w:r/>
            <w:r>
              <w:rPr>
                <w:rFonts w:ascii="Calibri" w:hAnsi="Calibri"/>
                <w:b w:val="0"/>
                <w:color w:val="000000"/>
                <w:sz w:val="16"/>
              </w:rPr>
              <w:t>Basel ILM = ln(exp(1)-1 + (15 x avg annual losses / BIC)^0.8) quoted only in Question 84; NOT part of the proposed rule (ERBA NPR P.198-199)</w:t>
            </w:r>
          </w:p>
        </w:tc>
        <w:tc>
          <w:tcPr>
            <w:tcW w:type="dxa" w:w="3456"/>
            <w:shd w:fill="FFFFFF" w:val="clear"/>
          </w:tcPr>
          <w:p>
            <w:pPr>
              <w:jc w:val="left"/>
            </w:pPr>
            <w:r/>
            <w:r>
              <w:rPr>
                <w:rFonts w:ascii="Calibri" w:hAnsi="Calibri"/>
                <w:b w:val="0"/>
                <w:color w:val="000000"/>
                <w:sz w:val="16"/>
              </w:rPr>
              <w:t>Same formula (not applied)</w:t>
            </w:r>
          </w:p>
        </w:tc>
        <w:tc>
          <w:tcPr>
            <w:tcW w:type="dxa" w:w="3456"/>
            <w:shd w:fill="FFFFFF" w:val="clear"/>
          </w:tcPr>
          <w:p>
            <w:pPr>
              <w:jc w:val="left"/>
            </w:pPr>
            <w:r/>
            <w:r>
              <w:rPr>
                <w:rFonts w:ascii="Calibri" w:hAnsi="Calibri"/>
                <w:b w:val="0"/>
                <w:color w:val="000000"/>
                <w:sz w:val="16"/>
              </w:rPr>
              <w:t>Same formula (CRR3 Art 315a(2), not applied per Art 315a(1))</w:t>
            </w:r>
          </w:p>
        </w:tc>
      </w:tr>
      <w:tr>
        <w:tc>
          <w:tcPr>
            <w:tcW w:type="dxa" w:w="3456"/>
            <w:shd w:fill="F2F2F2" w:val="clear"/>
          </w:tcPr>
          <w:p>
            <w:pPr>
              <w:jc w:val="left"/>
            </w:pPr>
            <w:r/>
            <w:r>
              <w:rPr>
                <w:rFonts w:ascii="Calibri" w:hAnsi="Calibri"/>
                <w:b/>
                <w:color w:val="000000"/>
                <w:sz w:val="16"/>
              </w:rPr>
              <w:t>OpRisk Capital</w:t>
            </w:r>
          </w:p>
        </w:tc>
        <w:tc>
          <w:tcPr>
            <w:tcW w:type="dxa" w:w="3456"/>
            <w:shd w:fill="F2F2F2" w:val="clear"/>
          </w:tcPr>
          <w:p>
            <w:pPr>
              <w:jc w:val="left"/>
            </w:pPr>
            <w:r/>
            <w:r>
              <w:rPr>
                <w:rFonts w:ascii="Calibri" w:hAnsi="Calibri"/>
                <w:b w:val="0"/>
                <w:color w:val="000000"/>
                <w:sz w:val="16"/>
              </w:rPr>
              <w:t>ORC = BIC; RWA_op = 12.5 x BIC (ERBA NPR §__.150)</w:t>
            </w:r>
          </w:p>
        </w:tc>
        <w:tc>
          <w:tcPr>
            <w:tcW w:type="dxa" w:w="3456"/>
            <w:shd w:fill="F2F2F2" w:val="clear"/>
          </w:tcPr>
          <w:p>
            <w:pPr>
              <w:jc w:val="left"/>
            </w:pPr>
            <w:r/>
            <w:r>
              <w:rPr>
                <w:rFonts w:ascii="Calibri" w:hAnsi="Calibri"/>
                <w:b w:val="0"/>
                <w:color w:val="000000"/>
                <w:sz w:val="16"/>
              </w:rPr>
              <w:t>ORC = BIC (PS1/26 Ch.14.4)</w:t>
            </w:r>
          </w:p>
        </w:tc>
        <w:tc>
          <w:tcPr>
            <w:tcW w:type="dxa" w:w="3456"/>
            <w:shd w:fill="F2F2F2" w:val="clear"/>
          </w:tcPr>
          <w:p>
            <w:pPr>
              <w:jc w:val="left"/>
            </w:pPr>
            <w:r/>
            <w:r>
              <w:rPr>
                <w:rFonts w:ascii="Calibri" w:hAnsi="Calibri"/>
                <w:b w:val="0"/>
                <w:color w:val="000000"/>
                <w:sz w:val="16"/>
              </w:rPr>
              <w:t>ORC = BIC (CRR3 Art 312a)</w:t>
            </w:r>
          </w:p>
        </w:tc>
      </w:tr>
      <w:tr>
        <w:tc>
          <w:tcPr>
            <w:tcW w:type="dxa" w:w="3456"/>
            <w:shd w:fill="FFFFFF" w:val="clear"/>
          </w:tcPr>
          <w:p>
            <w:pPr>
              <w:jc w:val="left"/>
            </w:pPr>
            <w:r/>
            <w:r>
              <w:rPr>
                <w:rFonts w:ascii="Calibri" w:hAnsi="Calibri"/>
                <w:b/>
                <w:color w:val="000000"/>
                <w:sz w:val="16"/>
              </w:rPr>
              <w:t>M&amp;A Adjustment</w:t>
            </w:r>
          </w:p>
        </w:tc>
        <w:tc>
          <w:tcPr>
            <w:tcW w:type="dxa" w:w="3456"/>
            <w:shd w:fill="FFFFFF" w:val="clear"/>
          </w:tcPr>
          <w:p>
            <w:pPr>
              <w:jc w:val="left"/>
            </w:pPr>
            <w:r/>
            <w:r>
              <w:rPr>
                <w:rFonts w:ascii="Calibri" w:hAnsi="Calibri"/>
                <w:b w:val="0"/>
                <w:color w:val="000000"/>
                <w:sz w:val="16"/>
              </w:rPr>
              <w:t>BI and loss data of acquired or merged entities included (10-year loss history) (ERBA NPR §__.150)</w:t>
            </w:r>
          </w:p>
        </w:tc>
        <w:tc>
          <w:tcPr>
            <w:tcW w:type="dxa" w:w="3456"/>
            <w:shd w:fill="FFFFFF" w:val="clear"/>
          </w:tcPr>
          <w:p>
            <w:pPr>
              <w:jc w:val="left"/>
            </w:pPr>
            <w:r/>
            <w:r>
              <w:rPr>
                <w:rFonts w:ascii="Calibri" w:hAnsi="Calibri"/>
                <w:b w:val="0"/>
                <w:color w:val="000000"/>
                <w:sz w:val="16"/>
              </w:rPr>
              <w:t>Similar approach (PS1/26 Ch.14.5)</w:t>
            </w:r>
          </w:p>
        </w:tc>
        <w:tc>
          <w:tcPr>
            <w:tcW w:type="dxa" w:w="3456"/>
            <w:shd w:fill="FFFFFF" w:val="clear"/>
          </w:tcPr>
          <w:p>
            <w:pPr>
              <w:jc w:val="left"/>
            </w:pPr>
            <w:r/>
            <w:r>
              <w:rPr>
                <w:rFonts w:ascii="Calibri" w:hAnsi="Calibri"/>
                <w:b w:val="0"/>
                <w:color w:val="000000"/>
                <w:sz w:val="16"/>
              </w:rPr>
              <w:t>Acquired entity inclusion; NCA may allow exclusion of divested BI after separation (CRR3 Art 314(5))</w:t>
            </w:r>
          </w:p>
        </w:tc>
      </w:tr>
    </w:tbl>
    <w:p>
      <w:r>
        <w:br w:type="page"/>
      </w:r>
    </w:p>
    <w:p>
      <w:r>
        <w:rPr>
          <w:rFonts w:ascii="Calibri" w:hAnsi="Calibri"/>
          <w:b/>
          <w:color w:val="C8962E"/>
          <w:sz w:val="28"/>
        </w:rPr>
        <w:t>SECTION 13</w:t>
      </w:r>
    </w:p>
    <w:p>
      <w:r>
        <w:rPr>
          <w:rFonts w:ascii="Calibri" w:hAnsi="Calibri"/>
          <w:b/>
          <w:color w:val="002060"/>
          <w:sz w:val="32"/>
        </w:rPr>
        <w:t>Securitization: SEC-SA (US), SEC-ERBA (UK/EU), STS &amp; Risk Retention</w:t>
      </w:r>
    </w:p>
    <w:p>
      <w:r>
        <w:rPr>
          <w:color w:val="C8962E"/>
          <w:sz w:val="12"/>
        </w:rPr>
        <w:t>________________________________________________________________________________________________________________________</w:t>
      </w:r>
    </w:p>
    <w:p>
      <w:r>
        <w:rPr>
          <w:rFonts w:ascii="Calibri" w:hAnsi="Calibri"/>
          <w:b/>
          <w:color w:val="002060"/>
          <w:sz w:val="22"/>
        </w:rPr>
        <w:t>13.1 Approach Hierarchy</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Primary Approach</w:t>
            </w:r>
          </w:p>
        </w:tc>
        <w:tc>
          <w:tcPr>
            <w:tcW w:type="dxa" w:w="3456"/>
            <w:shd w:fill="F2F2F2" w:val="clear"/>
          </w:tcPr>
          <w:p>
            <w:pPr>
              <w:jc w:val="left"/>
            </w:pPr>
            <w:r/>
            <w:r>
              <w:rPr>
                <w:rFonts w:ascii="Calibri" w:hAnsi="Calibri"/>
                <w:b w:val="0"/>
                <w:color w:val="000000"/>
                <w:sz w:val="16"/>
              </w:rPr>
              <w:t>SEC-SA ONLY. No SEC-ERBA (external ratings prohibited by Dodd-Frank 939A) and no SEC-IRBA; 'ERBA' in the NPR means the expanded risk-based approach, not the ratings-based securitization approach (ERBA NPR §__.132-133)</w:t>
            </w:r>
          </w:p>
        </w:tc>
        <w:tc>
          <w:tcPr>
            <w:tcW w:type="dxa" w:w="3456"/>
            <w:shd w:fill="F2F2F2" w:val="clear"/>
          </w:tcPr>
          <w:p>
            <w:pPr>
              <w:jc w:val="left"/>
            </w:pPr>
            <w:r/>
            <w:r>
              <w:rPr>
                <w:rFonts w:ascii="Calibri" w:hAnsi="Calibri"/>
                <w:b w:val="0"/>
                <w:color w:val="000000"/>
                <w:sz w:val="16"/>
              </w:rPr>
              <w:t>SEC-IRBA &gt; SEC-ERBA &gt; SEC-SA hierarchy (PS1/26 Ch.10.1)</w:t>
            </w:r>
          </w:p>
        </w:tc>
        <w:tc>
          <w:tcPr>
            <w:tcW w:type="dxa" w:w="3456"/>
            <w:shd w:fill="F2F2F2" w:val="clear"/>
          </w:tcPr>
          <w:p>
            <w:pPr>
              <w:jc w:val="left"/>
            </w:pPr>
            <w:r/>
            <w:r>
              <w:rPr>
                <w:rFonts w:ascii="Calibri" w:hAnsi="Calibri"/>
                <w:b w:val="0"/>
                <w:color w:val="000000"/>
                <w:sz w:val="16"/>
              </w:rPr>
              <w:t>SEC-IRBA &gt; SEC-ERBA &gt; SEC-SA hierarchy (CRR3 Art 254)</w:t>
            </w:r>
          </w:p>
        </w:tc>
      </w:tr>
      <w:tr>
        <w:tc>
          <w:tcPr>
            <w:tcW w:type="dxa" w:w="3456"/>
            <w:shd w:fill="FFFFFF" w:val="clear"/>
          </w:tcPr>
          <w:p>
            <w:pPr>
              <w:jc w:val="left"/>
            </w:pPr>
            <w:r/>
            <w:r>
              <w:rPr>
                <w:rFonts w:ascii="Calibri" w:hAnsi="Calibri"/>
                <w:b/>
                <w:color w:val="000000"/>
                <w:sz w:val="16"/>
              </w:rPr>
              <w:t>SEC-IRBA Availability</w:t>
            </w:r>
          </w:p>
        </w:tc>
        <w:tc>
          <w:tcPr>
            <w:tcW w:type="dxa" w:w="3456"/>
            <w:shd w:fill="FFFFFF" w:val="clear"/>
          </w:tcPr>
          <w:p>
            <w:pPr>
              <w:jc w:val="left"/>
            </w:pPr>
            <w:r/>
            <w:r>
              <w:rPr>
                <w:rFonts w:ascii="Calibri" w:hAnsi="Calibri"/>
                <w:b w:val="0"/>
                <w:color w:val="000000"/>
                <w:sz w:val="16"/>
              </w:rPr>
              <w:t>N/A (no IRB in US) (ERBA NPR §__.132)</w:t>
            </w:r>
          </w:p>
        </w:tc>
        <w:tc>
          <w:tcPr>
            <w:tcW w:type="dxa" w:w="3456"/>
            <w:shd w:fill="FFFFFF" w:val="clear"/>
          </w:tcPr>
          <w:p>
            <w:pPr>
              <w:jc w:val="left"/>
            </w:pPr>
            <w:r/>
            <w:r>
              <w:rPr>
                <w:rFonts w:ascii="Calibri" w:hAnsi="Calibri"/>
                <w:b w:val="0"/>
                <w:color w:val="000000"/>
                <w:sz w:val="16"/>
              </w:rPr>
              <w:t>Available if IRB approved for underlying pool (PS1/26 Ch.10.1)</w:t>
            </w:r>
          </w:p>
        </w:tc>
        <w:tc>
          <w:tcPr>
            <w:tcW w:type="dxa" w:w="3456"/>
            <w:shd w:fill="FFFFFF" w:val="clear"/>
          </w:tcPr>
          <w:p>
            <w:pPr>
              <w:jc w:val="left"/>
            </w:pPr>
            <w:r/>
            <w:r>
              <w:rPr>
                <w:rFonts w:ascii="Calibri" w:hAnsi="Calibri"/>
                <w:b w:val="0"/>
                <w:color w:val="000000"/>
                <w:sz w:val="16"/>
              </w:rPr>
              <w:t>Available if IRB approved (CRR3 Art 259)</w:t>
            </w:r>
          </w:p>
        </w:tc>
      </w:tr>
      <w:tr>
        <w:tc>
          <w:tcPr>
            <w:tcW w:type="dxa" w:w="3456"/>
            <w:shd w:fill="F2F2F2" w:val="clear"/>
          </w:tcPr>
          <w:p>
            <w:pPr>
              <w:jc w:val="left"/>
            </w:pPr>
            <w:r/>
            <w:r>
              <w:rPr>
                <w:rFonts w:ascii="Calibri" w:hAnsi="Calibri"/>
                <w:b/>
                <w:color w:val="000000"/>
                <w:sz w:val="16"/>
              </w:rPr>
              <w:t>SEC-SA Formula</w:t>
            </w:r>
          </w:p>
        </w:tc>
        <w:tc>
          <w:tcPr>
            <w:tcW w:type="dxa" w:w="3456"/>
            <w:shd w:fill="F2F2F2" w:val="clear"/>
          </w:tcPr>
          <w:p>
            <w:pPr>
              <w:jc w:val="left"/>
            </w:pPr>
            <w:r/>
            <w:r>
              <w:rPr>
                <w:rFonts w:ascii="Calibri" w:hAnsi="Calibri"/>
                <w:b w:val="0"/>
                <w:color w:val="000000"/>
                <w:sz w:val="16"/>
              </w:rPr>
              <w:t>K_A = (1-W) x K_G + W x 0.5; K_G = weighted-average capital requirement of underlying exposures (100% RW = 0.08); W = delinquent share (90+ dpd, bankruptcy, foreclosure, REO, deferred 90+, default); K_SSFA = (e^(au) - e^(al)) / (a(u-l)), a = -1/(p x K_A), p = 0.5 (1.5 resecuritization); straddle blend for A &lt; K_A &lt; D (ERBA NPR §__.133)</w:t>
            </w:r>
          </w:p>
        </w:tc>
        <w:tc>
          <w:tcPr>
            <w:tcW w:type="dxa" w:w="3456"/>
            <w:shd w:fill="F2F2F2" w:val="clear"/>
          </w:tcPr>
          <w:p>
            <w:pPr>
              <w:jc w:val="left"/>
            </w:pPr>
            <w:r/>
            <w:r>
              <w:rPr>
                <w:rFonts w:ascii="Calibri" w:hAnsi="Calibri"/>
                <w:b w:val="0"/>
                <w:color w:val="000000"/>
                <w:sz w:val="16"/>
              </w:rPr>
              <w:t>Same formula (PS1/26 Ch.10.2)</w:t>
            </w:r>
          </w:p>
        </w:tc>
        <w:tc>
          <w:tcPr>
            <w:tcW w:type="dxa" w:w="3456"/>
            <w:shd w:fill="F2F2F2" w:val="clear"/>
          </w:tcPr>
          <w:p>
            <w:pPr>
              <w:jc w:val="left"/>
            </w:pPr>
            <w:r/>
            <w:r>
              <w:rPr>
                <w:rFonts w:ascii="Calibri" w:hAnsi="Calibri"/>
                <w:b w:val="0"/>
                <w:color w:val="000000"/>
                <w:sz w:val="16"/>
              </w:rPr>
              <w:t>Same formula (CRR3 Art 261)</w:t>
            </w:r>
          </w:p>
        </w:tc>
      </w:tr>
      <w:tr>
        <w:tc>
          <w:tcPr>
            <w:tcW w:type="dxa" w:w="3456"/>
            <w:shd w:fill="FFFFFF" w:val="clear"/>
          </w:tcPr>
          <w:p>
            <w:pPr>
              <w:jc w:val="left"/>
            </w:pPr>
            <w:r/>
            <w:r>
              <w:rPr>
                <w:rFonts w:ascii="Calibri" w:hAnsi="Calibri"/>
                <w:b/>
                <w:color w:val="000000"/>
                <w:sz w:val="16"/>
              </w:rPr>
              <w:t>SEC-ERBA RWs</w:t>
            </w:r>
          </w:p>
        </w:tc>
        <w:tc>
          <w:tcPr>
            <w:tcW w:type="dxa" w:w="3456"/>
            <w:shd w:fill="FFFFFF" w:val="clear"/>
          </w:tcPr>
          <w:p>
            <w:pPr>
              <w:jc w:val="left"/>
            </w:pPr>
            <w:r/>
            <w:r>
              <w:rPr>
                <w:rFonts w:ascii="Calibri" w:hAnsi="Calibri"/>
                <w:b w:val="0"/>
                <w:color w:val="000000"/>
                <w:sz w:val="16"/>
              </w:rPr>
              <w:t>N/A - US does not use the external ratings-based approach (ERBA NPR §__.132)</w:t>
            </w:r>
          </w:p>
        </w:tc>
        <w:tc>
          <w:tcPr>
            <w:tcW w:type="dxa" w:w="3456"/>
            <w:shd w:fill="FFFFFF" w:val="clear"/>
          </w:tcPr>
          <w:p>
            <w:pPr>
              <w:jc w:val="left"/>
            </w:pPr>
            <w:r/>
            <w:r>
              <w:rPr>
                <w:rFonts w:ascii="Calibri" w:hAnsi="Calibri"/>
                <w:b w:val="0"/>
                <w:color w:val="000000"/>
                <w:sz w:val="16"/>
              </w:rPr>
              <w:t>Same RW tables (PS1/26 Ch.10.3)</w:t>
            </w:r>
          </w:p>
        </w:tc>
        <w:tc>
          <w:tcPr>
            <w:tcW w:type="dxa" w:w="3456"/>
            <w:shd w:fill="FFFFFF" w:val="clear"/>
          </w:tcPr>
          <w:p>
            <w:pPr>
              <w:jc w:val="left"/>
            </w:pPr>
            <w:r/>
            <w:r>
              <w:rPr>
                <w:rFonts w:ascii="Calibri" w:hAnsi="Calibri"/>
                <w:b w:val="0"/>
                <w:color w:val="000000"/>
                <w:sz w:val="16"/>
              </w:rPr>
              <w:t>Same RW tables (CRR3 Art 263 Table 1-2)</w:t>
            </w:r>
          </w:p>
        </w:tc>
      </w:tr>
      <w:tr>
        <w:tc>
          <w:tcPr>
            <w:tcW w:type="dxa" w:w="3456"/>
            <w:shd w:fill="F2F2F2" w:val="clear"/>
          </w:tcPr>
          <w:p>
            <w:pPr>
              <w:jc w:val="left"/>
            </w:pPr>
            <w:r/>
            <w:r>
              <w:rPr>
                <w:rFonts w:ascii="Calibri" w:hAnsi="Calibri"/>
                <w:b/>
                <w:color w:val="000000"/>
                <w:sz w:val="16"/>
              </w:rPr>
              <w:t>RW Floor</w:t>
            </w:r>
          </w:p>
        </w:tc>
        <w:tc>
          <w:tcPr>
            <w:tcW w:type="dxa" w:w="3456"/>
            <w:shd w:fill="F2F2F2" w:val="clear"/>
          </w:tcPr>
          <w:p>
            <w:pPr>
              <w:jc w:val="left"/>
            </w:pPr>
            <w:r/>
            <w:r>
              <w:rPr>
                <w:rFonts w:ascii="Calibri" w:hAnsi="Calibri"/>
                <w:b w:val="0"/>
                <w:color w:val="000000"/>
                <w:sz w:val="16"/>
              </w:rPr>
              <w:t>15%; 100% for resecuritizations and NPL securitizations; senior look-through floor 15%; NPL senior tranche 100% if non-refundable purchase price discount &gt;= 50% (ERBA NPR §__.132-133; P.178-183)</w:t>
            </w:r>
          </w:p>
        </w:tc>
        <w:tc>
          <w:tcPr>
            <w:tcW w:type="dxa" w:w="3456"/>
            <w:shd w:fill="F2F2F2" w:val="clear"/>
          </w:tcPr>
          <w:p>
            <w:pPr>
              <w:jc w:val="left"/>
            </w:pPr>
            <w:r/>
            <w:r>
              <w:rPr>
                <w:rFonts w:ascii="Calibri" w:hAnsi="Calibri"/>
                <w:b w:val="0"/>
                <w:color w:val="000000"/>
                <w:sz w:val="16"/>
              </w:rPr>
              <w:t>15% (PS1/26 Ch.10.4)</w:t>
            </w:r>
          </w:p>
        </w:tc>
        <w:tc>
          <w:tcPr>
            <w:tcW w:type="dxa" w:w="3456"/>
            <w:shd w:fill="F2F2F2" w:val="clear"/>
          </w:tcPr>
          <w:p>
            <w:pPr>
              <w:jc w:val="left"/>
            </w:pPr>
            <w:r/>
            <w:r>
              <w:rPr>
                <w:rFonts w:ascii="Calibri" w:hAnsi="Calibri"/>
                <w:b w:val="0"/>
                <w:color w:val="000000"/>
                <w:sz w:val="16"/>
              </w:rPr>
              <w:t>15% (CRR3 Art 267)</w:t>
            </w:r>
          </w:p>
        </w:tc>
      </w:tr>
      <w:tr>
        <w:tc>
          <w:tcPr>
            <w:tcW w:type="dxa" w:w="3456"/>
            <w:shd w:fill="FFFFFF" w:val="clear"/>
          </w:tcPr>
          <w:p>
            <w:pPr>
              <w:jc w:val="left"/>
            </w:pPr>
            <w:r/>
            <w:r>
              <w:rPr>
                <w:rFonts w:ascii="Calibri" w:hAnsi="Calibri"/>
                <w:b/>
                <w:color w:val="000000"/>
                <w:sz w:val="16"/>
              </w:rPr>
              <w:t>1250% RW Cap</w:t>
            </w:r>
          </w:p>
        </w:tc>
        <w:tc>
          <w:tcPr>
            <w:tcW w:type="dxa" w:w="3456"/>
            <w:shd w:fill="FFFFFF" w:val="clear"/>
          </w:tcPr>
          <w:p>
            <w:pPr>
              <w:jc w:val="left"/>
            </w:pPr>
            <w:r/>
            <w:r>
              <w:rPr>
                <w:rFonts w:ascii="Calibri" w:hAnsi="Calibri"/>
                <w:b w:val="0"/>
                <w:color w:val="000000"/>
                <w:sz w:val="16"/>
              </w:rPr>
              <w:t>1,250% risk weight (not a CET1 deduction) when D &lt;= K_A, when SEC-SA cannot be applied, or when due diligence fails; CEIO strips (non-gain-on-sale portion) deducted from CET1 (ERBA NPR §__.131-133; P.162, P.180)</w:t>
            </w:r>
          </w:p>
        </w:tc>
        <w:tc>
          <w:tcPr>
            <w:tcW w:type="dxa" w:w="3456"/>
            <w:shd w:fill="FFFFFF" w:val="clear"/>
          </w:tcPr>
          <w:p>
            <w:pPr>
              <w:jc w:val="left"/>
            </w:pPr>
            <w:r/>
            <w:r>
              <w:rPr>
                <w:rFonts w:ascii="Calibri" w:hAnsi="Calibri"/>
                <w:b w:val="0"/>
                <w:color w:val="000000"/>
                <w:sz w:val="16"/>
              </w:rPr>
              <w:t>Same (PS1/26 Ch.10.4)</w:t>
            </w:r>
          </w:p>
        </w:tc>
        <w:tc>
          <w:tcPr>
            <w:tcW w:type="dxa" w:w="3456"/>
            <w:shd w:fill="FFFFFF" w:val="clear"/>
          </w:tcPr>
          <w:p>
            <w:pPr>
              <w:jc w:val="left"/>
            </w:pPr>
            <w:r/>
            <w:r>
              <w:rPr>
                <w:rFonts w:ascii="Calibri" w:hAnsi="Calibri"/>
                <w:b w:val="0"/>
                <w:color w:val="000000"/>
                <w:sz w:val="16"/>
              </w:rPr>
              <w:t>Same (CRR3 Art 267)</w:t>
            </w:r>
          </w:p>
        </w:tc>
      </w:tr>
    </w:tbl>
    <w:p>
      <w:r>
        <w:rPr>
          <w:rFonts w:ascii="Calibri" w:hAnsi="Calibri"/>
          <w:b/>
          <w:color w:val="002060"/>
          <w:sz w:val="22"/>
        </w:rPr>
        <w:t>13.2 STS Framework (Simple, Transparent, Standardized)</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STS Framework</w:t>
            </w:r>
          </w:p>
        </w:tc>
        <w:tc>
          <w:tcPr>
            <w:tcW w:type="dxa" w:w="3456"/>
            <w:shd w:fill="F2F2F2" w:val="clear"/>
          </w:tcPr>
          <w:p>
            <w:pPr>
              <w:jc w:val="left"/>
            </w:pPr>
            <w:r/>
            <w:r>
              <w:rPr>
                <w:rFonts w:ascii="Calibri" w:hAnsi="Calibri"/>
                <w:b w:val="0"/>
                <w:color w:val="000000"/>
                <w:sz w:val="16"/>
              </w:rPr>
              <w:t>NOT adopted in US (ERBA NPR §__.133: single p = 0.5 and 15% floor; no STC/STS preferential treatment)</w:t>
            </w:r>
          </w:p>
        </w:tc>
        <w:tc>
          <w:tcPr>
            <w:tcW w:type="dxa" w:w="3456"/>
            <w:shd w:fill="F2F2F2" w:val="clear"/>
          </w:tcPr>
          <w:p>
            <w:pPr>
              <w:jc w:val="left"/>
            </w:pPr>
            <w:r/>
            <w:r>
              <w:rPr>
                <w:rFonts w:ascii="Calibri" w:hAnsi="Calibri"/>
                <w:b w:val="0"/>
                <w:color w:val="000000"/>
                <w:sz w:val="16"/>
              </w:rPr>
              <w:t>STS framework adopted (PS1/26 Ch.10.5). UK STS designation via FCA</w:t>
            </w:r>
          </w:p>
        </w:tc>
        <w:tc>
          <w:tcPr>
            <w:tcW w:type="dxa" w:w="3456"/>
            <w:shd w:fill="F2F2F2" w:val="clear"/>
          </w:tcPr>
          <w:p>
            <w:pPr>
              <w:jc w:val="left"/>
            </w:pPr>
            <w:r/>
            <w:r>
              <w:rPr>
                <w:rFonts w:ascii="Calibri" w:hAnsi="Calibri"/>
                <w:b w:val="0"/>
                <w:color w:val="000000"/>
                <w:sz w:val="16"/>
              </w:rPr>
              <w:t>Full STS framework (CRR3 Art 242-270, Securitisation Reg 2017/2402). 10% RW floor for STS vs 15% for non-STS</w:t>
            </w:r>
          </w:p>
        </w:tc>
      </w:tr>
      <w:tr>
        <w:tc>
          <w:tcPr>
            <w:tcW w:type="dxa" w:w="3456"/>
            <w:shd w:fill="FFFFFF" w:val="clear"/>
          </w:tcPr>
          <w:p>
            <w:pPr>
              <w:jc w:val="left"/>
            </w:pPr>
            <w:r/>
            <w:r>
              <w:rPr>
                <w:rFonts w:ascii="Calibri" w:hAnsi="Calibri"/>
                <w:b/>
                <w:color w:val="000000"/>
                <w:sz w:val="16"/>
              </w:rPr>
              <w:t>STS RW Floor</w:t>
            </w:r>
          </w:p>
        </w:tc>
        <w:tc>
          <w:tcPr>
            <w:tcW w:type="dxa" w:w="3456"/>
            <w:shd w:fill="FFFFFF" w:val="clear"/>
          </w:tcPr>
          <w:p>
            <w:pPr>
              <w:jc w:val="left"/>
            </w:pPr>
            <w:r/>
            <w:r>
              <w:rPr>
                <w:rFonts w:ascii="Calibri" w:hAnsi="Calibri"/>
                <w:b w:val="0"/>
                <w:color w:val="000000"/>
                <w:sz w:val="16"/>
              </w:rPr>
              <w:t>N/A (15% floor for all non-resecuritization exposures) (ERBA NPR §__.133)</w:t>
            </w:r>
          </w:p>
        </w:tc>
        <w:tc>
          <w:tcPr>
            <w:tcW w:type="dxa" w:w="3456"/>
            <w:shd w:fill="FFFFFF" w:val="clear"/>
          </w:tcPr>
          <w:p>
            <w:pPr>
              <w:jc w:val="left"/>
            </w:pPr>
            <w:r/>
            <w:r>
              <w:rPr>
                <w:rFonts w:ascii="Calibri" w:hAnsi="Calibri"/>
                <w:b w:val="0"/>
                <w:color w:val="000000"/>
                <w:sz w:val="16"/>
              </w:rPr>
              <w:t>10% for qualifying STS tranches (PS1/26 Ch.10.5)</w:t>
            </w:r>
          </w:p>
        </w:tc>
        <w:tc>
          <w:tcPr>
            <w:tcW w:type="dxa" w:w="3456"/>
            <w:shd w:fill="FFFFFF" w:val="clear"/>
          </w:tcPr>
          <w:p>
            <w:pPr>
              <w:jc w:val="left"/>
            </w:pPr>
            <w:r/>
            <w:r>
              <w:rPr>
                <w:rFonts w:ascii="Calibri" w:hAnsi="Calibri"/>
                <w:b w:val="0"/>
                <w:color w:val="000000"/>
                <w:sz w:val="16"/>
              </w:rPr>
              <w:t>10% for qualifying STS tranches (CRR3 Art 260)</w:t>
            </w:r>
          </w:p>
        </w:tc>
      </w:tr>
      <w:tr>
        <w:tc>
          <w:tcPr>
            <w:tcW w:type="dxa" w:w="3456"/>
            <w:shd w:fill="F2F2F2" w:val="clear"/>
          </w:tcPr>
          <w:p>
            <w:pPr>
              <w:jc w:val="left"/>
            </w:pPr>
            <w:r/>
            <w:r>
              <w:rPr>
                <w:rFonts w:ascii="Calibri" w:hAnsi="Calibri"/>
                <w:b/>
                <w:color w:val="000000"/>
                <w:sz w:val="16"/>
              </w:rPr>
              <w:t>STS Criteria</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Simplicity (true sale, homogeneous pool, no active management), Transparency (investor reporting), Standardised (risk retention, documentation) (PS1/26 Ch.10.5)</w:t>
            </w:r>
          </w:p>
        </w:tc>
        <w:tc>
          <w:tcPr>
            <w:tcW w:type="dxa" w:w="3456"/>
            <w:shd w:fill="F2F2F2" w:val="clear"/>
          </w:tcPr>
          <w:p>
            <w:pPr>
              <w:jc w:val="left"/>
            </w:pPr>
            <w:r/>
            <w:r>
              <w:rPr>
                <w:rFonts w:ascii="Calibri" w:hAnsi="Calibri"/>
                <w:b w:val="0"/>
                <w:color w:val="000000"/>
                <w:sz w:val="16"/>
              </w:rPr>
              <w:t>21 criteria across simplicity/transparency/standardization (Securitisation Reg Art 19-22)</w:t>
            </w:r>
          </w:p>
        </w:tc>
      </w:tr>
      <w:tr>
        <w:tc>
          <w:tcPr>
            <w:tcW w:type="dxa" w:w="3456"/>
            <w:shd w:fill="FFFFFF" w:val="clear"/>
          </w:tcPr>
          <w:p>
            <w:pPr>
              <w:jc w:val="left"/>
            </w:pPr>
            <w:r/>
            <w:r>
              <w:rPr>
                <w:rFonts w:ascii="Calibri" w:hAnsi="Calibri"/>
                <w:b/>
                <w:color w:val="000000"/>
                <w:sz w:val="16"/>
              </w:rPr>
              <w:t>Capital Impact</w:t>
            </w:r>
          </w:p>
        </w:tc>
        <w:tc>
          <w:tcPr>
            <w:tcW w:type="dxa" w:w="3456"/>
            <w:shd w:fill="FFFFFF" w:val="clear"/>
          </w:tcPr>
          <w:p>
            <w:pPr>
              <w:jc w:val="left"/>
            </w:pPr>
            <w:r/>
            <w:r>
              <w:rPr>
                <w:rFonts w:ascii="Calibri" w:hAnsi="Calibri"/>
                <w:b w:val="0"/>
                <w:color w:val="000000"/>
                <w:sz w:val="16"/>
              </w:rPr>
              <w:t>US banks face 5pp higher floor vs UK/EU for qualifying senior STS tranches</w:t>
            </w:r>
          </w:p>
        </w:tc>
        <w:tc>
          <w:tcPr>
            <w:tcW w:type="dxa" w:w="3456"/>
            <w:shd w:fill="FFFFFF" w:val="clear"/>
          </w:tcPr>
          <w:p>
            <w:pPr>
              <w:jc w:val="left"/>
            </w:pPr>
            <w:r/>
            <w:r>
              <w:rPr>
                <w:rFonts w:ascii="Calibri" w:hAnsi="Calibri"/>
                <w:b w:val="0"/>
                <w:color w:val="000000"/>
                <w:sz w:val="16"/>
              </w:rPr>
              <w:t>5pp lower floor for STS tranches</w:t>
            </w:r>
          </w:p>
        </w:tc>
        <w:tc>
          <w:tcPr>
            <w:tcW w:type="dxa" w:w="3456"/>
            <w:shd w:fill="FFFFFF" w:val="clear"/>
          </w:tcPr>
          <w:p>
            <w:pPr>
              <w:jc w:val="left"/>
            </w:pPr>
            <w:r/>
            <w:r>
              <w:rPr>
                <w:rFonts w:ascii="Calibri" w:hAnsi="Calibri"/>
                <w:b w:val="0"/>
                <w:color w:val="000000"/>
                <w:sz w:val="16"/>
              </w:rPr>
              <w:t>5pp lower floor for STS tranches</w:t>
            </w:r>
          </w:p>
        </w:tc>
      </w:tr>
      <w:tr>
        <w:tc>
          <w:tcPr>
            <w:tcW w:type="dxa" w:w="3456"/>
            <w:shd w:fill="F2F2F2" w:val="clear"/>
          </w:tcPr>
          <w:p>
            <w:pPr>
              <w:jc w:val="left"/>
            </w:pPr>
            <w:r/>
            <w:r>
              <w:rPr>
                <w:rFonts w:ascii="Calibri" w:hAnsi="Calibri"/>
                <w:b/>
                <w:color w:val="000000"/>
                <w:sz w:val="16"/>
              </w:rPr>
              <w:t>Risk Retention</w:t>
            </w:r>
          </w:p>
        </w:tc>
        <w:tc>
          <w:tcPr>
            <w:tcW w:type="dxa" w:w="3456"/>
            <w:shd w:fill="F2F2F2" w:val="clear"/>
          </w:tcPr>
          <w:p>
            <w:pPr>
              <w:jc w:val="left"/>
            </w:pPr>
            <w:r/>
            <w:r>
              <w:rPr>
                <w:rFonts w:ascii="Calibri" w:hAnsi="Calibri"/>
                <w:b w:val="0"/>
                <w:color w:val="000000"/>
                <w:sz w:val="16"/>
              </w:rPr>
              <w:t>5% minimum retention by sponsor per Regulation RR (Dodd-Frank §941) - not part of the capital NPR. Vertical slice, horizontal first-loss, or L-shaped</w:t>
            </w:r>
          </w:p>
        </w:tc>
        <w:tc>
          <w:tcPr>
            <w:tcW w:type="dxa" w:w="3456"/>
            <w:shd w:fill="F2F2F2" w:val="clear"/>
          </w:tcPr>
          <w:p>
            <w:pPr>
              <w:jc w:val="left"/>
            </w:pPr>
            <w:r/>
            <w:r>
              <w:rPr>
                <w:rFonts w:ascii="Calibri" w:hAnsi="Calibri"/>
                <w:b w:val="0"/>
                <w:color w:val="000000"/>
                <w:sz w:val="16"/>
              </w:rPr>
              <w:t>5% retention (PS1/26 Ch.10.6)</w:t>
            </w:r>
          </w:p>
        </w:tc>
        <w:tc>
          <w:tcPr>
            <w:tcW w:type="dxa" w:w="3456"/>
            <w:shd w:fill="F2F2F2" w:val="clear"/>
          </w:tcPr>
          <w:p>
            <w:pPr>
              <w:jc w:val="left"/>
            </w:pPr>
            <w:r/>
            <w:r>
              <w:rPr>
                <w:rFonts w:ascii="Calibri" w:hAnsi="Calibri"/>
                <w:b w:val="0"/>
                <w:color w:val="000000"/>
                <w:sz w:val="16"/>
              </w:rPr>
              <w:t>5% retention (Securitisation Reg Art 6)</w:t>
            </w:r>
          </w:p>
        </w:tc>
      </w:tr>
      <w:tr>
        <w:tc>
          <w:tcPr>
            <w:tcW w:type="dxa" w:w="3456"/>
            <w:shd w:fill="FFFFFF" w:val="clear"/>
          </w:tcPr>
          <w:p>
            <w:pPr>
              <w:jc w:val="left"/>
            </w:pPr>
            <w:r/>
            <w:r>
              <w:rPr>
                <w:rFonts w:ascii="Calibri" w:hAnsi="Calibri"/>
                <w:b/>
                <w:color w:val="000000"/>
                <w:sz w:val="16"/>
              </w:rPr>
              <w:t>SRT Assessment</w:t>
            </w:r>
          </w:p>
        </w:tc>
        <w:tc>
          <w:tcPr>
            <w:tcW w:type="dxa" w:w="3456"/>
            <w:shd w:fill="FFFFFF" w:val="clear"/>
          </w:tcPr>
          <w:p>
            <w:pPr>
              <w:jc w:val="left"/>
            </w:pPr>
            <w:r/>
            <w:r>
              <w:rPr>
                <w:rFonts w:ascii="Calibri" w:hAnsi="Calibri"/>
                <w:b w:val="0"/>
                <w:color w:val="000000"/>
                <w:sz w:val="16"/>
              </w:rPr>
              <w:t>Operational requirements for traditional and synthetic securitizations (transfer of credit risk, clean-up calls, due diligence) retained; failure =&gt; 1,250% RW (ERBA NPR §__.131)</w:t>
            </w:r>
          </w:p>
        </w:tc>
        <w:tc>
          <w:tcPr>
            <w:tcW w:type="dxa" w:w="3456"/>
            <w:shd w:fill="FFFFFF" w:val="clear"/>
          </w:tcPr>
          <w:p>
            <w:pPr>
              <w:jc w:val="left"/>
            </w:pPr>
            <w:r/>
            <w:r>
              <w:rPr>
                <w:rFonts w:ascii="Calibri" w:hAnsi="Calibri"/>
                <w:b w:val="0"/>
                <w:color w:val="000000"/>
                <w:sz w:val="16"/>
              </w:rPr>
              <w:t>SRT assessed by PRA (PS1/26 Ch.10.7)</w:t>
            </w:r>
          </w:p>
        </w:tc>
        <w:tc>
          <w:tcPr>
            <w:tcW w:type="dxa" w:w="3456"/>
            <w:shd w:fill="FFFFFF" w:val="clear"/>
          </w:tcPr>
          <w:p>
            <w:pPr>
              <w:jc w:val="left"/>
            </w:pPr>
            <w:r/>
            <w:r>
              <w:rPr>
                <w:rFonts w:ascii="Calibri" w:hAnsi="Calibri"/>
                <w:b w:val="0"/>
                <w:color w:val="000000"/>
                <w:sz w:val="16"/>
              </w:rPr>
              <w:t>SRT criteria per CRR3 Art 244-245</w:t>
            </w:r>
          </w:p>
        </w:tc>
      </w:tr>
    </w:tbl>
    <w:p>
      <w:r>
        <w:br w:type="page"/>
      </w:r>
    </w:p>
    <w:p>
      <w:r>
        <w:rPr>
          <w:rFonts w:ascii="Calibri" w:hAnsi="Calibri"/>
          <w:b/>
          <w:color w:val="C8962E"/>
          <w:sz w:val="28"/>
        </w:rPr>
        <w:t>SECTION 14</w:t>
      </w:r>
    </w:p>
    <w:p>
      <w:r>
        <w:rPr>
          <w:rFonts w:ascii="Calibri" w:hAnsi="Calibri"/>
          <w:b/>
          <w:color w:val="002060"/>
          <w:sz w:val="32"/>
        </w:rPr>
        <w:t>IRB Comparison: PD/LGD Floors, Correlation &amp; Output Floor</w:t>
      </w:r>
    </w:p>
    <w:p>
      <w:r>
        <w:rPr>
          <w:color w:val="C8962E"/>
          <w:sz w:val="12"/>
        </w:rPr>
        <w:t>________________________________________________________________________________________________________________________</w:t>
      </w:r>
    </w:p>
    <w:p>
      <w:r>
        <w:rPr>
          <w:rFonts w:ascii="Calibri" w:hAnsi="Calibri"/>
          <w:color w:val="000000"/>
          <w:sz w:val="18"/>
        </w:rPr>
        <w:t>The US has eliminated the IRB approach entirely. This section compares UK/EU IRB parameters for reference, as many global banks operate under both regimes.</w:t>
      </w:r>
    </w:p>
    <w:p>
      <w:r>
        <w:rPr>
          <w:rFonts w:ascii="Calibri" w:hAnsi="Calibri"/>
          <w:b/>
          <w:color w:val="002060"/>
          <w:sz w:val="22"/>
        </w:rPr>
        <w:t>14.1 PD Input Floors by Exposure Class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Exposure Class</w:t>
            </w:r>
          </w:p>
        </w:tc>
        <w:tc>
          <w:tcPr>
            <w:tcW w:type="dxa" w:w="3456"/>
            <w:shd w:fill="002060" w:val="clear"/>
            <w:tcW w:w="3600" w:type="dxa"/>
          </w:tcPr>
          <w:p>
            <w:pPr>
              <w:jc w:val="center"/>
            </w:pPr>
            <w:r/>
            <w:r>
              <w:rPr>
                <w:rFonts w:ascii="Calibri" w:hAnsi="Calibri"/>
                <w:b/>
                <w:color w:val="FFFFFF"/>
                <w:sz w:val="16"/>
              </w:rPr>
              <w:t>US (ERBA)</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w:t>
            </w:r>
          </w:p>
        </w:tc>
      </w:tr>
      <w:tr>
        <w:tc>
          <w:tcPr>
            <w:tcW w:type="dxa" w:w="3456"/>
            <w:shd w:fill="F2F2F2" w:val="clear"/>
          </w:tcPr>
          <w:p>
            <w:pPr>
              <w:jc w:val="left"/>
            </w:pPr>
            <w:r/>
            <w:r>
              <w:rPr>
                <w:rFonts w:ascii="Calibri" w:hAnsi="Calibri"/>
                <w:b/>
                <w:color w:val="000000"/>
                <w:sz w:val="16"/>
              </w:rPr>
              <w:t>Corporate</w:t>
            </w:r>
          </w:p>
        </w:tc>
        <w:tc>
          <w:tcPr>
            <w:tcW w:type="dxa" w:w="3456"/>
            <w:shd w:fill="F2F2F2" w:val="clear"/>
          </w:tcPr>
          <w:p>
            <w:pPr>
              <w:jc w:val="left"/>
            </w:pPr>
            <w:r/>
            <w:r>
              <w:rPr>
                <w:rFonts w:ascii="Calibri" w:hAnsi="Calibri"/>
                <w:b w:val="0"/>
                <w:color w:val="000000"/>
                <w:sz w:val="16"/>
              </w:rPr>
              <w:t>N/A - IRB eliminated (ERBA P.12)</w:t>
            </w:r>
          </w:p>
        </w:tc>
        <w:tc>
          <w:tcPr>
            <w:tcW w:type="dxa" w:w="3456"/>
            <w:shd w:fill="F2F2F2" w:val="clear"/>
          </w:tcPr>
          <w:p>
            <w:pPr>
              <w:jc w:val="left"/>
            </w:pPr>
            <w:r/>
            <w:r>
              <w:rPr>
                <w:rFonts w:ascii="Calibri" w:hAnsi="Calibri"/>
                <w:b w:val="0"/>
                <w:color w:val="000000"/>
                <w:sz w:val="16"/>
              </w:rPr>
              <w:t>5bp (PS1/26 Ch.11 Table 11.1)</w:t>
            </w:r>
          </w:p>
        </w:tc>
        <w:tc>
          <w:tcPr>
            <w:tcW w:type="dxa" w:w="3456"/>
            <w:shd w:fill="F2F2F2" w:val="clear"/>
          </w:tcPr>
          <w:p>
            <w:pPr>
              <w:jc w:val="left"/>
            </w:pPr>
            <w:r/>
            <w:r>
              <w:rPr>
                <w:rFonts w:ascii="Calibri" w:hAnsi="Calibri"/>
                <w:b w:val="0"/>
                <w:color w:val="000000"/>
                <w:sz w:val="16"/>
              </w:rPr>
              <w:t>5bp (CRR3 Art 160(1))</w:t>
            </w:r>
          </w:p>
        </w:tc>
      </w:tr>
      <w:tr>
        <w:tc>
          <w:tcPr>
            <w:tcW w:type="dxa" w:w="3456"/>
            <w:shd w:fill="FFFFFF" w:val="clear"/>
          </w:tcPr>
          <w:p>
            <w:pPr>
              <w:jc w:val="left"/>
            </w:pPr>
            <w:r/>
            <w:r>
              <w:rPr>
                <w:rFonts w:ascii="Calibri" w:hAnsi="Calibri"/>
                <w:b/>
                <w:color w:val="000000"/>
                <w:sz w:val="16"/>
              </w:rPr>
              <w:t>Corporate SME</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5bp (PS1/26 Ch.11 Table 11.1)</w:t>
            </w:r>
          </w:p>
        </w:tc>
        <w:tc>
          <w:tcPr>
            <w:tcW w:type="dxa" w:w="3456"/>
            <w:shd w:fill="FFFFFF" w:val="clear"/>
          </w:tcPr>
          <w:p>
            <w:pPr>
              <w:jc w:val="left"/>
            </w:pPr>
            <w:r/>
            <w:r>
              <w:rPr>
                <w:rFonts w:ascii="Calibri" w:hAnsi="Calibri"/>
                <w:b w:val="0"/>
                <w:color w:val="000000"/>
                <w:sz w:val="16"/>
              </w:rPr>
              <w:t>5bp (CRR3 Art 160(1))</w:t>
            </w:r>
          </w:p>
        </w:tc>
      </w:tr>
      <w:tr>
        <w:tc>
          <w:tcPr>
            <w:tcW w:type="dxa" w:w="3456"/>
            <w:shd w:fill="F2F2F2" w:val="clear"/>
          </w:tcPr>
          <w:p>
            <w:pPr>
              <w:jc w:val="left"/>
            </w:pPr>
            <w:r/>
            <w:r>
              <w:rPr>
                <w:rFonts w:ascii="Calibri" w:hAnsi="Calibri"/>
                <w:b/>
                <w:color w:val="000000"/>
                <w:sz w:val="16"/>
              </w:rPr>
              <w:t>Bank</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5bp (PS1/26 Ch.11 Table 11.1)</w:t>
            </w:r>
          </w:p>
        </w:tc>
        <w:tc>
          <w:tcPr>
            <w:tcW w:type="dxa" w:w="3456"/>
            <w:shd w:fill="F2F2F2" w:val="clear"/>
          </w:tcPr>
          <w:p>
            <w:pPr>
              <w:jc w:val="left"/>
            </w:pPr>
            <w:r/>
            <w:r>
              <w:rPr>
                <w:rFonts w:ascii="Calibri" w:hAnsi="Calibri"/>
                <w:b w:val="0"/>
                <w:color w:val="000000"/>
                <w:sz w:val="16"/>
              </w:rPr>
              <w:t>5bp (CRR3 Art 160(1))</w:t>
            </w:r>
          </w:p>
        </w:tc>
      </w:tr>
      <w:tr>
        <w:tc>
          <w:tcPr>
            <w:tcW w:type="dxa" w:w="3456"/>
            <w:shd w:fill="FFFFFF" w:val="clear"/>
          </w:tcPr>
          <w:p>
            <w:pPr>
              <w:jc w:val="left"/>
            </w:pPr>
            <w:r/>
            <w:r>
              <w:rPr>
                <w:rFonts w:ascii="Calibri" w:hAnsi="Calibri"/>
                <w:b/>
                <w:color w:val="000000"/>
                <w:sz w:val="16"/>
              </w:rPr>
              <w:t>Retail Mortgage</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5bp (PS1/26 Ch.11 Table 11.2)</w:t>
            </w:r>
          </w:p>
        </w:tc>
        <w:tc>
          <w:tcPr>
            <w:tcW w:type="dxa" w:w="3456"/>
            <w:shd w:fill="FFFFFF" w:val="clear"/>
          </w:tcPr>
          <w:p>
            <w:pPr>
              <w:jc w:val="left"/>
            </w:pPr>
            <w:r/>
            <w:r>
              <w:rPr>
                <w:rFonts w:ascii="Calibri" w:hAnsi="Calibri"/>
                <w:b w:val="0"/>
                <w:color w:val="000000"/>
                <w:sz w:val="16"/>
              </w:rPr>
              <w:t>5bp (CRR3 Art 163(4))</w:t>
            </w:r>
          </w:p>
        </w:tc>
      </w:tr>
      <w:tr>
        <w:tc>
          <w:tcPr>
            <w:tcW w:type="dxa" w:w="3456"/>
            <w:shd w:fill="F2F2F2" w:val="clear"/>
          </w:tcPr>
          <w:p>
            <w:pPr>
              <w:jc w:val="left"/>
            </w:pPr>
            <w:r/>
            <w:r>
              <w:rPr>
                <w:rFonts w:ascii="Calibri" w:hAnsi="Calibri"/>
                <w:b/>
                <w:color w:val="000000"/>
                <w:sz w:val="16"/>
              </w:rPr>
              <w:t>Retail QRRE</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10bp (PS1/26 Ch.11 Table 11.2)</w:t>
            </w:r>
          </w:p>
        </w:tc>
        <w:tc>
          <w:tcPr>
            <w:tcW w:type="dxa" w:w="3456"/>
            <w:shd w:fill="F2F2F2" w:val="clear"/>
          </w:tcPr>
          <w:p>
            <w:pPr>
              <w:jc w:val="left"/>
            </w:pPr>
            <w:r/>
            <w:r>
              <w:rPr>
                <w:rFonts w:ascii="Calibri" w:hAnsi="Calibri"/>
                <w:b w:val="0"/>
                <w:color w:val="000000"/>
                <w:sz w:val="16"/>
              </w:rPr>
              <w:t>10bp (CRR3 Art 163(4))</w:t>
            </w:r>
          </w:p>
        </w:tc>
      </w:tr>
      <w:tr>
        <w:tc>
          <w:tcPr>
            <w:tcW w:type="dxa" w:w="3456"/>
            <w:shd w:fill="FFFFFF" w:val="clear"/>
          </w:tcPr>
          <w:p>
            <w:pPr>
              <w:jc w:val="left"/>
            </w:pPr>
            <w:r/>
            <w:r>
              <w:rPr>
                <w:rFonts w:ascii="Calibri" w:hAnsi="Calibri"/>
                <w:b/>
                <w:color w:val="000000"/>
                <w:sz w:val="16"/>
              </w:rPr>
              <w:t>Retail Other</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5bp (PS1/26 Ch.11 Table 11.2)</w:t>
            </w:r>
          </w:p>
        </w:tc>
        <w:tc>
          <w:tcPr>
            <w:tcW w:type="dxa" w:w="3456"/>
            <w:shd w:fill="FFFFFF" w:val="clear"/>
          </w:tcPr>
          <w:p>
            <w:pPr>
              <w:jc w:val="left"/>
            </w:pPr>
            <w:r/>
            <w:r>
              <w:rPr>
                <w:rFonts w:ascii="Calibri" w:hAnsi="Calibri"/>
                <w:b w:val="0"/>
                <w:color w:val="000000"/>
                <w:sz w:val="16"/>
              </w:rPr>
              <w:t>5bp (CRR3 Art 163(4))</w:t>
            </w:r>
          </w:p>
        </w:tc>
      </w:tr>
      <w:tr>
        <w:tc>
          <w:tcPr>
            <w:tcW w:type="dxa" w:w="3456"/>
            <w:shd w:fill="F2F2F2" w:val="clear"/>
          </w:tcPr>
          <w:p>
            <w:pPr>
              <w:jc w:val="left"/>
            </w:pPr>
            <w:r/>
            <w:r>
              <w:rPr>
                <w:rFonts w:ascii="Calibri" w:hAnsi="Calibri"/>
                <w:b/>
                <w:color w:val="000000"/>
                <w:sz w:val="16"/>
              </w:rPr>
              <w:t>Sovereign</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3bp (PS1/26 Ch.11 Table 11.1)</w:t>
            </w:r>
          </w:p>
        </w:tc>
        <w:tc>
          <w:tcPr>
            <w:tcW w:type="dxa" w:w="3456"/>
            <w:shd w:fill="F2F2F2" w:val="clear"/>
          </w:tcPr>
          <w:p>
            <w:pPr>
              <w:jc w:val="left"/>
            </w:pPr>
            <w:r/>
            <w:r>
              <w:rPr>
                <w:rFonts w:ascii="Calibri" w:hAnsi="Calibri"/>
                <w:b w:val="0"/>
                <w:color w:val="000000"/>
                <w:sz w:val="16"/>
              </w:rPr>
              <w:t>3bp (CRR3 Art 160(1))</w:t>
            </w:r>
          </w:p>
        </w:tc>
      </w:tr>
    </w:tbl>
    <w:p>
      <w:r>
        <w:rPr>
          <w:rFonts w:ascii="Calibri" w:hAnsi="Calibri"/>
          <w:b/>
          <w:color w:val="002060"/>
          <w:sz w:val="22"/>
        </w:rPr>
        <w:t>14.2 LGD Input Floors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Exposure Class</w:t>
            </w:r>
          </w:p>
        </w:tc>
        <w:tc>
          <w:tcPr>
            <w:tcW w:type="dxa" w:w="3456"/>
            <w:shd w:fill="002060" w:val="clear"/>
            <w:tcW w:w="3600" w:type="dxa"/>
          </w:tcPr>
          <w:p>
            <w:pPr>
              <w:jc w:val="center"/>
            </w:pPr>
            <w:r/>
            <w:r>
              <w:rPr>
                <w:rFonts w:ascii="Calibri" w:hAnsi="Calibri"/>
                <w:b/>
                <w:color w:val="FFFFFF"/>
                <w:sz w:val="16"/>
              </w:rPr>
              <w:t>US (ERBA)</w:t>
            </w:r>
          </w:p>
        </w:tc>
        <w:tc>
          <w:tcPr>
            <w:tcW w:type="dxa" w:w="3456"/>
            <w:shd w:fill="002060" w:val="clear"/>
            <w:tcW w:w="3600" w:type="dxa"/>
          </w:tcPr>
          <w:p>
            <w:pPr>
              <w:jc w:val="center"/>
            </w:pPr>
            <w:r/>
            <w:r>
              <w:rPr>
                <w:rFonts w:ascii="Calibri" w:hAnsi="Calibri"/>
                <w:b/>
                <w:color w:val="FFFFFF"/>
                <w:sz w:val="16"/>
              </w:rPr>
              <w:t>UK A-IRB (PS1/26)</w:t>
            </w:r>
          </w:p>
        </w:tc>
        <w:tc>
          <w:tcPr>
            <w:tcW w:type="dxa" w:w="3456"/>
            <w:shd w:fill="002060" w:val="clear"/>
            <w:tcW w:w="3600" w:type="dxa"/>
          </w:tcPr>
          <w:p>
            <w:pPr>
              <w:jc w:val="center"/>
            </w:pPr>
            <w:r/>
            <w:r>
              <w:rPr>
                <w:rFonts w:ascii="Calibri" w:hAnsi="Calibri"/>
                <w:b/>
                <w:color w:val="FFFFFF"/>
                <w:sz w:val="16"/>
              </w:rPr>
              <w:t>EU A-IRB (CRR3)</w:t>
            </w:r>
          </w:p>
        </w:tc>
      </w:tr>
      <w:tr>
        <w:tc>
          <w:tcPr>
            <w:tcW w:type="dxa" w:w="3456"/>
            <w:shd w:fill="F2F2F2" w:val="clear"/>
          </w:tcPr>
          <w:p>
            <w:pPr>
              <w:jc w:val="left"/>
            </w:pPr>
            <w:r/>
            <w:r>
              <w:rPr>
                <w:rFonts w:ascii="Calibri" w:hAnsi="Calibri"/>
                <w:b/>
                <w:color w:val="000000"/>
                <w:sz w:val="16"/>
              </w:rPr>
              <w:t>Corporate Unsecured</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25% (PS1/26 Ch.11 Table 11.3)</w:t>
            </w:r>
          </w:p>
        </w:tc>
        <w:tc>
          <w:tcPr>
            <w:tcW w:type="dxa" w:w="3456"/>
            <w:shd w:fill="F2F2F2" w:val="clear"/>
          </w:tcPr>
          <w:p>
            <w:pPr>
              <w:jc w:val="left"/>
            </w:pPr>
            <w:r/>
            <w:r>
              <w:rPr>
                <w:rFonts w:ascii="Calibri" w:hAnsi="Calibri"/>
                <w:b w:val="0"/>
                <w:color w:val="000000"/>
                <w:sz w:val="16"/>
              </w:rPr>
              <w:t>25% (CRR3 Art 161(4))</w:t>
            </w:r>
          </w:p>
        </w:tc>
      </w:tr>
      <w:tr>
        <w:tc>
          <w:tcPr>
            <w:tcW w:type="dxa" w:w="3456"/>
            <w:shd w:fill="FFFFFF" w:val="clear"/>
          </w:tcPr>
          <w:p>
            <w:pPr>
              <w:jc w:val="left"/>
            </w:pPr>
            <w:r/>
            <w:r>
              <w:rPr>
                <w:rFonts w:ascii="Calibri" w:hAnsi="Calibri"/>
                <w:b/>
                <w:color w:val="000000"/>
                <w:sz w:val="16"/>
              </w:rPr>
              <w:t>Corporate Secured (RE)</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10% (PS1/26 Ch.11 Table 11.3)</w:t>
            </w:r>
          </w:p>
        </w:tc>
        <w:tc>
          <w:tcPr>
            <w:tcW w:type="dxa" w:w="3456"/>
            <w:shd w:fill="FFFFFF" w:val="clear"/>
          </w:tcPr>
          <w:p>
            <w:pPr>
              <w:jc w:val="left"/>
            </w:pPr>
            <w:r/>
            <w:r>
              <w:rPr>
                <w:rFonts w:ascii="Calibri" w:hAnsi="Calibri"/>
                <w:b w:val="0"/>
                <w:color w:val="000000"/>
                <w:sz w:val="16"/>
              </w:rPr>
              <w:t>10% (CRR3 Art 161(4))</w:t>
            </w:r>
          </w:p>
        </w:tc>
      </w:tr>
      <w:tr>
        <w:tc>
          <w:tcPr>
            <w:tcW w:type="dxa" w:w="3456"/>
            <w:shd w:fill="F2F2F2" w:val="clear"/>
          </w:tcPr>
          <w:p>
            <w:pPr>
              <w:jc w:val="left"/>
            </w:pPr>
            <w:r/>
            <w:r>
              <w:rPr>
                <w:rFonts w:ascii="Calibri" w:hAnsi="Calibri"/>
                <w:b/>
                <w:color w:val="000000"/>
                <w:sz w:val="16"/>
              </w:rPr>
              <w:t>Corporate Secured (Receivables)</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15% (PS1/26 Ch.11 Table 11.3)</w:t>
            </w:r>
          </w:p>
        </w:tc>
        <w:tc>
          <w:tcPr>
            <w:tcW w:type="dxa" w:w="3456"/>
            <w:shd w:fill="F2F2F2" w:val="clear"/>
          </w:tcPr>
          <w:p>
            <w:pPr>
              <w:jc w:val="left"/>
            </w:pPr>
            <w:r/>
            <w:r>
              <w:rPr>
                <w:rFonts w:ascii="Calibri" w:hAnsi="Calibri"/>
                <w:b w:val="0"/>
                <w:color w:val="000000"/>
                <w:sz w:val="16"/>
              </w:rPr>
              <w:t>15% (CRR3 Art 161(4))</w:t>
            </w:r>
          </w:p>
        </w:tc>
      </w:tr>
      <w:tr>
        <w:tc>
          <w:tcPr>
            <w:tcW w:type="dxa" w:w="3456"/>
            <w:shd w:fill="FFFFFF" w:val="clear"/>
          </w:tcPr>
          <w:p>
            <w:pPr>
              <w:jc w:val="left"/>
            </w:pPr>
            <w:r/>
            <w:r>
              <w:rPr>
                <w:rFonts w:ascii="Calibri" w:hAnsi="Calibri"/>
                <w:b/>
                <w:color w:val="000000"/>
                <w:sz w:val="16"/>
              </w:rPr>
              <w:t>Corporate Secured (Phys Collateral)</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15% (PS1/26 Ch.11 Table 11.3)</w:t>
            </w:r>
          </w:p>
        </w:tc>
        <w:tc>
          <w:tcPr>
            <w:tcW w:type="dxa" w:w="3456"/>
            <w:shd w:fill="FFFFFF" w:val="clear"/>
          </w:tcPr>
          <w:p>
            <w:pPr>
              <w:jc w:val="left"/>
            </w:pPr>
            <w:r/>
            <w:r>
              <w:rPr>
                <w:rFonts w:ascii="Calibri" w:hAnsi="Calibri"/>
                <w:b w:val="0"/>
                <w:color w:val="000000"/>
                <w:sz w:val="16"/>
              </w:rPr>
              <w:t>15% (CRR3 Art 161(4))</w:t>
            </w:r>
          </w:p>
        </w:tc>
      </w:tr>
      <w:tr>
        <w:tc>
          <w:tcPr>
            <w:tcW w:type="dxa" w:w="3456"/>
            <w:shd w:fill="F2F2F2" w:val="clear"/>
          </w:tcPr>
          <w:p>
            <w:pPr>
              <w:jc w:val="left"/>
            </w:pPr>
            <w:r/>
            <w:r>
              <w:rPr>
                <w:rFonts w:ascii="Calibri" w:hAnsi="Calibri"/>
                <w:b/>
                <w:color w:val="000000"/>
                <w:sz w:val="16"/>
              </w:rPr>
              <w:t>Corporate Secured (Fin Collateral)</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0% (PS1/26 Ch.11 Table 11.3)</w:t>
            </w:r>
          </w:p>
        </w:tc>
        <w:tc>
          <w:tcPr>
            <w:tcW w:type="dxa" w:w="3456"/>
            <w:shd w:fill="F2F2F2" w:val="clear"/>
          </w:tcPr>
          <w:p>
            <w:pPr>
              <w:jc w:val="left"/>
            </w:pPr>
            <w:r/>
            <w:r>
              <w:rPr>
                <w:rFonts w:ascii="Calibri" w:hAnsi="Calibri"/>
                <w:b w:val="0"/>
                <w:color w:val="000000"/>
                <w:sz w:val="16"/>
              </w:rPr>
              <w:t>0% (CRR3 Art 161(4))</w:t>
            </w:r>
          </w:p>
        </w:tc>
      </w:tr>
      <w:tr>
        <w:tc>
          <w:tcPr>
            <w:tcW w:type="dxa" w:w="3456"/>
            <w:shd w:fill="FFFFFF" w:val="clear"/>
          </w:tcPr>
          <w:p>
            <w:pPr>
              <w:jc w:val="left"/>
            </w:pPr>
            <w:r/>
            <w:r>
              <w:rPr>
                <w:rFonts w:ascii="Calibri" w:hAnsi="Calibri"/>
                <w:b/>
                <w:color w:val="000000"/>
                <w:sz w:val="16"/>
              </w:rPr>
              <w:t>Retail Mortgage</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5% (PS1/26 Ch.11 Table 11.4)</w:t>
            </w:r>
          </w:p>
        </w:tc>
        <w:tc>
          <w:tcPr>
            <w:tcW w:type="dxa" w:w="3456"/>
            <w:shd w:fill="FFFFFF" w:val="clear"/>
          </w:tcPr>
          <w:p>
            <w:pPr>
              <w:jc w:val="left"/>
            </w:pPr>
            <w:r/>
            <w:r>
              <w:rPr>
                <w:rFonts w:ascii="Calibri" w:hAnsi="Calibri"/>
                <w:b w:val="0"/>
                <w:color w:val="000000"/>
                <w:sz w:val="16"/>
              </w:rPr>
              <w:t>5% (CRR3 Art 164(4))</w:t>
            </w:r>
          </w:p>
        </w:tc>
      </w:tr>
      <w:tr>
        <w:tc>
          <w:tcPr>
            <w:tcW w:type="dxa" w:w="3456"/>
            <w:shd w:fill="F2F2F2" w:val="clear"/>
          </w:tcPr>
          <w:p>
            <w:pPr>
              <w:jc w:val="left"/>
            </w:pPr>
            <w:r/>
            <w:r>
              <w:rPr>
                <w:rFonts w:ascii="Calibri" w:hAnsi="Calibri"/>
                <w:b/>
                <w:color w:val="000000"/>
                <w:sz w:val="16"/>
              </w:rPr>
              <w:t>Retail QRRE</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50% (PS1/26 Ch.11 Table 11.4)</w:t>
            </w:r>
          </w:p>
        </w:tc>
        <w:tc>
          <w:tcPr>
            <w:tcW w:type="dxa" w:w="3456"/>
            <w:shd w:fill="F2F2F2" w:val="clear"/>
          </w:tcPr>
          <w:p>
            <w:pPr>
              <w:jc w:val="left"/>
            </w:pPr>
            <w:r/>
            <w:r>
              <w:rPr>
                <w:rFonts w:ascii="Calibri" w:hAnsi="Calibri"/>
                <w:b w:val="0"/>
                <w:color w:val="000000"/>
                <w:sz w:val="16"/>
              </w:rPr>
              <w:t>50% (CRR3 Art 164(4))</w:t>
            </w:r>
          </w:p>
        </w:tc>
      </w:tr>
      <w:tr>
        <w:tc>
          <w:tcPr>
            <w:tcW w:type="dxa" w:w="3456"/>
            <w:shd w:fill="FFFFFF" w:val="clear"/>
          </w:tcPr>
          <w:p>
            <w:pPr>
              <w:jc w:val="left"/>
            </w:pPr>
            <w:r/>
            <w:r>
              <w:rPr>
                <w:rFonts w:ascii="Calibri" w:hAnsi="Calibri"/>
                <w:b/>
                <w:color w:val="000000"/>
                <w:sz w:val="16"/>
              </w:rPr>
              <w:t>Retail Other Secured</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15% (PS1/26 Ch.11 Table 11.4)</w:t>
            </w:r>
          </w:p>
        </w:tc>
        <w:tc>
          <w:tcPr>
            <w:tcW w:type="dxa" w:w="3456"/>
            <w:shd w:fill="FFFFFF" w:val="clear"/>
          </w:tcPr>
          <w:p>
            <w:pPr>
              <w:jc w:val="left"/>
            </w:pPr>
            <w:r/>
            <w:r>
              <w:rPr>
                <w:rFonts w:ascii="Calibri" w:hAnsi="Calibri"/>
                <w:b w:val="0"/>
                <w:color w:val="000000"/>
                <w:sz w:val="16"/>
              </w:rPr>
              <w:t>15% (CRR3 Art 164(4))</w:t>
            </w:r>
          </w:p>
        </w:tc>
      </w:tr>
      <w:tr>
        <w:tc>
          <w:tcPr>
            <w:tcW w:type="dxa" w:w="3456"/>
            <w:shd w:fill="F2F2F2" w:val="clear"/>
          </w:tcPr>
          <w:p>
            <w:pPr>
              <w:jc w:val="left"/>
            </w:pPr>
            <w:r/>
            <w:r>
              <w:rPr>
                <w:rFonts w:ascii="Calibri" w:hAnsi="Calibri"/>
                <w:b/>
                <w:color w:val="000000"/>
                <w:sz w:val="16"/>
              </w:rPr>
              <w:t>Retail Other Unsecured</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25% (PS1/26 Ch.11 Table 11.4)</w:t>
            </w:r>
          </w:p>
        </w:tc>
        <w:tc>
          <w:tcPr>
            <w:tcW w:type="dxa" w:w="3456"/>
            <w:shd w:fill="F2F2F2" w:val="clear"/>
          </w:tcPr>
          <w:p>
            <w:pPr>
              <w:jc w:val="left"/>
            </w:pPr>
            <w:r/>
            <w:r>
              <w:rPr>
                <w:rFonts w:ascii="Calibri" w:hAnsi="Calibri"/>
                <w:b w:val="0"/>
                <w:color w:val="000000"/>
                <w:sz w:val="16"/>
              </w:rPr>
              <w:t>30% (CRR3 Art 164(4)) - EU HIGHER</w:t>
            </w:r>
          </w:p>
        </w:tc>
      </w:tr>
    </w:tbl>
    <w:p>
      <w:r>
        <w:rPr>
          <w:rFonts w:ascii="Calibri" w:hAnsi="Calibri"/>
          <w:b/>
          <w:color w:val="002060"/>
          <w:sz w:val="22"/>
        </w:rPr>
        <w:t>14.3 Asset Correlation Formulas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Corporate Correlation</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R = 0.12*(1-exp(-50*PD))/(1-exp(-50)) + 0.24*(1-(1-exp(-50*PD))/(1-exp(-50))). Range: 12%-24% (PS1/26 Ch.11.2)</w:t>
            </w:r>
          </w:p>
        </w:tc>
        <w:tc>
          <w:tcPr>
            <w:tcW w:type="dxa" w:w="3456"/>
            <w:shd w:fill="F2F2F2" w:val="clear"/>
          </w:tcPr>
          <w:p>
            <w:pPr>
              <w:jc w:val="left"/>
            </w:pPr>
            <w:r/>
            <w:r>
              <w:rPr>
                <w:rFonts w:ascii="Calibri" w:hAnsi="Calibri"/>
                <w:b w:val="0"/>
                <w:color w:val="000000"/>
                <w:sz w:val="16"/>
              </w:rPr>
              <w:t>Same Vasicek formula (CRR3 Art 153(2))</w:t>
            </w:r>
          </w:p>
        </w:tc>
      </w:tr>
      <w:tr>
        <w:tc>
          <w:tcPr>
            <w:tcW w:type="dxa" w:w="3456"/>
            <w:shd w:fill="FFFFFF" w:val="clear"/>
          </w:tcPr>
          <w:p>
            <w:pPr>
              <w:jc w:val="left"/>
            </w:pPr>
            <w:r/>
            <w:r>
              <w:rPr>
                <w:rFonts w:ascii="Calibri" w:hAnsi="Calibri"/>
                <w:b/>
                <w:color w:val="000000"/>
                <w:sz w:val="16"/>
              </w:rPr>
              <w:t>SME Adjustment</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R_adj = R - 0.04*(1-max(5,S)/50) where S=revenue in millions (PS1/26 Ch.11.2)</w:t>
            </w:r>
          </w:p>
        </w:tc>
        <w:tc>
          <w:tcPr>
            <w:tcW w:type="dxa" w:w="3456"/>
            <w:shd w:fill="FFFFFF" w:val="clear"/>
          </w:tcPr>
          <w:p>
            <w:pPr>
              <w:jc w:val="left"/>
            </w:pPr>
            <w:r/>
            <w:r>
              <w:rPr>
                <w:rFonts w:ascii="Calibri" w:hAnsi="Calibri"/>
                <w:b w:val="0"/>
                <w:color w:val="000000"/>
                <w:sz w:val="16"/>
              </w:rPr>
              <w:t>Same SME adjustment (CRR3 Art 153(4))</w:t>
            </w:r>
          </w:p>
        </w:tc>
      </w:tr>
      <w:tr>
        <w:tc>
          <w:tcPr>
            <w:tcW w:type="dxa" w:w="3456"/>
            <w:shd w:fill="F2F2F2" w:val="clear"/>
          </w:tcPr>
          <w:p>
            <w:pPr>
              <w:jc w:val="left"/>
            </w:pPr>
            <w:r/>
            <w:r>
              <w:rPr>
                <w:rFonts w:ascii="Calibri" w:hAnsi="Calibri"/>
                <w:b/>
                <w:color w:val="000000"/>
                <w:sz w:val="16"/>
              </w:rPr>
              <w:t>Retail Mortgage Corr</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R = 0.15 (fixed) (PS1/26 Ch.11.2)</w:t>
            </w:r>
          </w:p>
        </w:tc>
        <w:tc>
          <w:tcPr>
            <w:tcW w:type="dxa" w:w="3456"/>
            <w:shd w:fill="F2F2F2" w:val="clear"/>
          </w:tcPr>
          <w:p>
            <w:pPr>
              <w:jc w:val="left"/>
            </w:pPr>
            <w:r/>
            <w:r>
              <w:rPr>
                <w:rFonts w:ascii="Calibri" w:hAnsi="Calibri"/>
                <w:b w:val="0"/>
                <w:color w:val="000000"/>
                <w:sz w:val="16"/>
              </w:rPr>
              <w:t>R = 0.15 (CRR3 Art 154(2))</w:t>
            </w:r>
          </w:p>
        </w:tc>
      </w:tr>
      <w:tr>
        <w:tc>
          <w:tcPr>
            <w:tcW w:type="dxa" w:w="3456"/>
            <w:shd w:fill="FFFFFF" w:val="clear"/>
          </w:tcPr>
          <w:p>
            <w:pPr>
              <w:jc w:val="left"/>
            </w:pPr>
            <w:r/>
            <w:r>
              <w:rPr>
                <w:rFonts w:ascii="Calibri" w:hAnsi="Calibri"/>
                <w:b/>
                <w:color w:val="000000"/>
                <w:sz w:val="16"/>
              </w:rPr>
              <w:t>Retail QRRE Corr</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R = 0.04 (fixed) (PS1/26 Ch.11.2)</w:t>
            </w:r>
          </w:p>
        </w:tc>
        <w:tc>
          <w:tcPr>
            <w:tcW w:type="dxa" w:w="3456"/>
            <w:shd w:fill="FFFFFF" w:val="clear"/>
          </w:tcPr>
          <w:p>
            <w:pPr>
              <w:jc w:val="left"/>
            </w:pPr>
            <w:r/>
            <w:r>
              <w:rPr>
                <w:rFonts w:ascii="Calibri" w:hAnsi="Calibri"/>
                <w:b w:val="0"/>
                <w:color w:val="000000"/>
                <w:sz w:val="16"/>
              </w:rPr>
              <w:t>R = 0.04 (CRR3 Art 154(3))</w:t>
            </w:r>
          </w:p>
        </w:tc>
      </w:tr>
      <w:tr>
        <w:tc>
          <w:tcPr>
            <w:tcW w:type="dxa" w:w="3456"/>
            <w:shd w:fill="F2F2F2" w:val="clear"/>
          </w:tcPr>
          <w:p>
            <w:pPr>
              <w:jc w:val="left"/>
            </w:pPr>
            <w:r/>
            <w:r>
              <w:rPr>
                <w:rFonts w:ascii="Calibri" w:hAnsi="Calibri"/>
                <w:b/>
                <w:color w:val="000000"/>
                <w:sz w:val="16"/>
              </w:rPr>
              <w:t>Maturity Adjustment</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b(PD) = (0.11852-0.05478*ln(PD))^2. K adjusted by (1+(M-2.5)*b)/(1-1.5*b) (PS1/26 Ch.11.2)</w:t>
            </w:r>
          </w:p>
        </w:tc>
        <w:tc>
          <w:tcPr>
            <w:tcW w:type="dxa" w:w="3456"/>
            <w:shd w:fill="F2F2F2" w:val="clear"/>
          </w:tcPr>
          <w:p>
            <w:pPr>
              <w:jc w:val="left"/>
            </w:pPr>
            <w:r/>
            <w:r>
              <w:rPr>
                <w:rFonts w:ascii="Calibri" w:hAnsi="Calibri"/>
                <w:b w:val="0"/>
                <w:color w:val="000000"/>
                <w:sz w:val="16"/>
              </w:rPr>
              <w:t>Same formula (CRR3 Art 153(3))</w:t>
            </w:r>
          </w:p>
        </w:tc>
      </w:tr>
    </w:tbl>
    <w:p>
      <w:r>
        <w:rPr>
          <w:rFonts w:ascii="Calibri" w:hAnsi="Calibri"/>
          <w:b/>
          <w:color w:val="002060"/>
          <w:sz w:val="22"/>
        </w:rPr>
        <w:t>14.4 Output Floor Mechanics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Output Floor</w:t>
            </w:r>
          </w:p>
        </w:tc>
        <w:tc>
          <w:tcPr>
            <w:tcW w:type="dxa" w:w="3456"/>
            <w:shd w:fill="F2F2F2" w:val="clear"/>
          </w:tcPr>
          <w:p>
            <w:pPr>
              <w:jc w:val="left"/>
            </w:pPr>
            <w:r/>
            <w:r>
              <w:rPr>
                <w:rFonts w:ascii="Calibri" w:hAnsi="Calibri"/>
                <w:b w:val="0"/>
                <w:color w:val="000000"/>
                <w:sz w:val="16"/>
              </w:rPr>
              <w:t>NOT applicable - no IRB = no floor needed (ERBA P.45)</w:t>
            </w:r>
          </w:p>
        </w:tc>
        <w:tc>
          <w:tcPr>
            <w:tcW w:type="dxa" w:w="3456"/>
            <w:shd w:fill="F2F2F2" w:val="clear"/>
          </w:tcPr>
          <w:p>
            <w:pPr>
              <w:jc w:val="left"/>
            </w:pPr>
            <w:r/>
            <w:r>
              <w:rPr>
                <w:rFonts w:ascii="Calibri" w:hAnsi="Calibri"/>
                <w:b w:val="0"/>
                <w:color w:val="000000"/>
                <w:sz w:val="16"/>
              </w:rPr>
              <w:t>72.5% fully phased by 2030 (PS1/26 Ch.11.3). RWA_final = max(IRB_RWA, 72.5% * SA_RWA)</w:t>
            </w:r>
          </w:p>
        </w:tc>
        <w:tc>
          <w:tcPr>
            <w:tcW w:type="dxa" w:w="3456"/>
            <w:shd w:fill="F2F2F2" w:val="clear"/>
          </w:tcPr>
          <w:p>
            <w:pPr>
              <w:jc w:val="left"/>
            </w:pPr>
            <w:r/>
            <w:r>
              <w:rPr>
                <w:rFonts w:ascii="Calibri" w:hAnsi="Calibri"/>
                <w:b w:val="0"/>
                <w:color w:val="000000"/>
                <w:sz w:val="16"/>
              </w:rPr>
              <w:t>72.5% fully phased by 2032 (CRR3 Art 92a). Extended 2Y vs UK/BCBS</w:t>
            </w:r>
          </w:p>
        </w:tc>
      </w:tr>
      <w:tr>
        <w:tc>
          <w:tcPr>
            <w:tcW w:type="dxa" w:w="3456"/>
            <w:shd w:fill="FFFFFF" w:val="clear"/>
          </w:tcPr>
          <w:p>
            <w:pPr>
              <w:jc w:val="left"/>
            </w:pPr>
            <w:r/>
            <w:r>
              <w:rPr>
                <w:rFonts w:ascii="Calibri" w:hAnsi="Calibri"/>
                <w:b/>
                <w:color w:val="000000"/>
                <w:sz w:val="16"/>
              </w:rPr>
              <w:t>Floor Application</w:t>
            </w:r>
          </w:p>
        </w:tc>
        <w:tc>
          <w:tcPr>
            <w:tcW w:type="dxa" w:w="3456"/>
            <w:shd w:fill="FFFFFF" w:val="clear"/>
          </w:tcPr>
          <w:p>
            <w:pPr>
              <w:jc w:val="left"/>
            </w:pPr>
            <w:r/>
            <w:r>
              <w:rPr>
                <w:rFonts w:ascii="Calibri" w:hAnsi="Calibri"/>
                <w:b w:val="0"/>
                <w:color w:val="000000"/>
                <w:sz w:val="16"/>
              </w:rPr>
              <w:t>N/A</w:t>
            </w:r>
          </w:p>
        </w:tc>
        <w:tc>
          <w:tcPr>
            <w:tcW w:type="dxa" w:w="3456"/>
            <w:shd w:fill="FFFFFF" w:val="clear"/>
          </w:tcPr>
          <w:p>
            <w:pPr>
              <w:jc w:val="left"/>
            </w:pPr>
            <w:r/>
            <w:r>
              <w:rPr>
                <w:rFonts w:ascii="Calibri" w:hAnsi="Calibri"/>
                <w:b w:val="0"/>
                <w:color w:val="000000"/>
                <w:sz w:val="16"/>
              </w:rPr>
              <w:t>Applied at consolidated level (PS1/26 Ch.11.3)</w:t>
            </w:r>
          </w:p>
        </w:tc>
        <w:tc>
          <w:tcPr>
            <w:tcW w:type="dxa" w:w="3456"/>
            <w:shd w:fill="FFFFFF" w:val="clear"/>
          </w:tcPr>
          <w:p>
            <w:pPr>
              <w:jc w:val="left"/>
            </w:pPr>
            <w:r/>
            <w:r>
              <w:rPr>
                <w:rFonts w:ascii="Calibri" w:hAnsi="Calibri"/>
                <w:b w:val="0"/>
                <w:color w:val="000000"/>
                <w:sz w:val="16"/>
              </w:rPr>
              <w:t>Applied at consolidated level; MS option for solo (CRR3 Art 92a(4))</w:t>
            </w:r>
          </w:p>
        </w:tc>
      </w:tr>
      <w:tr>
        <w:tc>
          <w:tcPr>
            <w:tcW w:type="dxa" w:w="3456"/>
            <w:shd w:fill="F2F2F2" w:val="clear"/>
          </w:tcPr>
          <w:p>
            <w:pPr>
              <w:jc w:val="left"/>
            </w:pPr>
            <w:r/>
            <w:r>
              <w:rPr>
                <w:rFonts w:ascii="Calibri" w:hAnsi="Calibri"/>
                <w:b/>
                <w:color w:val="000000"/>
                <w:sz w:val="16"/>
              </w:rPr>
              <w:t>Transitional Adjustment</w:t>
            </w:r>
          </w:p>
        </w:tc>
        <w:tc>
          <w:tcPr>
            <w:tcW w:type="dxa" w:w="3456"/>
            <w:shd w:fill="F2F2F2" w:val="clear"/>
          </w:tcPr>
          <w:p>
            <w:pPr>
              <w:jc w:val="left"/>
            </w:pPr>
            <w:r/>
            <w:r>
              <w:rPr>
                <w:rFonts w:ascii="Calibri" w:hAnsi="Calibri"/>
                <w:b w:val="0"/>
                <w:color w:val="000000"/>
                <w:sz w:val="16"/>
              </w:rPr>
              <w:t>N/A</w:t>
            </w:r>
          </w:p>
        </w:tc>
        <w:tc>
          <w:tcPr>
            <w:tcW w:type="dxa" w:w="3456"/>
            <w:shd w:fill="F2F2F2" w:val="clear"/>
          </w:tcPr>
          <w:p>
            <w:pPr>
              <w:jc w:val="left"/>
            </w:pPr>
            <w:r/>
            <w:r>
              <w:rPr>
                <w:rFonts w:ascii="Calibri" w:hAnsi="Calibri"/>
                <w:b w:val="0"/>
                <w:color w:val="000000"/>
                <w:sz w:val="16"/>
              </w:rPr>
              <w:t>Linear phase-in 2025-2030 (PS1/26 Ch.11.3)</w:t>
            </w:r>
          </w:p>
        </w:tc>
        <w:tc>
          <w:tcPr>
            <w:tcW w:type="dxa" w:w="3456"/>
            <w:shd w:fill="F2F2F2" w:val="clear"/>
          </w:tcPr>
          <w:p>
            <w:pPr>
              <w:jc w:val="left"/>
            </w:pPr>
            <w:r/>
            <w:r>
              <w:rPr>
                <w:rFonts w:ascii="Calibri" w:hAnsi="Calibri"/>
                <w:b w:val="0"/>
                <w:color w:val="000000"/>
                <w:sz w:val="16"/>
              </w:rPr>
              <w:t>Linear phase-in 2025-2032 (CRR3 Art 92a)</w:t>
            </w:r>
          </w:p>
        </w:tc>
      </w:tr>
    </w:tbl>
    <w:p>
      <w:r>
        <w:br w:type="page"/>
      </w:r>
    </w:p>
    <w:p>
      <w:r>
        <w:rPr>
          <w:rFonts w:ascii="Calibri" w:hAnsi="Calibri"/>
          <w:b/>
          <w:color w:val="C8962E"/>
          <w:sz w:val="28"/>
        </w:rPr>
        <w:t>SECTION 15</w:t>
      </w:r>
    </w:p>
    <w:p>
      <w:r>
        <w:rPr>
          <w:rFonts w:ascii="Calibri" w:hAnsi="Calibri"/>
          <w:b/>
          <w:color w:val="002060"/>
          <w:sz w:val="32"/>
        </w:rPr>
        <w:t>Pillar 2, Pillar 3, Large Exposures &amp; Liquidity</w:t>
      </w:r>
    </w:p>
    <w:p>
      <w:r>
        <w:rPr>
          <w:color w:val="C8962E"/>
          <w:sz w:val="12"/>
        </w:rPr>
        <w:t>________________________________________________________________________________________________________________________</w:t>
      </w:r>
    </w:p>
    <w:p>
      <w:r>
        <w:rPr>
          <w:rFonts w:ascii="Calibri" w:hAnsi="Calibri"/>
          <w:b/>
          <w:color w:val="002060"/>
          <w:sz w:val="22"/>
        </w:rPr>
        <w:t>15.1 Pillar 2: ICAAP / SREP / IRRBB</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Pillar 2 Framework</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ICAAP Requirement</w:t>
            </w:r>
          </w:p>
        </w:tc>
        <w:tc>
          <w:tcPr>
            <w:tcW w:type="dxa" w:w="3456"/>
            <w:shd w:fill="FFFFFF" w:val="clear"/>
          </w:tcPr>
          <w:p>
            <w:pPr>
              <w:jc w:val="left"/>
            </w:pPr>
            <w:r/>
            <w:r>
              <w:rPr>
                <w:rFonts w:ascii="Calibri" w:hAnsi="Calibri"/>
                <w:b w:val="0"/>
                <w:color w:val="000000"/>
                <w:sz w:val="16"/>
              </w:rPr>
              <w:t>CCAR/DFAST stress testing replaces formal ICAAP (12 CFR 252.56). No explicit ICAAP mandate</w:t>
            </w:r>
          </w:p>
        </w:tc>
        <w:tc>
          <w:tcPr>
            <w:tcW w:type="dxa" w:w="3456"/>
            <w:shd w:fill="FFFFFF" w:val="clear"/>
          </w:tcPr>
          <w:p>
            <w:pPr>
              <w:jc w:val="left"/>
            </w:pPr>
            <w:r/>
            <w:r>
              <w:rPr>
                <w:rFonts w:ascii="Calibri" w:hAnsi="Calibri"/>
                <w:b w:val="0"/>
                <w:color w:val="000000"/>
                <w:sz w:val="16"/>
              </w:rPr>
              <w:t>Formal ICAAP required (PRA SS31/15). Annual submission to PRA</w:t>
            </w:r>
          </w:p>
        </w:tc>
        <w:tc>
          <w:tcPr>
            <w:tcW w:type="dxa" w:w="3456"/>
            <w:shd w:fill="FFFFFF" w:val="clear"/>
          </w:tcPr>
          <w:p>
            <w:pPr>
              <w:jc w:val="left"/>
            </w:pPr>
            <w:r/>
            <w:r>
              <w:rPr>
                <w:rFonts w:ascii="Calibri" w:hAnsi="Calibri"/>
                <w:b w:val="0"/>
                <w:color w:val="000000"/>
                <w:sz w:val="16"/>
              </w:rPr>
              <w:t>Formal ICAAP required (CRD6 Art 73). Annual submission to NCA</w:t>
            </w:r>
          </w:p>
        </w:tc>
      </w:tr>
      <w:tr>
        <w:tc>
          <w:tcPr>
            <w:tcW w:type="dxa" w:w="3456"/>
            <w:shd w:fill="F2F2F2" w:val="clear"/>
          </w:tcPr>
          <w:p>
            <w:pPr>
              <w:jc w:val="left"/>
            </w:pPr>
            <w:r/>
            <w:r>
              <w:rPr>
                <w:rFonts w:ascii="Calibri" w:hAnsi="Calibri"/>
                <w:b/>
                <w:color w:val="000000"/>
                <w:sz w:val="16"/>
              </w:rPr>
              <w:t>SREP Process</w:t>
            </w:r>
          </w:p>
        </w:tc>
        <w:tc>
          <w:tcPr>
            <w:tcW w:type="dxa" w:w="3456"/>
            <w:shd w:fill="F2F2F2" w:val="clear"/>
          </w:tcPr>
          <w:p>
            <w:pPr>
              <w:jc w:val="left"/>
            </w:pPr>
            <w:r/>
            <w:r>
              <w:rPr>
                <w:rFonts w:ascii="Calibri" w:hAnsi="Calibri"/>
                <w:b w:val="0"/>
                <w:color w:val="000000"/>
                <w:sz w:val="16"/>
              </w:rPr>
              <w:t>CCAR supervisory stress test + horizontal review (12 CFR 252.44)</w:t>
            </w:r>
          </w:p>
        </w:tc>
        <w:tc>
          <w:tcPr>
            <w:tcW w:type="dxa" w:w="3456"/>
            <w:shd w:fill="F2F2F2" w:val="clear"/>
          </w:tcPr>
          <w:p>
            <w:pPr>
              <w:jc w:val="left"/>
            </w:pPr>
            <w:r/>
            <w:r>
              <w:rPr>
                <w:rFonts w:ascii="Calibri" w:hAnsi="Calibri"/>
                <w:b w:val="0"/>
                <w:color w:val="000000"/>
                <w:sz w:val="16"/>
              </w:rPr>
              <w:t>PRA SREP: periodic assessment, sets P2A/P2G (PS1/26 Ch.15.1)</w:t>
            </w:r>
          </w:p>
        </w:tc>
        <w:tc>
          <w:tcPr>
            <w:tcW w:type="dxa" w:w="3456"/>
            <w:shd w:fill="F2F2F2" w:val="clear"/>
          </w:tcPr>
          <w:p>
            <w:pPr>
              <w:jc w:val="left"/>
            </w:pPr>
            <w:r/>
            <w:r>
              <w:rPr>
                <w:rFonts w:ascii="Calibri" w:hAnsi="Calibri"/>
                <w:b w:val="0"/>
                <w:color w:val="000000"/>
                <w:sz w:val="16"/>
              </w:rPr>
              <w:t>EBA SREP Guidelines (EBA/GL/2022/03). Sets P2R (binding) + P2G (guidance)</w:t>
            </w:r>
          </w:p>
        </w:tc>
      </w:tr>
      <w:tr>
        <w:tc>
          <w:tcPr>
            <w:tcW w:type="dxa" w:w="3456"/>
            <w:shd w:fill="FFFFFF" w:val="clear"/>
          </w:tcPr>
          <w:p>
            <w:pPr>
              <w:jc w:val="left"/>
            </w:pPr>
            <w:r/>
            <w:r>
              <w:rPr>
                <w:rFonts w:ascii="Calibri" w:hAnsi="Calibri"/>
                <w:b/>
                <w:color w:val="000000"/>
                <w:sz w:val="16"/>
              </w:rPr>
              <w:t>P2R / P2A</w:t>
            </w:r>
          </w:p>
        </w:tc>
        <w:tc>
          <w:tcPr>
            <w:tcW w:type="dxa" w:w="3456"/>
            <w:shd w:fill="FFFFFF" w:val="clear"/>
          </w:tcPr>
          <w:p>
            <w:pPr>
              <w:jc w:val="left"/>
            </w:pPr>
            <w:r/>
            <w:r>
              <w:rPr>
                <w:rFonts w:ascii="Calibri" w:hAnsi="Calibri"/>
                <w:b w:val="0"/>
                <w:color w:val="000000"/>
                <w:sz w:val="16"/>
              </w:rPr>
              <w:t>Implicitly embedded in SCB (no separate P2R) (ERBA P.1162)</w:t>
            </w:r>
          </w:p>
        </w:tc>
        <w:tc>
          <w:tcPr>
            <w:tcW w:type="dxa" w:w="3456"/>
            <w:shd w:fill="FFFFFF" w:val="clear"/>
          </w:tcPr>
          <w:p>
            <w:pPr>
              <w:jc w:val="left"/>
            </w:pPr>
            <w:r/>
            <w:r>
              <w:rPr>
                <w:rFonts w:ascii="Calibri" w:hAnsi="Calibri"/>
                <w:b w:val="0"/>
                <w:color w:val="000000"/>
                <w:sz w:val="16"/>
              </w:rPr>
              <w:t>P2A: firm-specific, typically 1-3% CET1 (PS1/26 Ch.15.1). Binding</w:t>
            </w:r>
          </w:p>
        </w:tc>
        <w:tc>
          <w:tcPr>
            <w:tcW w:type="dxa" w:w="3456"/>
            <w:shd w:fill="FFFFFF" w:val="clear"/>
          </w:tcPr>
          <w:p>
            <w:pPr>
              <w:jc w:val="left"/>
            </w:pPr>
            <w:r/>
            <w:r>
              <w:rPr>
                <w:rFonts w:ascii="Calibri" w:hAnsi="Calibri"/>
                <w:b w:val="0"/>
                <w:color w:val="000000"/>
                <w:sz w:val="16"/>
              </w:rPr>
              <w:t>P2R: firm-specific per SREP (CRD6 Art 104a). Must be 56.25% CET1, 75% T1</w:t>
            </w:r>
          </w:p>
        </w:tc>
      </w:tr>
      <w:tr>
        <w:tc>
          <w:tcPr>
            <w:tcW w:type="dxa" w:w="3456"/>
            <w:shd w:fill="F2F2F2" w:val="clear"/>
          </w:tcPr>
          <w:p>
            <w:pPr>
              <w:jc w:val="left"/>
            </w:pPr>
            <w:r/>
            <w:r>
              <w:rPr>
                <w:rFonts w:ascii="Calibri" w:hAnsi="Calibri"/>
                <w:b/>
                <w:color w:val="000000"/>
                <w:sz w:val="16"/>
              </w:rPr>
              <w:t>P2G</w:t>
            </w:r>
          </w:p>
        </w:tc>
        <w:tc>
          <w:tcPr>
            <w:tcW w:type="dxa" w:w="3456"/>
            <w:shd w:fill="F2F2F2" w:val="clear"/>
          </w:tcPr>
          <w:p>
            <w:pPr>
              <w:jc w:val="left"/>
            </w:pPr>
            <w:r/>
            <w:r>
              <w:rPr>
                <w:rFonts w:ascii="Calibri" w:hAnsi="Calibri"/>
                <w:b w:val="0"/>
                <w:color w:val="000000"/>
                <w:sz w:val="16"/>
              </w:rPr>
              <w:t>N/A (SCB subsumes)</w:t>
            </w:r>
          </w:p>
        </w:tc>
        <w:tc>
          <w:tcPr>
            <w:tcW w:type="dxa" w:w="3456"/>
            <w:shd w:fill="F2F2F2" w:val="clear"/>
          </w:tcPr>
          <w:p>
            <w:pPr>
              <w:jc w:val="left"/>
            </w:pPr>
            <w:r/>
            <w:r>
              <w:rPr>
                <w:rFonts w:ascii="Calibri" w:hAnsi="Calibri"/>
                <w:b w:val="0"/>
                <w:color w:val="000000"/>
                <w:sz w:val="16"/>
              </w:rPr>
              <w:t>PRA Buffer: similar concept to P2G (PS1/26 Ch.15.1)</w:t>
            </w:r>
          </w:p>
        </w:tc>
        <w:tc>
          <w:tcPr>
            <w:tcW w:type="dxa" w:w="3456"/>
            <w:shd w:fill="F2F2F2" w:val="clear"/>
          </w:tcPr>
          <w:p>
            <w:pPr>
              <w:jc w:val="left"/>
            </w:pPr>
            <w:r/>
            <w:r>
              <w:rPr>
                <w:rFonts w:ascii="Calibri" w:hAnsi="Calibri"/>
                <w:b w:val="0"/>
                <w:color w:val="000000"/>
                <w:sz w:val="16"/>
              </w:rPr>
              <w:t>P2G: guidance, not binding. Expected CET1 (CRD6 Art 104b)</w:t>
            </w:r>
          </w:p>
        </w:tc>
      </w:tr>
      <w:tr>
        <w:tc>
          <w:tcPr>
            <w:tcW w:type="dxa" w:w="3456"/>
            <w:shd w:fill="FFFFFF" w:val="clear"/>
          </w:tcPr>
          <w:p>
            <w:pPr>
              <w:jc w:val="left"/>
            </w:pPr>
            <w:r/>
            <w:r>
              <w:rPr>
                <w:rFonts w:ascii="Calibri" w:hAnsi="Calibri"/>
                <w:b/>
                <w:color w:val="000000"/>
                <w:sz w:val="16"/>
              </w:rPr>
              <w:t>IRRBB Framework</w:t>
            </w:r>
          </w:p>
        </w:tc>
        <w:tc>
          <w:tcPr>
            <w:tcW w:type="dxa" w:w="3456"/>
            <w:shd w:fill="FFFFFF" w:val="clear"/>
          </w:tcPr>
          <w:p>
            <w:pPr>
              <w:jc w:val="left"/>
            </w:pPr>
            <w:r/>
            <w:r>
              <w:rPr>
                <w:rFonts w:ascii="Calibri" w:hAnsi="Calibri"/>
                <w:b w:val="0"/>
                <w:color w:val="000000"/>
                <w:sz w:val="16"/>
              </w:rPr>
              <w:t>SR 10-1 guidance + supervisory outlier test. EVE + NII metrics (Interagency Advisory)</w:t>
            </w:r>
          </w:p>
        </w:tc>
        <w:tc>
          <w:tcPr>
            <w:tcW w:type="dxa" w:w="3456"/>
            <w:shd w:fill="FFFFFF" w:val="clear"/>
          </w:tcPr>
          <w:p>
            <w:pPr>
              <w:jc w:val="left"/>
            </w:pPr>
            <w:r/>
            <w:r>
              <w:rPr>
                <w:rFonts w:ascii="Calibri" w:hAnsi="Calibri"/>
                <w:b w:val="0"/>
                <w:color w:val="000000"/>
                <w:sz w:val="16"/>
              </w:rPr>
              <w:t>PRA SS31/15: EVE (200bp) + NII shocks. 6 prescribed scenarios (PS1/26 Ch.15.2)</w:t>
            </w:r>
          </w:p>
        </w:tc>
        <w:tc>
          <w:tcPr>
            <w:tcW w:type="dxa" w:w="3456"/>
            <w:shd w:fill="FFFFFF" w:val="clear"/>
          </w:tcPr>
          <w:p>
            <w:pPr>
              <w:jc w:val="left"/>
            </w:pPr>
            <w:r/>
            <w:r>
              <w:rPr>
                <w:rFonts w:ascii="Calibri" w:hAnsi="Calibri"/>
                <w:b w:val="0"/>
                <w:color w:val="000000"/>
                <w:sz w:val="16"/>
              </w:rPr>
              <w:t>EBA IRRBB Guidelines (EBA/GL/2022/14). 6 scenarios: parallel +/-200bp, short/long rate, steepener/flattener (CRD6 Art 84(5))</w:t>
            </w:r>
          </w:p>
        </w:tc>
      </w:tr>
      <w:tr>
        <w:tc>
          <w:tcPr>
            <w:tcW w:type="dxa" w:w="3456"/>
            <w:shd w:fill="F2F2F2" w:val="clear"/>
          </w:tcPr>
          <w:p>
            <w:pPr>
              <w:jc w:val="left"/>
            </w:pPr>
            <w:r/>
            <w:r>
              <w:rPr>
                <w:rFonts w:ascii="Calibri" w:hAnsi="Calibri"/>
                <w:b/>
                <w:color w:val="000000"/>
                <w:sz w:val="16"/>
              </w:rPr>
              <w:t>IRRBB EVE Threshold</w:t>
            </w:r>
          </w:p>
        </w:tc>
        <w:tc>
          <w:tcPr>
            <w:tcW w:type="dxa" w:w="3456"/>
            <w:shd w:fill="F2F2F2" w:val="clear"/>
          </w:tcPr>
          <w:p>
            <w:pPr>
              <w:jc w:val="left"/>
            </w:pPr>
            <w:r/>
            <w:r>
              <w:rPr>
                <w:rFonts w:ascii="Calibri" w:hAnsi="Calibri"/>
                <w:b w:val="0"/>
                <w:color w:val="000000"/>
                <w:sz w:val="16"/>
              </w:rPr>
              <w:t>Supervisory outlier: EVE decline &gt; 15% of T1 capital triggers review (SR 10-1)</w:t>
            </w:r>
          </w:p>
        </w:tc>
        <w:tc>
          <w:tcPr>
            <w:tcW w:type="dxa" w:w="3456"/>
            <w:shd w:fill="F2F2F2" w:val="clear"/>
          </w:tcPr>
          <w:p>
            <w:pPr>
              <w:jc w:val="left"/>
            </w:pPr>
            <w:r/>
            <w:r>
              <w:rPr>
                <w:rFonts w:ascii="Calibri" w:hAnsi="Calibri"/>
                <w:b w:val="0"/>
                <w:color w:val="000000"/>
                <w:sz w:val="16"/>
              </w:rPr>
              <w:t>EVE decline &gt; 15% T1 = outlier institution (PS1/26 Ch.15.2)</w:t>
            </w:r>
          </w:p>
        </w:tc>
        <w:tc>
          <w:tcPr>
            <w:tcW w:type="dxa" w:w="3456"/>
            <w:shd w:fill="F2F2F2" w:val="clear"/>
          </w:tcPr>
          <w:p>
            <w:pPr>
              <w:jc w:val="left"/>
            </w:pPr>
            <w:r/>
            <w:r>
              <w:rPr>
                <w:rFonts w:ascii="Calibri" w:hAnsi="Calibri"/>
                <w:b w:val="0"/>
                <w:color w:val="000000"/>
                <w:sz w:val="16"/>
              </w:rPr>
              <w:t>EVE decline &gt; 15% T1 = outlier (CRD6 Art 84(1))</w:t>
            </w:r>
          </w:p>
        </w:tc>
      </w:tr>
      <w:tr>
        <w:tc>
          <w:tcPr>
            <w:tcW w:type="dxa" w:w="3456"/>
            <w:shd w:fill="FFFFFF" w:val="clear"/>
          </w:tcPr>
          <w:p>
            <w:pPr>
              <w:jc w:val="left"/>
            </w:pPr>
            <w:r/>
            <w:r>
              <w:rPr>
                <w:rFonts w:ascii="Calibri" w:hAnsi="Calibri"/>
                <w:b/>
                <w:color w:val="000000"/>
                <w:sz w:val="16"/>
              </w:rPr>
              <w:t>IRRBB NII Threshold</w:t>
            </w:r>
          </w:p>
        </w:tc>
        <w:tc>
          <w:tcPr>
            <w:tcW w:type="dxa" w:w="3456"/>
            <w:shd w:fill="FFFFFF" w:val="clear"/>
          </w:tcPr>
          <w:p>
            <w:pPr>
              <w:jc w:val="left"/>
            </w:pPr>
            <w:r/>
            <w:r>
              <w:rPr>
                <w:rFonts w:ascii="Calibri" w:hAnsi="Calibri"/>
                <w:b w:val="0"/>
                <w:color w:val="000000"/>
                <w:sz w:val="16"/>
              </w:rPr>
              <w:t>Not standardized; supervisory judgment</w:t>
            </w:r>
          </w:p>
        </w:tc>
        <w:tc>
          <w:tcPr>
            <w:tcW w:type="dxa" w:w="3456"/>
            <w:shd w:fill="FFFFFF" w:val="clear"/>
          </w:tcPr>
          <w:p>
            <w:pPr>
              <w:jc w:val="left"/>
            </w:pPr>
            <w:r/>
            <w:r>
              <w:rPr>
                <w:rFonts w:ascii="Calibri" w:hAnsi="Calibri"/>
                <w:b w:val="0"/>
                <w:color w:val="000000"/>
                <w:sz w:val="16"/>
              </w:rPr>
              <w:t>NII decline &gt; 5% of T1 monitored (PS1/26 Ch.15.2)</w:t>
            </w:r>
          </w:p>
        </w:tc>
        <w:tc>
          <w:tcPr>
            <w:tcW w:type="dxa" w:w="3456"/>
            <w:shd w:fill="FFFFFF" w:val="clear"/>
          </w:tcPr>
          <w:p>
            <w:pPr>
              <w:jc w:val="left"/>
            </w:pPr>
            <w:r/>
            <w:r>
              <w:rPr>
                <w:rFonts w:ascii="Calibri" w:hAnsi="Calibri"/>
                <w:b w:val="0"/>
                <w:color w:val="000000"/>
                <w:sz w:val="16"/>
              </w:rPr>
              <w:t>NII decline &gt; 5% of T1 monitored (EBA/GL/2022/14)</w:t>
            </w:r>
          </w:p>
        </w:tc>
      </w:tr>
      <w:tr>
        <w:tc>
          <w:tcPr>
            <w:tcW w:type="dxa" w:w="3456"/>
            <w:shd w:fill="F2F2F2" w:val="clear"/>
          </w:tcPr>
          <w:p>
            <w:pPr>
              <w:jc w:val="left"/>
            </w:pPr>
            <w:r/>
            <w:r>
              <w:rPr>
                <w:rFonts w:ascii="Calibri" w:hAnsi="Calibri"/>
                <w:b/>
                <w:color w:val="000000"/>
                <w:sz w:val="16"/>
              </w:rPr>
              <w:t>ESG / Climate Pillar 2</w:t>
            </w:r>
          </w:p>
        </w:tc>
        <w:tc>
          <w:tcPr>
            <w:tcW w:type="dxa" w:w="3456"/>
            <w:shd w:fill="F2F2F2" w:val="clear"/>
          </w:tcPr>
          <w:p>
            <w:pPr>
              <w:jc w:val="left"/>
            </w:pPr>
            <w:r/>
            <w:r>
              <w:rPr>
                <w:rFonts w:ascii="Calibri" w:hAnsi="Calibri"/>
                <w:b w:val="0"/>
                <w:color w:val="000000"/>
                <w:sz w:val="16"/>
              </w:rPr>
              <w:t>OCC climate risk guidance (not binding). SR 23-XX</w:t>
            </w:r>
          </w:p>
        </w:tc>
        <w:tc>
          <w:tcPr>
            <w:tcW w:type="dxa" w:w="3456"/>
            <w:shd w:fill="F2F2F2" w:val="clear"/>
          </w:tcPr>
          <w:p>
            <w:pPr>
              <w:jc w:val="left"/>
            </w:pPr>
            <w:r/>
            <w:r>
              <w:rPr>
                <w:rFonts w:ascii="Calibri" w:hAnsi="Calibri"/>
                <w:b w:val="0"/>
                <w:color w:val="000000"/>
                <w:sz w:val="16"/>
              </w:rPr>
              <w:t>PRA SS3/19: climate risk in ICAAP. Scenario analysis required (PS1/26 Ch.15.3)</w:t>
            </w:r>
          </w:p>
        </w:tc>
        <w:tc>
          <w:tcPr>
            <w:tcW w:type="dxa" w:w="3456"/>
            <w:shd w:fill="F2F2F2" w:val="clear"/>
          </w:tcPr>
          <w:p>
            <w:pPr>
              <w:jc w:val="left"/>
            </w:pPr>
            <w:r/>
            <w:r>
              <w:rPr>
                <w:rFonts w:ascii="Calibri" w:hAnsi="Calibri"/>
                <w:b w:val="0"/>
                <w:color w:val="000000"/>
                <w:sz w:val="16"/>
              </w:rPr>
              <w:t>ESG risks in SREP (CRD6 Art 73(3), Art 98(8)). Transition plans required</w:t>
            </w:r>
          </w:p>
        </w:tc>
      </w:tr>
    </w:tbl>
    <w:p>
      <w:r>
        <w:rPr>
          <w:rFonts w:ascii="Calibri" w:hAnsi="Calibri"/>
          <w:b/>
          <w:color w:val="002060"/>
          <w:sz w:val="22"/>
        </w:rPr>
        <w:t>15.2 Pillar 3: Disclosure Templates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5E6C8" w:val="clear"/>
          </w:tcPr>
          <w:p>
            <w:pPr>
              <w:jc w:val="left"/>
            </w:pPr>
            <w:r/>
            <w:r>
              <w:rPr>
                <w:rFonts w:ascii="Calibri" w:hAnsi="Calibri"/>
                <w:b/>
                <w:color w:val="00143C"/>
                <w:sz w:val="16"/>
              </w:rPr>
              <w:t>Pillar 3 Templates</w:t>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c>
          <w:tcPr>
            <w:tcW w:type="dxa" w:w="3456"/>
            <w:shd w:fill="F5E6C8" w:val="clear"/>
          </w:tcPr>
          <w:p>
            <w:pPr>
              <w:jc w:val="left"/>
            </w:pPr>
            <w:r/>
            <w:r>
              <w:rPr>
                <w:rFonts w:ascii="Calibri" w:hAnsi="Calibri"/>
                <w:b/>
                <w:color w:val="00143C"/>
                <w:sz w:val="16"/>
              </w:rPr>
            </w:r>
          </w:p>
        </w:tc>
      </w:tr>
      <w:tr>
        <w:tc>
          <w:tcPr>
            <w:tcW w:type="dxa" w:w="3456"/>
            <w:shd w:fill="FFFFFF" w:val="clear"/>
          </w:tcPr>
          <w:p>
            <w:pPr>
              <w:jc w:val="left"/>
            </w:pPr>
            <w:r/>
            <w:r>
              <w:rPr>
                <w:rFonts w:ascii="Calibri" w:hAnsi="Calibri"/>
                <w:b/>
                <w:color w:val="000000"/>
                <w:sz w:val="16"/>
              </w:rPr>
              <w:t>OV1 (Capital Overview)</w:t>
            </w:r>
          </w:p>
        </w:tc>
        <w:tc>
          <w:tcPr>
            <w:tcW w:type="dxa" w:w="3456"/>
            <w:shd w:fill="FFFFFF" w:val="clear"/>
          </w:tcPr>
          <w:p>
            <w:pPr>
              <w:jc w:val="left"/>
            </w:pPr>
            <w:r/>
            <w:r>
              <w:rPr>
                <w:rFonts w:ascii="Calibri" w:hAnsi="Calibri"/>
                <w:b w:val="0"/>
                <w:color w:val="000000"/>
                <w:sz w:val="16"/>
              </w:rPr>
              <w:t>Required (ERBA P.1200). FR Y-9C Schedule HC-R cross-reference</w:t>
            </w:r>
          </w:p>
        </w:tc>
        <w:tc>
          <w:tcPr>
            <w:tcW w:type="dxa" w:w="3456"/>
            <w:shd w:fill="FFFFFF" w:val="clear"/>
          </w:tcPr>
          <w:p>
            <w:pPr>
              <w:jc w:val="left"/>
            </w:pPr>
            <w:r/>
            <w:r>
              <w:rPr>
                <w:rFonts w:ascii="Calibri" w:hAnsi="Calibri"/>
                <w:b w:val="0"/>
                <w:color w:val="000000"/>
                <w:sz w:val="16"/>
              </w:rPr>
              <w:t>Required (PS1/26 Ch.18 Table 18.1)</w:t>
            </w:r>
          </w:p>
        </w:tc>
        <w:tc>
          <w:tcPr>
            <w:tcW w:type="dxa" w:w="3456"/>
            <w:shd w:fill="FFFFFF" w:val="clear"/>
          </w:tcPr>
          <w:p>
            <w:pPr>
              <w:jc w:val="left"/>
            </w:pPr>
            <w:r/>
            <w:r>
              <w:rPr>
                <w:rFonts w:ascii="Calibri" w:hAnsi="Calibri"/>
                <w:b w:val="0"/>
                <w:color w:val="000000"/>
                <w:sz w:val="16"/>
              </w:rPr>
              <w:t>Required (CRR3 Art 438)</w:t>
            </w:r>
          </w:p>
        </w:tc>
      </w:tr>
      <w:tr>
        <w:tc>
          <w:tcPr>
            <w:tcW w:type="dxa" w:w="3456"/>
            <w:shd w:fill="F2F2F2" w:val="clear"/>
          </w:tcPr>
          <w:p>
            <w:pPr>
              <w:jc w:val="left"/>
            </w:pPr>
            <w:r/>
            <w:r>
              <w:rPr>
                <w:rFonts w:ascii="Calibri" w:hAnsi="Calibri"/>
                <w:b/>
                <w:color w:val="000000"/>
                <w:sz w:val="16"/>
              </w:rPr>
              <w:t>KM1 (Key Metrics)</w:t>
            </w:r>
          </w:p>
        </w:tc>
        <w:tc>
          <w:tcPr>
            <w:tcW w:type="dxa" w:w="3456"/>
            <w:shd w:fill="F2F2F2" w:val="clear"/>
          </w:tcPr>
          <w:p>
            <w:pPr>
              <w:jc w:val="left"/>
            </w:pPr>
            <w:r/>
            <w:r>
              <w:rPr>
                <w:rFonts w:ascii="Calibri" w:hAnsi="Calibri"/>
                <w:b w:val="0"/>
                <w:color w:val="000000"/>
                <w:sz w:val="16"/>
              </w:rPr>
              <w:t>Required quarterly (ERBA P.1200)</w:t>
            </w:r>
          </w:p>
        </w:tc>
        <w:tc>
          <w:tcPr>
            <w:tcW w:type="dxa" w:w="3456"/>
            <w:shd w:fill="F2F2F2" w:val="clear"/>
          </w:tcPr>
          <w:p>
            <w:pPr>
              <w:jc w:val="left"/>
            </w:pPr>
            <w:r/>
            <w:r>
              <w:rPr>
                <w:rFonts w:ascii="Calibri" w:hAnsi="Calibri"/>
                <w:b w:val="0"/>
                <w:color w:val="000000"/>
                <w:sz w:val="16"/>
              </w:rPr>
              <w:t>Required semi-annually (PS1/26 Ch.18)</w:t>
            </w:r>
          </w:p>
        </w:tc>
        <w:tc>
          <w:tcPr>
            <w:tcW w:type="dxa" w:w="3456"/>
            <w:shd w:fill="F2F2F2" w:val="clear"/>
          </w:tcPr>
          <w:p>
            <w:pPr>
              <w:jc w:val="left"/>
            </w:pPr>
            <w:r/>
            <w:r>
              <w:rPr>
                <w:rFonts w:ascii="Calibri" w:hAnsi="Calibri"/>
                <w:b w:val="0"/>
                <w:color w:val="000000"/>
                <w:sz w:val="16"/>
              </w:rPr>
              <w:t>Required quarterly for G-SIIs, semi-annually for others (CRR3 Art 447)</w:t>
            </w:r>
          </w:p>
        </w:tc>
      </w:tr>
      <w:tr>
        <w:tc>
          <w:tcPr>
            <w:tcW w:type="dxa" w:w="3456"/>
            <w:shd w:fill="FFFFFF" w:val="clear"/>
          </w:tcPr>
          <w:p>
            <w:pPr>
              <w:jc w:val="left"/>
            </w:pPr>
            <w:r/>
            <w:r>
              <w:rPr>
                <w:rFonts w:ascii="Calibri" w:hAnsi="Calibri"/>
                <w:b/>
                <w:color w:val="000000"/>
                <w:sz w:val="16"/>
              </w:rPr>
              <w:t>CC1/CC2 (Capital Composition)</w:t>
            </w:r>
          </w:p>
        </w:tc>
        <w:tc>
          <w:tcPr>
            <w:tcW w:type="dxa" w:w="3456"/>
            <w:shd w:fill="FFFFFF" w:val="clear"/>
          </w:tcPr>
          <w:p>
            <w:pPr>
              <w:jc w:val="left"/>
            </w:pPr>
            <w:r/>
            <w:r>
              <w:rPr>
                <w:rFonts w:ascii="Calibri" w:hAnsi="Calibri"/>
                <w:b w:val="0"/>
                <w:color w:val="000000"/>
                <w:sz w:val="16"/>
              </w:rPr>
              <w:t>Required (ERBA P.1200). Maps to FR Y-9C items</w:t>
            </w:r>
          </w:p>
        </w:tc>
        <w:tc>
          <w:tcPr>
            <w:tcW w:type="dxa" w:w="3456"/>
            <w:shd w:fill="FFFFFF" w:val="clear"/>
          </w:tcPr>
          <w:p>
            <w:pPr>
              <w:jc w:val="left"/>
            </w:pPr>
            <w:r/>
            <w:r>
              <w:rPr>
                <w:rFonts w:ascii="Calibri" w:hAnsi="Calibri"/>
                <w:b w:val="0"/>
                <w:color w:val="000000"/>
                <w:sz w:val="16"/>
              </w:rPr>
              <w:t>Required (PS1/26 Ch.18)</w:t>
            </w:r>
          </w:p>
        </w:tc>
        <w:tc>
          <w:tcPr>
            <w:tcW w:type="dxa" w:w="3456"/>
            <w:shd w:fill="FFFFFF" w:val="clear"/>
          </w:tcPr>
          <w:p>
            <w:pPr>
              <w:jc w:val="left"/>
            </w:pPr>
            <w:r/>
            <w:r>
              <w:rPr>
                <w:rFonts w:ascii="Calibri" w:hAnsi="Calibri"/>
                <w:b w:val="0"/>
                <w:color w:val="000000"/>
                <w:sz w:val="16"/>
              </w:rPr>
              <w:t>Required (CRR3 Art 437)</w:t>
            </w:r>
          </w:p>
        </w:tc>
      </w:tr>
      <w:tr>
        <w:tc>
          <w:tcPr>
            <w:tcW w:type="dxa" w:w="3456"/>
            <w:shd w:fill="F2F2F2" w:val="clear"/>
          </w:tcPr>
          <w:p>
            <w:pPr>
              <w:jc w:val="left"/>
            </w:pPr>
            <w:r/>
            <w:r>
              <w:rPr>
                <w:rFonts w:ascii="Calibri" w:hAnsi="Calibri"/>
                <w:b/>
                <w:color w:val="000000"/>
                <w:sz w:val="16"/>
              </w:rPr>
              <w:t>CR1-CR5 (Credit Risk)</w:t>
            </w:r>
          </w:p>
        </w:tc>
        <w:tc>
          <w:tcPr>
            <w:tcW w:type="dxa" w:w="3456"/>
            <w:shd w:fill="F2F2F2" w:val="clear"/>
          </w:tcPr>
          <w:p>
            <w:pPr>
              <w:jc w:val="left"/>
            </w:pPr>
            <w:r/>
            <w:r>
              <w:rPr>
                <w:rFonts w:ascii="Calibri" w:hAnsi="Calibri"/>
                <w:b w:val="0"/>
                <w:color w:val="000000"/>
                <w:sz w:val="16"/>
              </w:rPr>
              <w:t>Required (ERBA P.1202)</w:t>
            </w:r>
          </w:p>
        </w:tc>
        <w:tc>
          <w:tcPr>
            <w:tcW w:type="dxa" w:w="3456"/>
            <w:shd w:fill="F2F2F2" w:val="clear"/>
          </w:tcPr>
          <w:p>
            <w:pPr>
              <w:jc w:val="left"/>
            </w:pPr>
            <w:r/>
            <w:r>
              <w:rPr>
                <w:rFonts w:ascii="Calibri" w:hAnsi="Calibri"/>
                <w:b w:val="0"/>
                <w:color w:val="000000"/>
                <w:sz w:val="16"/>
              </w:rPr>
              <w:t>Required (PS1/26 Ch.18)</w:t>
            </w:r>
          </w:p>
        </w:tc>
        <w:tc>
          <w:tcPr>
            <w:tcW w:type="dxa" w:w="3456"/>
            <w:shd w:fill="F2F2F2" w:val="clear"/>
          </w:tcPr>
          <w:p>
            <w:pPr>
              <w:jc w:val="left"/>
            </w:pPr>
            <w:r/>
            <w:r>
              <w:rPr>
                <w:rFonts w:ascii="Calibri" w:hAnsi="Calibri"/>
                <w:b w:val="0"/>
                <w:color w:val="000000"/>
                <w:sz w:val="16"/>
              </w:rPr>
              <w:t>Required (CRR3 Art 442-449)</w:t>
            </w:r>
          </w:p>
        </w:tc>
      </w:tr>
      <w:tr>
        <w:tc>
          <w:tcPr>
            <w:tcW w:type="dxa" w:w="3456"/>
            <w:shd w:fill="FFFFFF" w:val="clear"/>
          </w:tcPr>
          <w:p>
            <w:pPr>
              <w:jc w:val="left"/>
            </w:pPr>
            <w:r/>
            <w:r>
              <w:rPr>
                <w:rFonts w:ascii="Calibri" w:hAnsi="Calibri"/>
                <w:b/>
                <w:color w:val="000000"/>
                <w:sz w:val="16"/>
              </w:rPr>
              <w:t>SEC1-SEC4 (Securitization)</w:t>
            </w:r>
          </w:p>
        </w:tc>
        <w:tc>
          <w:tcPr>
            <w:tcW w:type="dxa" w:w="3456"/>
            <w:shd w:fill="FFFFFF" w:val="clear"/>
          </w:tcPr>
          <w:p>
            <w:pPr>
              <w:jc w:val="left"/>
            </w:pPr>
            <w:r/>
            <w:r>
              <w:rPr>
                <w:rFonts w:ascii="Calibri" w:hAnsi="Calibri"/>
                <w:b w:val="0"/>
                <w:color w:val="000000"/>
                <w:sz w:val="16"/>
              </w:rPr>
              <w:t>Required (ERBA P.1202)</w:t>
            </w:r>
          </w:p>
        </w:tc>
        <w:tc>
          <w:tcPr>
            <w:tcW w:type="dxa" w:w="3456"/>
            <w:shd w:fill="FFFFFF" w:val="clear"/>
          </w:tcPr>
          <w:p>
            <w:pPr>
              <w:jc w:val="left"/>
            </w:pPr>
            <w:r/>
            <w:r>
              <w:rPr>
                <w:rFonts w:ascii="Calibri" w:hAnsi="Calibri"/>
                <w:b w:val="0"/>
                <w:color w:val="000000"/>
                <w:sz w:val="16"/>
              </w:rPr>
              <w:t>Required (PS1/26 Ch.18)</w:t>
            </w:r>
          </w:p>
        </w:tc>
        <w:tc>
          <w:tcPr>
            <w:tcW w:type="dxa" w:w="3456"/>
            <w:shd w:fill="FFFFFF" w:val="clear"/>
          </w:tcPr>
          <w:p>
            <w:pPr>
              <w:jc w:val="left"/>
            </w:pPr>
            <w:r/>
            <w:r>
              <w:rPr>
                <w:rFonts w:ascii="Calibri" w:hAnsi="Calibri"/>
                <w:b w:val="0"/>
                <w:color w:val="000000"/>
                <w:sz w:val="16"/>
              </w:rPr>
              <w:t>Required (CRR3 Art 449)</w:t>
            </w:r>
          </w:p>
        </w:tc>
      </w:tr>
      <w:tr>
        <w:tc>
          <w:tcPr>
            <w:tcW w:type="dxa" w:w="3456"/>
            <w:shd w:fill="F2F2F2" w:val="clear"/>
          </w:tcPr>
          <w:p>
            <w:pPr>
              <w:jc w:val="left"/>
            </w:pPr>
            <w:r/>
            <w:r>
              <w:rPr>
                <w:rFonts w:ascii="Calibri" w:hAnsi="Calibri"/>
                <w:b/>
                <w:color w:val="000000"/>
                <w:sz w:val="16"/>
              </w:rPr>
              <w:t>MR1-MR4 (Market Risk)</w:t>
            </w:r>
          </w:p>
        </w:tc>
        <w:tc>
          <w:tcPr>
            <w:tcW w:type="dxa" w:w="3456"/>
            <w:shd w:fill="F2F2F2" w:val="clear"/>
          </w:tcPr>
          <w:p>
            <w:pPr>
              <w:jc w:val="left"/>
            </w:pPr>
            <w:r/>
            <w:r>
              <w:rPr>
                <w:rFonts w:ascii="Calibri" w:hAnsi="Calibri"/>
                <w:b w:val="0"/>
                <w:color w:val="000000"/>
                <w:sz w:val="16"/>
              </w:rPr>
              <w:t>Required (ERBA P.1202)</w:t>
            </w:r>
          </w:p>
        </w:tc>
        <w:tc>
          <w:tcPr>
            <w:tcW w:type="dxa" w:w="3456"/>
            <w:shd w:fill="F2F2F2" w:val="clear"/>
          </w:tcPr>
          <w:p>
            <w:pPr>
              <w:jc w:val="left"/>
            </w:pPr>
            <w:r/>
            <w:r>
              <w:rPr>
                <w:rFonts w:ascii="Calibri" w:hAnsi="Calibri"/>
                <w:b w:val="0"/>
                <w:color w:val="000000"/>
                <w:sz w:val="16"/>
              </w:rPr>
              <w:t>Required (PS1/26 Ch.18)</w:t>
            </w:r>
          </w:p>
        </w:tc>
        <w:tc>
          <w:tcPr>
            <w:tcW w:type="dxa" w:w="3456"/>
            <w:shd w:fill="F2F2F2" w:val="clear"/>
          </w:tcPr>
          <w:p>
            <w:pPr>
              <w:jc w:val="left"/>
            </w:pPr>
            <w:r/>
            <w:r>
              <w:rPr>
                <w:rFonts w:ascii="Calibri" w:hAnsi="Calibri"/>
                <w:b w:val="0"/>
                <w:color w:val="000000"/>
                <w:sz w:val="16"/>
              </w:rPr>
              <w:t>Required (CRR3 Art 445)</w:t>
            </w:r>
          </w:p>
        </w:tc>
      </w:tr>
      <w:tr>
        <w:tc>
          <w:tcPr>
            <w:tcW w:type="dxa" w:w="3456"/>
            <w:shd w:fill="FFFFFF" w:val="clear"/>
          </w:tcPr>
          <w:p>
            <w:pPr>
              <w:jc w:val="left"/>
            </w:pPr>
            <w:r/>
            <w:r>
              <w:rPr>
                <w:rFonts w:ascii="Calibri" w:hAnsi="Calibri"/>
                <w:b/>
                <w:color w:val="000000"/>
                <w:sz w:val="16"/>
              </w:rPr>
              <w:t>OR1 (Operational Risk)</w:t>
            </w:r>
          </w:p>
        </w:tc>
        <w:tc>
          <w:tcPr>
            <w:tcW w:type="dxa" w:w="3456"/>
            <w:shd w:fill="FFFFFF" w:val="clear"/>
          </w:tcPr>
          <w:p>
            <w:pPr>
              <w:jc w:val="left"/>
            </w:pPr>
            <w:r/>
            <w:r>
              <w:rPr>
                <w:rFonts w:ascii="Calibri" w:hAnsi="Calibri"/>
                <w:b w:val="0"/>
                <w:color w:val="000000"/>
                <w:sz w:val="16"/>
              </w:rPr>
              <w:t>Required (ERBA P.1204)</w:t>
            </w:r>
          </w:p>
        </w:tc>
        <w:tc>
          <w:tcPr>
            <w:tcW w:type="dxa" w:w="3456"/>
            <w:shd w:fill="FFFFFF" w:val="clear"/>
          </w:tcPr>
          <w:p>
            <w:pPr>
              <w:jc w:val="left"/>
            </w:pPr>
            <w:r/>
            <w:r>
              <w:rPr>
                <w:rFonts w:ascii="Calibri" w:hAnsi="Calibri"/>
                <w:b w:val="0"/>
                <w:color w:val="000000"/>
                <w:sz w:val="16"/>
              </w:rPr>
              <w:t>Required (PS1/26 Ch.18)</w:t>
            </w:r>
          </w:p>
        </w:tc>
        <w:tc>
          <w:tcPr>
            <w:tcW w:type="dxa" w:w="3456"/>
            <w:shd w:fill="FFFFFF" w:val="clear"/>
          </w:tcPr>
          <w:p>
            <w:pPr>
              <w:jc w:val="left"/>
            </w:pPr>
            <w:r/>
            <w:r>
              <w:rPr>
                <w:rFonts w:ascii="Calibri" w:hAnsi="Calibri"/>
                <w:b w:val="0"/>
                <w:color w:val="000000"/>
                <w:sz w:val="16"/>
              </w:rPr>
              <w:t>Required (CRR3 Art 446)</w:t>
            </w:r>
          </w:p>
        </w:tc>
      </w:tr>
      <w:tr>
        <w:tc>
          <w:tcPr>
            <w:tcW w:type="dxa" w:w="3456"/>
            <w:shd w:fill="F2F2F2" w:val="clear"/>
          </w:tcPr>
          <w:p>
            <w:pPr>
              <w:jc w:val="left"/>
            </w:pPr>
            <w:r/>
            <w:r>
              <w:rPr>
                <w:rFonts w:ascii="Calibri" w:hAnsi="Calibri"/>
                <w:b/>
                <w:color w:val="000000"/>
                <w:sz w:val="16"/>
              </w:rPr>
              <w:t>LR1-LR2 (Leverage)</w:t>
            </w:r>
          </w:p>
        </w:tc>
        <w:tc>
          <w:tcPr>
            <w:tcW w:type="dxa" w:w="3456"/>
            <w:shd w:fill="F2F2F2" w:val="clear"/>
          </w:tcPr>
          <w:p>
            <w:pPr>
              <w:jc w:val="left"/>
            </w:pPr>
            <w:r/>
            <w:r>
              <w:rPr>
                <w:rFonts w:ascii="Calibri" w:hAnsi="Calibri"/>
                <w:b w:val="0"/>
                <w:color w:val="000000"/>
                <w:sz w:val="16"/>
              </w:rPr>
              <w:t>Required (ERBA P.1204)</w:t>
            </w:r>
          </w:p>
        </w:tc>
        <w:tc>
          <w:tcPr>
            <w:tcW w:type="dxa" w:w="3456"/>
            <w:shd w:fill="F2F2F2" w:val="clear"/>
          </w:tcPr>
          <w:p>
            <w:pPr>
              <w:jc w:val="left"/>
            </w:pPr>
            <w:r/>
            <w:r>
              <w:rPr>
                <w:rFonts w:ascii="Calibri" w:hAnsi="Calibri"/>
                <w:b w:val="0"/>
                <w:color w:val="000000"/>
                <w:sz w:val="16"/>
              </w:rPr>
              <w:t>Required (PS1/26 Ch.18)</w:t>
            </w:r>
          </w:p>
        </w:tc>
        <w:tc>
          <w:tcPr>
            <w:tcW w:type="dxa" w:w="3456"/>
            <w:shd w:fill="F2F2F2" w:val="clear"/>
          </w:tcPr>
          <w:p>
            <w:pPr>
              <w:jc w:val="left"/>
            </w:pPr>
            <w:r/>
            <w:r>
              <w:rPr>
                <w:rFonts w:ascii="Calibri" w:hAnsi="Calibri"/>
                <w:b w:val="0"/>
                <w:color w:val="000000"/>
                <w:sz w:val="16"/>
              </w:rPr>
              <w:t>Required (CRR3 Art 451)</w:t>
            </w:r>
          </w:p>
        </w:tc>
      </w:tr>
      <w:tr>
        <w:tc>
          <w:tcPr>
            <w:tcW w:type="dxa" w:w="3456"/>
            <w:shd w:fill="FFFFFF" w:val="clear"/>
          </w:tcPr>
          <w:p>
            <w:pPr>
              <w:jc w:val="left"/>
            </w:pPr>
            <w:r/>
            <w:r>
              <w:rPr>
                <w:rFonts w:ascii="Calibri" w:hAnsi="Calibri"/>
                <w:b/>
                <w:color w:val="000000"/>
                <w:sz w:val="16"/>
              </w:rPr>
              <w:t>ESG Templates</w:t>
            </w:r>
          </w:p>
        </w:tc>
        <w:tc>
          <w:tcPr>
            <w:tcW w:type="dxa" w:w="3456"/>
            <w:shd w:fill="FFFFFF" w:val="clear"/>
          </w:tcPr>
          <w:p>
            <w:pPr>
              <w:jc w:val="left"/>
            </w:pPr>
            <w:r/>
            <w:r>
              <w:rPr>
                <w:rFonts w:ascii="Calibri" w:hAnsi="Calibri"/>
                <w:b w:val="0"/>
                <w:color w:val="000000"/>
                <w:sz w:val="16"/>
              </w:rPr>
              <w:t>Not yet required (proposed future rulemaking)</w:t>
            </w:r>
          </w:p>
        </w:tc>
        <w:tc>
          <w:tcPr>
            <w:tcW w:type="dxa" w:w="3456"/>
            <w:shd w:fill="FFFFFF" w:val="clear"/>
          </w:tcPr>
          <w:p>
            <w:pPr>
              <w:jc w:val="left"/>
            </w:pPr>
            <w:r/>
            <w:r>
              <w:rPr>
                <w:rFonts w:ascii="Calibri" w:hAnsi="Calibri"/>
                <w:b w:val="0"/>
                <w:color w:val="000000"/>
                <w:sz w:val="16"/>
              </w:rPr>
              <w:t>Climate scenario analysis disclosure (PS1/26 Ch.18.3)</w:t>
            </w:r>
          </w:p>
        </w:tc>
        <w:tc>
          <w:tcPr>
            <w:tcW w:type="dxa" w:w="3456"/>
            <w:shd w:fill="FFFFFF" w:val="clear"/>
          </w:tcPr>
          <w:p>
            <w:pPr>
              <w:jc w:val="left"/>
            </w:pPr>
            <w:r/>
            <w:r>
              <w:rPr>
                <w:rFonts w:ascii="Calibri" w:hAnsi="Calibri"/>
                <w:b w:val="0"/>
                <w:color w:val="000000"/>
                <w:sz w:val="16"/>
              </w:rPr>
              <w:t>ESG Pillar 3 tables: 3 qualitative + 5 quantitative (CRR3 Art 449a, ITS on ESG)</w:t>
            </w:r>
          </w:p>
        </w:tc>
      </w:tr>
    </w:tbl>
    <w:p>
      <w:r>
        <w:rPr>
          <w:rFonts w:ascii="Calibri" w:hAnsi="Calibri"/>
          <w:b/>
          <w:color w:val="002060"/>
          <w:sz w:val="22"/>
        </w:rPr>
        <w:t>15.3 Large Exposures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Single Counterparty Limit</w:t>
            </w:r>
          </w:p>
        </w:tc>
        <w:tc>
          <w:tcPr>
            <w:tcW w:type="dxa" w:w="3456"/>
            <w:shd w:fill="F2F2F2" w:val="clear"/>
          </w:tcPr>
          <w:p>
            <w:pPr>
              <w:jc w:val="left"/>
            </w:pPr>
            <w:r/>
            <w:r>
              <w:rPr>
                <w:rFonts w:ascii="Calibri" w:hAnsi="Calibri"/>
                <w:b w:val="0"/>
                <w:color w:val="000000"/>
                <w:sz w:val="16"/>
              </w:rPr>
              <w:t>25% of T1 capital general limit (12 CFR 252.72)</w:t>
            </w:r>
          </w:p>
        </w:tc>
        <w:tc>
          <w:tcPr>
            <w:tcW w:type="dxa" w:w="3456"/>
            <w:shd w:fill="F2F2F2" w:val="clear"/>
          </w:tcPr>
          <w:p>
            <w:pPr>
              <w:jc w:val="left"/>
            </w:pPr>
            <w:r/>
            <w:r>
              <w:rPr>
                <w:rFonts w:ascii="Calibri" w:hAnsi="Calibri"/>
                <w:b w:val="0"/>
                <w:color w:val="000000"/>
                <w:sz w:val="16"/>
              </w:rPr>
              <w:t>25% of T1 capital (PS1/26 Ch.13)</w:t>
            </w:r>
          </w:p>
        </w:tc>
        <w:tc>
          <w:tcPr>
            <w:tcW w:type="dxa" w:w="3456"/>
            <w:shd w:fill="F2F2F2" w:val="clear"/>
          </w:tcPr>
          <w:p>
            <w:pPr>
              <w:jc w:val="left"/>
            </w:pPr>
            <w:r/>
            <w:r>
              <w:rPr>
                <w:rFonts w:ascii="Calibri" w:hAnsi="Calibri"/>
                <w:b w:val="0"/>
                <w:color w:val="000000"/>
                <w:sz w:val="16"/>
              </w:rPr>
              <w:t>25% of T1 capital (CRR3 Art 395(1))</w:t>
            </w:r>
          </w:p>
        </w:tc>
      </w:tr>
      <w:tr>
        <w:tc>
          <w:tcPr>
            <w:tcW w:type="dxa" w:w="3456"/>
            <w:shd w:fill="FFFFFF" w:val="clear"/>
          </w:tcPr>
          <w:p>
            <w:pPr>
              <w:jc w:val="left"/>
            </w:pPr>
            <w:r/>
            <w:r>
              <w:rPr>
                <w:rFonts w:ascii="Calibri" w:hAnsi="Calibri"/>
                <w:b/>
                <w:color w:val="000000"/>
                <w:sz w:val="16"/>
              </w:rPr>
              <w:t>G-SIB to G-SIB Limit</w:t>
            </w:r>
          </w:p>
        </w:tc>
        <w:tc>
          <w:tcPr>
            <w:tcW w:type="dxa" w:w="3456"/>
            <w:shd w:fill="FFFFFF" w:val="clear"/>
          </w:tcPr>
          <w:p>
            <w:pPr>
              <w:jc w:val="left"/>
            </w:pPr>
            <w:r/>
            <w:r>
              <w:rPr>
                <w:rFonts w:ascii="Calibri" w:hAnsi="Calibri"/>
                <w:b w:val="0"/>
                <w:color w:val="000000"/>
                <w:sz w:val="16"/>
              </w:rPr>
              <w:t>15% of T1 (12 CFR 252.72(b)). MORE CONSERVATIVE than UK/EU</w:t>
            </w:r>
          </w:p>
        </w:tc>
        <w:tc>
          <w:tcPr>
            <w:tcW w:type="dxa" w:w="3456"/>
            <w:shd w:fill="FFFFFF" w:val="clear"/>
          </w:tcPr>
          <w:p>
            <w:pPr>
              <w:jc w:val="left"/>
            </w:pPr>
            <w:r/>
            <w:r>
              <w:rPr>
                <w:rFonts w:ascii="Calibri" w:hAnsi="Calibri"/>
                <w:b w:val="0"/>
                <w:color w:val="000000"/>
                <w:sz w:val="16"/>
              </w:rPr>
              <w:t>25% of T1 (no special G-SIB-to-G-SIB reduction) (PS1/26 Ch.13)</w:t>
            </w:r>
          </w:p>
        </w:tc>
        <w:tc>
          <w:tcPr>
            <w:tcW w:type="dxa" w:w="3456"/>
            <w:shd w:fill="FFFFFF" w:val="clear"/>
          </w:tcPr>
          <w:p>
            <w:pPr>
              <w:jc w:val="left"/>
            </w:pPr>
            <w:r/>
            <w:r>
              <w:rPr>
                <w:rFonts w:ascii="Calibri" w:hAnsi="Calibri"/>
                <w:b w:val="0"/>
                <w:color w:val="000000"/>
                <w:sz w:val="16"/>
              </w:rPr>
              <w:t>25% of T1 (no special reduction) (CRR3 Art 395(1))</w:t>
            </w:r>
          </w:p>
        </w:tc>
      </w:tr>
      <w:tr>
        <w:tc>
          <w:tcPr>
            <w:tcW w:type="dxa" w:w="3456"/>
            <w:shd w:fill="F2F2F2" w:val="clear"/>
          </w:tcPr>
          <w:p>
            <w:pPr>
              <w:jc w:val="left"/>
            </w:pPr>
            <w:r/>
            <w:r>
              <w:rPr>
                <w:rFonts w:ascii="Calibri" w:hAnsi="Calibri"/>
                <w:b/>
                <w:color w:val="000000"/>
                <w:sz w:val="16"/>
              </w:rPr>
              <w:t>Reporting Threshold</w:t>
            </w:r>
          </w:p>
        </w:tc>
        <w:tc>
          <w:tcPr>
            <w:tcW w:type="dxa" w:w="3456"/>
            <w:shd w:fill="F2F2F2" w:val="clear"/>
          </w:tcPr>
          <w:p>
            <w:pPr>
              <w:jc w:val="left"/>
            </w:pPr>
            <w:r/>
            <w:r>
              <w:rPr>
                <w:rFonts w:ascii="Calibri" w:hAnsi="Calibri"/>
                <w:b w:val="0"/>
                <w:color w:val="000000"/>
                <w:sz w:val="16"/>
              </w:rPr>
              <w:t>5% of T1 (12 CFR 252.73)</w:t>
            </w:r>
          </w:p>
        </w:tc>
        <w:tc>
          <w:tcPr>
            <w:tcW w:type="dxa" w:w="3456"/>
            <w:shd w:fill="F2F2F2" w:val="clear"/>
          </w:tcPr>
          <w:p>
            <w:pPr>
              <w:jc w:val="left"/>
            </w:pPr>
            <w:r/>
            <w:r>
              <w:rPr>
                <w:rFonts w:ascii="Calibri" w:hAnsi="Calibri"/>
                <w:b w:val="0"/>
                <w:color w:val="000000"/>
                <w:sz w:val="16"/>
              </w:rPr>
              <w:t>10% of T1 (PS1/26 Ch.13)</w:t>
            </w:r>
          </w:p>
        </w:tc>
        <w:tc>
          <w:tcPr>
            <w:tcW w:type="dxa" w:w="3456"/>
            <w:shd w:fill="F2F2F2" w:val="clear"/>
          </w:tcPr>
          <w:p>
            <w:pPr>
              <w:jc w:val="left"/>
            </w:pPr>
            <w:r/>
            <w:r>
              <w:rPr>
                <w:rFonts w:ascii="Calibri" w:hAnsi="Calibri"/>
                <w:b w:val="0"/>
                <w:color w:val="000000"/>
                <w:sz w:val="16"/>
              </w:rPr>
              <w:t>10% of eligible capital (CRR3 Art 394(1))</w:t>
            </w:r>
          </w:p>
        </w:tc>
      </w:tr>
      <w:tr>
        <w:tc>
          <w:tcPr>
            <w:tcW w:type="dxa" w:w="3456"/>
            <w:shd w:fill="FFFFFF" w:val="clear"/>
          </w:tcPr>
          <w:p>
            <w:pPr>
              <w:jc w:val="left"/>
            </w:pPr>
            <w:r/>
            <w:r>
              <w:rPr>
                <w:rFonts w:ascii="Calibri" w:hAnsi="Calibri"/>
                <w:b/>
                <w:color w:val="000000"/>
                <w:sz w:val="16"/>
              </w:rPr>
              <w:t>Exposure Measure</w:t>
            </w:r>
          </w:p>
        </w:tc>
        <w:tc>
          <w:tcPr>
            <w:tcW w:type="dxa" w:w="3456"/>
            <w:shd w:fill="FFFFFF" w:val="clear"/>
          </w:tcPr>
          <w:p>
            <w:pPr>
              <w:jc w:val="left"/>
            </w:pPr>
            <w:r/>
            <w:r>
              <w:rPr>
                <w:rFonts w:ascii="Calibri" w:hAnsi="Calibri"/>
                <w:b w:val="0"/>
                <w:color w:val="000000"/>
                <w:sz w:val="16"/>
              </w:rPr>
              <w:t>Total credit exposure (on + off BS + derivatives) (12 CFR 252.73(b))</w:t>
            </w:r>
          </w:p>
        </w:tc>
        <w:tc>
          <w:tcPr>
            <w:tcW w:type="dxa" w:w="3456"/>
            <w:shd w:fill="FFFFFF" w:val="clear"/>
          </w:tcPr>
          <w:p>
            <w:pPr>
              <w:jc w:val="left"/>
            </w:pPr>
            <w:r/>
            <w:r>
              <w:rPr>
                <w:rFonts w:ascii="Calibri" w:hAnsi="Calibri"/>
                <w:b w:val="0"/>
                <w:color w:val="000000"/>
                <w:sz w:val="16"/>
              </w:rPr>
              <w:t>Original exposure method or SA-CCR (PS1/26 Ch.13.2)</w:t>
            </w:r>
          </w:p>
        </w:tc>
        <w:tc>
          <w:tcPr>
            <w:tcW w:type="dxa" w:w="3456"/>
            <w:shd w:fill="FFFFFF" w:val="clear"/>
          </w:tcPr>
          <w:p>
            <w:pPr>
              <w:jc w:val="left"/>
            </w:pPr>
            <w:r/>
            <w:r>
              <w:rPr>
                <w:rFonts w:ascii="Calibri" w:hAnsi="Calibri"/>
                <w:b w:val="0"/>
                <w:color w:val="000000"/>
                <w:sz w:val="16"/>
              </w:rPr>
              <w:t>Original exposure method or SA-CCR (CRR3 Art 390)</w:t>
            </w:r>
          </w:p>
        </w:tc>
      </w:tr>
      <w:tr>
        <w:tc>
          <w:tcPr>
            <w:tcW w:type="dxa" w:w="3456"/>
            <w:shd w:fill="F2F2F2" w:val="clear"/>
          </w:tcPr>
          <w:p>
            <w:pPr>
              <w:jc w:val="left"/>
            </w:pPr>
            <w:r/>
            <w:r>
              <w:rPr>
                <w:rFonts w:ascii="Calibri" w:hAnsi="Calibri"/>
                <w:b/>
                <w:color w:val="000000"/>
                <w:sz w:val="16"/>
              </w:rPr>
              <w:t>Sovereign Exemption</w:t>
            </w:r>
          </w:p>
        </w:tc>
        <w:tc>
          <w:tcPr>
            <w:tcW w:type="dxa" w:w="3456"/>
            <w:shd w:fill="F2F2F2" w:val="clear"/>
          </w:tcPr>
          <w:p>
            <w:pPr>
              <w:jc w:val="left"/>
            </w:pPr>
            <w:r/>
            <w:r>
              <w:rPr>
                <w:rFonts w:ascii="Calibri" w:hAnsi="Calibri"/>
                <w:b w:val="0"/>
                <w:color w:val="000000"/>
                <w:sz w:val="16"/>
              </w:rPr>
              <w:t>US govt exposures exempt (12 CFR 252.77(a)(1))</w:t>
            </w:r>
          </w:p>
        </w:tc>
        <w:tc>
          <w:tcPr>
            <w:tcW w:type="dxa" w:w="3456"/>
            <w:shd w:fill="F2F2F2" w:val="clear"/>
          </w:tcPr>
          <w:p>
            <w:pPr>
              <w:jc w:val="left"/>
            </w:pPr>
            <w:r/>
            <w:r>
              <w:rPr>
                <w:rFonts w:ascii="Calibri" w:hAnsi="Calibri"/>
                <w:b w:val="0"/>
                <w:color w:val="000000"/>
                <w:sz w:val="16"/>
              </w:rPr>
              <w:t>UK govt exempt (PS1/26 Ch.13.3)</w:t>
            </w:r>
          </w:p>
        </w:tc>
        <w:tc>
          <w:tcPr>
            <w:tcW w:type="dxa" w:w="3456"/>
            <w:shd w:fill="F2F2F2" w:val="clear"/>
          </w:tcPr>
          <w:p>
            <w:pPr>
              <w:jc w:val="left"/>
            </w:pPr>
            <w:r/>
            <w:r>
              <w:rPr>
                <w:rFonts w:ascii="Calibri" w:hAnsi="Calibri"/>
                <w:b w:val="0"/>
                <w:color w:val="000000"/>
                <w:sz w:val="16"/>
              </w:rPr>
              <w:t>Domestic sovereign in domestic currency exempt (CRR3 Art 400)</w:t>
            </w:r>
          </w:p>
        </w:tc>
      </w:tr>
      <w:tr>
        <w:tc>
          <w:tcPr>
            <w:tcW w:type="dxa" w:w="3456"/>
            <w:shd w:fill="FFFFFF" w:val="clear"/>
          </w:tcPr>
          <w:p>
            <w:pPr>
              <w:jc w:val="left"/>
            </w:pPr>
            <w:r/>
            <w:r>
              <w:rPr>
                <w:rFonts w:ascii="Calibri" w:hAnsi="Calibri"/>
                <w:b/>
                <w:color w:val="000000"/>
                <w:sz w:val="16"/>
              </w:rPr>
              <w:t>Intragroup Exemption</w:t>
            </w:r>
          </w:p>
        </w:tc>
        <w:tc>
          <w:tcPr>
            <w:tcW w:type="dxa" w:w="3456"/>
            <w:shd w:fill="FFFFFF" w:val="clear"/>
          </w:tcPr>
          <w:p>
            <w:pPr>
              <w:jc w:val="left"/>
            </w:pPr>
            <w:r/>
            <w:r>
              <w:rPr>
                <w:rFonts w:ascii="Calibri" w:hAnsi="Calibri"/>
                <w:b w:val="0"/>
                <w:color w:val="000000"/>
                <w:sz w:val="16"/>
              </w:rPr>
              <w:t>Affiliate limits apply (12 CFR 252.77(b))</w:t>
            </w:r>
          </w:p>
        </w:tc>
        <w:tc>
          <w:tcPr>
            <w:tcW w:type="dxa" w:w="3456"/>
            <w:shd w:fill="FFFFFF" w:val="clear"/>
          </w:tcPr>
          <w:p>
            <w:pPr>
              <w:jc w:val="left"/>
            </w:pPr>
            <w:r/>
            <w:r>
              <w:rPr>
                <w:rFonts w:ascii="Calibri" w:hAnsi="Calibri"/>
                <w:b w:val="0"/>
                <w:color w:val="000000"/>
                <w:sz w:val="16"/>
              </w:rPr>
              <w:t>Intra-group exemption possible with PRA approval (PS1/26 Ch.13.3)</w:t>
            </w:r>
          </w:p>
        </w:tc>
        <w:tc>
          <w:tcPr>
            <w:tcW w:type="dxa" w:w="3456"/>
            <w:shd w:fill="FFFFFF" w:val="clear"/>
          </w:tcPr>
          <w:p>
            <w:pPr>
              <w:jc w:val="left"/>
            </w:pPr>
            <w:r/>
            <w:r>
              <w:rPr>
                <w:rFonts w:ascii="Calibri" w:hAnsi="Calibri"/>
                <w:b w:val="0"/>
                <w:color w:val="000000"/>
                <w:sz w:val="16"/>
              </w:rPr>
              <w:t>Intra-group full or partial exemption per NCA (CRR3 Art 400(2))</w:t>
            </w:r>
          </w:p>
        </w:tc>
      </w:tr>
    </w:tbl>
    <w:p>
      <w:r>
        <w:rPr>
          <w:rFonts w:ascii="Calibri" w:hAnsi="Calibri"/>
          <w:b/>
          <w:color w:val="002060"/>
          <w:sz w:val="22"/>
        </w:rPr>
        <w:t>15.4 Liquidity: LCR &amp; NSFR</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LCR Minimum</w:t>
            </w:r>
          </w:p>
        </w:tc>
        <w:tc>
          <w:tcPr>
            <w:tcW w:type="dxa" w:w="3456"/>
            <w:shd w:fill="F2F2F2" w:val="clear"/>
          </w:tcPr>
          <w:p>
            <w:pPr>
              <w:jc w:val="left"/>
            </w:pPr>
            <w:r/>
            <w:r>
              <w:rPr>
                <w:rFonts w:ascii="Calibri" w:hAnsi="Calibri"/>
                <w:b w:val="0"/>
                <w:color w:val="000000"/>
                <w:sz w:val="16"/>
              </w:rPr>
              <w:t>100% (12 CFR 249.10)</w:t>
            </w:r>
          </w:p>
        </w:tc>
        <w:tc>
          <w:tcPr>
            <w:tcW w:type="dxa" w:w="3456"/>
            <w:shd w:fill="F2F2F2" w:val="clear"/>
          </w:tcPr>
          <w:p>
            <w:pPr>
              <w:jc w:val="left"/>
            </w:pPr>
            <w:r/>
            <w:r>
              <w:rPr>
                <w:rFonts w:ascii="Calibri" w:hAnsi="Calibri"/>
                <w:b w:val="0"/>
                <w:color w:val="000000"/>
                <w:sz w:val="16"/>
              </w:rPr>
              <w:t>100% (PRA PS2/18)</w:t>
            </w:r>
          </w:p>
        </w:tc>
        <w:tc>
          <w:tcPr>
            <w:tcW w:type="dxa" w:w="3456"/>
            <w:shd w:fill="F2F2F2" w:val="clear"/>
          </w:tcPr>
          <w:p>
            <w:pPr>
              <w:jc w:val="left"/>
            </w:pPr>
            <w:r/>
            <w:r>
              <w:rPr>
                <w:rFonts w:ascii="Calibri" w:hAnsi="Calibri"/>
                <w:b w:val="0"/>
                <w:color w:val="000000"/>
                <w:sz w:val="16"/>
              </w:rPr>
              <w:t>100% (CRR3 Art 412(1))</w:t>
            </w:r>
          </w:p>
        </w:tc>
      </w:tr>
      <w:tr>
        <w:tc>
          <w:tcPr>
            <w:tcW w:type="dxa" w:w="3456"/>
            <w:shd w:fill="FFFFFF" w:val="clear"/>
          </w:tcPr>
          <w:p>
            <w:pPr>
              <w:jc w:val="left"/>
            </w:pPr>
            <w:r/>
            <w:r>
              <w:rPr>
                <w:rFonts w:ascii="Calibri" w:hAnsi="Calibri"/>
                <w:b/>
                <w:color w:val="000000"/>
                <w:sz w:val="16"/>
              </w:rPr>
              <w:t>LCR HQLA Definition</w:t>
            </w:r>
          </w:p>
        </w:tc>
        <w:tc>
          <w:tcPr>
            <w:tcW w:type="dxa" w:w="3456"/>
            <w:shd w:fill="FFFFFF" w:val="clear"/>
          </w:tcPr>
          <w:p>
            <w:pPr>
              <w:jc w:val="left"/>
            </w:pPr>
            <w:r/>
            <w:r>
              <w:rPr>
                <w:rFonts w:ascii="Calibri" w:hAnsi="Calibri"/>
                <w:b w:val="0"/>
                <w:color w:val="000000"/>
                <w:sz w:val="16"/>
              </w:rPr>
              <w:t>Level 1 (0% haircut): cash, reserves, UST. Level 2A (15%): agency MBS, GSE. Level 2B (50%): corporate bonds IG, equity (12 CFR 249.20-22)</w:t>
            </w:r>
          </w:p>
        </w:tc>
        <w:tc>
          <w:tcPr>
            <w:tcW w:type="dxa" w:w="3456"/>
            <w:shd w:fill="FFFFFF" w:val="clear"/>
          </w:tcPr>
          <w:p>
            <w:pPr>
              <w:jc w:val="left"/>
            </w:pPr>
            <w:r/>
            <w:r>
              <w:rPr>
                <w:rFonts w:ascii="Calibri" w:hAnsi="Calibri"/>
                <w:b w:val="0"/>
                <w:color w:val="000000"/>
                <w:sz w:val="16"/>
              </w:rPr>
              <w:t>Similar with UK sovereign in L1 (PRA PS2/18 Ch.3)</w:t>
            </w:r>
          </w:p>
        </w:tc>
        <w:tc>
          <w:tcPr>
            <w:tcW w:type="dxa" w:w="3456"/>
            <w:shd w:fill="FFFFFF" w:val="clear"/>
          </w:tcPr>
          <w:p>
            <w:pPr>
              <w:jc w:val="left"/>
            </w:pPr>
            <w:r/>
            <w:r>
              <w:rPr>
                <w:rFonts w:ascii="Calibri" w:hAnsi="Calibri"/>
                <w:b w:val="0"/>
                <w:color w:val="000000"/>
                <w:sz w:val="16"/>
              </w:rPr>
              <w:t>Similar with MS sovereign in L1 (LCR Delegated Act 2015/61)</w:t>
            </w:r>
          </w:p>
        </w:tc>
      </w:tr>
      <w:tr>
        <w:tc>
          <w:tcPr>
            <w:tcW w:type="dxa" w:w="3456"/>
            <w:shd w:fill="F2F2F2" w:val="clear"/>
          </w:tcPr>
          <w:p>
            <w:pPr>
              <w:jc w:val="left"/>
            </w:pPr>
            <w:r/>
            <w:r>
              <w:rPr>
                <w:rFonts w:ascii="Calibri" w:hAnsi="Calibri"/>
                <w:b/>
                <w:color w:val="000000"/>
                <w:sz w:val="16"/>
              </w:rPr>
              <w:t>NSFR Minimum</w:t>
            </w:r>
          </w:p>
        </w:tc>
        <w:tc>
          <w:tcPr>
            <w:tcW w:type="dxa" w:w="3456"/>
            <w:shd w:fill="F2F2F2" w:val="clear"/>
          </w:tcPr>
          <w:p>
            <w:pPr>
              <w:jc w:val="left"/>
            </w:pPr>
            <w:r/>
            <w:r>
              <w:rPr>
                <w:rFonts w:ascii="Calibri" w:hAnsi="Calibri"/>
                <w:b w:val="0"/>
                <w:color w:val="000000"/>
                <w:sz w:val="16"/>
              </w:rPr>
              <w:t>100% (12 CFR 249.100)</w:t>
            </w:r>
          </w:p>
        </w:tc>
        <w:tc>
          <w:tcPr>
            <w:tcW w:type="dxa" w:w="3456"/>
            <w:shd w:fill="F2F2F2" w:val="clear"/>
          </w:tcPr>
          <w:p>
            <w:pPr>
              <w:jc w:val="left"/>
            </w:pPr>
            <w:r/>
            <w:r>
              <w:rPr>
                <w:rFonts w:ascii="Calibri" w:hAnsi="Calibri"/>
                <w:b w:val="0"/>
                <w:color w:val="000000"/>
                <w:sz w:val="16"/>
              </w:rPr>
              <w:t>100% (PRA PS22/21)</w:t>
            </w:r>
          </w:p>
        </w:tc>
        <w:tc>
          <w:tcPr>
            <w:tcW w:type="dxa" w:w="3456"/>
            <w:shd w:fill="F2F2F2" w:val="clear"/>
          </w:tcPr>
          <w:p>
            <w:pPr>
              <w:jc w:val="left"/>
            </w:pPr>
            <w:r/>
            <w:r>
              <w:rPr>
                <w:rFonts w:ascii="Calibri" w:hAnsi="Calibri"/>
                <w:b w:val="0"/>
                <w:color w:val="000000"/>
                <w:sz w:val="16"/>
              </w:rPr>
              <w:t>100% (CRR3 Art 428a)</w:t>
            </w:r>
          </w:p>
        </w:tc>
      </w:tr>
      <w:tr>
        <w:tc>
          <w:tcPr>
            <w:tcW w:type="dxa" w:w="3456"/>
            <w:shd w:fill="FFFFFF" w:val="clear"/>
          </w:tcPr>
          <w:p>
            <w:pPr>
              <w:jc w:val="left"/>
            </w:pPr>
            <w:r/>
            <w:r>
              <w:rPr>
                <w:rFonts w:ascii="Calibri" w:hAnsi="Calibri"/>
                <w:b/>
                <w:color w:val="000000"/>
                <w:sz w:val="16"/>
              </w:rPr>
              <w:t>NSFR ASF Factors</w:t>
            </w:r>
          </w:p>
        </w:tc>
        <w:tc>
          <w:tcPr>
            <w:tcW w:type="dxa" w:w="3456"/>
            <w:shd w:fill="FFFFFF" w:val="clear"/>
          </w:tcPr>
          <w:p>
            <w:pPr>
              <w:jc w:val="left"/>
            </w:pPr>
            <w:r/>
            <w:r>
              <w:rPr>
                <w:rFonts w:ascii="Calibri" w:hAnsi="Calibri"/>
                <w:b w:val="0"/>
                <w:color w:val="000000"/>
                <w:sz w:val="16"/>
              </w:rPr>
              <w:t>Per US NSFR rule 12 CFR 249.104-106</w:t>
            </w:r>
          </w:p>
        </w:tc>
        <w:tc>
          <w:tcPr>
            <w:tcW w:type="dxa" w:w="3456"/>
            <w:shd w:fill="FFFFFF" w:val="clear"/>
          </w:tcPr>
          <w:p>
            <w:pPr>
              <w:jc w:val="left"/>
            </w:pPr>
            <w:r/>
            <w:r>
              <w:rPr>
                <w:rFonts w:ascii="Calibri" w:hAnsi="Calibri"/>
                <w:b w:val="0"/>
                <w:color w:val="000000"/>
                <w:sz w:val="16"/>
              </w:rPr>
              <w:t>Per PRA PS22/21</w:t>
            </w:r>
          </w:p>
        </w:tc>
        <w:tc>
          <w:tcPr>
            <w:tcW w:type="dxa" w:w="3456"/>
            <w:shd w:fill="FFFFFF" w:val="clear"/>
          </w:tcPr>
          <w:p>
            <w:pPr>
              <w:jc w:val="left"/>
            </w:pPr>
            <w:r/>
            <w:r>
              <w:rPr>
                <w:rFonts w:ascii="Calibri" w:hAnsi="Calibri"/>
                <w:b w:val="0"/>
                <w:color w:val="000000"/>
                <w:sz w:val="16"/>
              </w:rPr>
              <w:t>Per CRR3 Art 428k-428n</w:t>
            </w:r>
          </w:p>
        </w:tc>
      </w:tr>
      <w:tr>
        <w:tc>
          <w:tcPr>
            <w:tcW w:type="dxa" w:w="3456"/>
            <w:shd w:fill="F2F2F2" w:val="clear"/>
          </w:tcPr>
          <w:p>
            <w:pPr>
              <w:jc w:val="left"/>
            </w:pPr>
            <w:r/>
            <w:r>
              <w:rPr>
                <w:rFonts w:ascii="Calibri" w:hAnsi="Calibri"/>
                <w:b/>
                <w:color w:val="000000"/>
                <w:sz w:val="16"/>
              </w:rPr>
              <w:t>NSFR RSF Factors</w:t>
            </w:r>
          </w:p>
        </w:tc>
        <w:tc>
          <w:tcPr>
            <w:tcW w:type="dxa" w:w="3456"/>
            <w:shd w:fill="F2F2F2" w:val="clear"/>
          </w:tcPr>
          <w:p>
            <w:pPr>
              <w:jc w:val="left"/>
            </w:pPr>
            <w:r/>
            <w:r>
              <w:rPr>
                <w:rFonts w:ascii="Calibri" w:hAnsi="Calibri"/>
                <w:b w:val="0"/>
                <w:color w:val="000000"/>
                <w:sz w:val="16"/>
              </w:rPr>
              <w:t>Per US NSFR rule 12 CFR 249.107-109</w:t>
            </w:r>
          </w:p>
        </w:tc>
        <w:tc>
          <w:tcPr>
            <w:tcW w:type="dxa" w:w="3456"/>
            <w:shd w:fill="F2F2F2" w:val="clear"/>
          </w:tcPr>
          <w:p>
            <w:pPr>
              <w:jc w:val="left"/>
            </w:pPr>
            <w:r/>
            <w:r>
              <w:rPr>
                <w:rFonts w:ascii="Calibri" w:hAnsi="Calibri"/>
                <w:b w:val="0"/>
                <w:color w:val="000000"/>
                <w:sz w:val="16"/>
              </w:rPr>
              <w:t>Per PRA PS22/21</w:t>
            </w:r>
          </w:p>
        </w:tc>
        <w:tc>
          <w:tcPr>
            <w:tcW w:type="dxa" w:w="3456"/>
            <w:shd w:fill="F2F2F2" w:val="clear"/>
          </w:tcPr>
          <w:p>
            <w:pPr>
              <w:jc w:val="left"/>
            </w:pPr>
            <w:r/>
            <w:r>
              <w:rPr>
                <w:rFonts w:ascii="Calibri" w:hAnsi="Calibri"/>
                <w:b w:val="0"/>
                <w:color w:val="000000"/>
                <w:sz w:val="16"/>
              </w:rPr>
              <w:t>Per CRR3 Art 428o-428r</w:t>
            </w:r>
          </w:p>
        </w:tc>
      </w:tr>
    </w:tbl>
    <w:p>
      <w:r>
        <w:br w:type="page"/>
      </w:r>
    </w:p>
    <w:p>
      <w:r>
        <w:rPr>
          <w:rFonts w:ascii="Calibri" w:hAnsi="Calibri"/>
          <w:b/>
          <w:color w:val="C8962E"/>
          <w:sz w:val="28"/>
        </w:rPr>
        <w:t>SECTION 16</w:t>
      </w:r>
    </w:p>
    <w:p>
      <w:r>
        <w:rPr>
          <w:rFonts w:ascii="Calibri" w:hAnsi="Calibri"/>
          <w:b/>
          <w:color w:val="002060"/>
          <w:sz w:val="32"/>
        </w:rPr>
        <w:t>Crypto-Assets, ESG Integration &amp; Digital Assets</w:t>
      </w:r>
    </w:p>
    <w:p>
      <w:r>
        <w:rPr>
          <w:color w:val="C8962E"/>
          <w:sz w:val="12"/>
        </w:rPr>
        <w:t>________________________________________________________________________________________________________________________</w:t>
      </w:r>
    </w:p>
    <w:p>
      <w:r>
        <w:rPr>
          <w:rFonts w:ascii="Calibri" w:hAnsi="Calibri"/>
          <w:b/>
          <w:color w:val="002060"/>
          <w:sz w:val="22"/>
        </w:rPr>
        <w:t>16.1 Crypto-Asset Prudential Treatment</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BCBS Crypto Standard</w:t>
            </w:r>
          </w:p>
        </w:tc>
        <w:tc>
          <w:tcPr>
            <w:tcW w:type="dxa" w:w="3456"/>
            <w:shd w:fill="F2F2F2" w:val="clear"/>
          </w:tcPr>
          <w:p>
            <w:pPr>
              <w:jc w:val="left"/>
            </w:pPr>
            <w:r/>
            <w:r>
              <w:rPr>
                <w:rFonts w:ascii="Calibri" w:hAnsi="Calibri"/>
                <w:b w:val="0"/>
                <w:color w:val="000000"/>
                <w:sz w:val="16"/>
              </w:rPr>
              <w:t>BCBS d545 (Dec 2022): Group 1a (tokenized), Group 1b (stablecoins), Group 2 (unbacked). US has not formally adopted but issued interagency guidance</w:t>
            </w:r>
          </w:p>
        </w:tc>
        <w:tc>
          <w:tcPr>
            <w:tcW w:type="dxa" w:w="3456"/>
            <w:shd w:fill="F2F2F2" w:val="clear"/>
          </w:tcPr>
          <w:p>
            <w:pPr>
              <w:jc w:val="left"/>
            </w:pPr>
            <w:r/>
            <w:r>
              <w:rPr>
                <w:rFonts w:ascii="Calibri" w:hAnsi="Calibri"/>
                <w:b w:val="0"/>
                <w:color w:val="000000"/>
                <w:sz w:val="16"/>
              </w:rPr>
              <w:t>PRA has not formally adopted d545; monitoring approach. Crypto-asset exposures expected to be immaterial (PRA Dear CEO letter 2022)</w:t>
            </w:r>
          </w:p>
        </w:tc>
        <w:tc>
          <w:tcPr>
            <w:tcW w:type="dxa" w:w="3456"/>
            <w:shd w:fill="F2F2F2" w:val="clear"/>
          </w:tcPr>
          <w:p>
            <w:pPr>
              <w:jc w:val="left"/>
            </w:pPr>
            <w:r/>
            <w:r>
              <w:rPr>
                <w:rFonts w:ascii="Calibri" w:hAnsi="Calibri"/>
                <w:b w:val="0"/>
                <w:color w:val="000000"/>
                <w:sz w:val="16"/>
              </w:rPr>
              <w:t>EBA implementing via CRR3 Art 501c; delegated act expected 2025. MiCA framework for market regulation</w:t>
            </w:r>
          </w:p>
        </w:tc>
      </w:tr>
      <w:tr>
        <w:tc>
          <w:tcPr>
            <w:tcW w:type="dxa" w:w="3456"/>
            <w:shd w:fill="FFFFFF" w:val="clear"/>
          </w:tcPr>
          <w:p>
            <w:pPr>
              <w:jc w:val="left"/>
            </w:pPr>
            <w:r/>
            <w:r>
              <w:rPr>
                <w:rFonts w:ascii="Calibri" w:hAnsi="Calibri"/>
                <w:b/>
                <w:color w:val="000000"/>
                <w:sz w:val="16"/>
              </w:rPr>
              <w:t>Group 1a (Tokenized)</w:t>
            </w:r>
          </w:p>
        </w:tc>
        <w:tc>
          <w:tcPr>
            <w:tcW w:type="dxa" w:w="3456"/>
            <w:shd w:fill="FFFFFF" w:val="clear"/>
          </w:tcPr>
          <w:p>
            <w:pPr>
              <w:jc w:val="left"/>
            </w:pPr>
            <w:r/>
            <w:r>
              <w:rPr>
                <w:rFonts w:ascii="Calibri" w:hAnsi="Calibri"/>
                <w:b w:val="0"/>
                <w:color w:val="000000"/>
                <w:sz w:val="16"/>
              </w:rPr>
              <w:t>Treated as underlying traditional asset (interagency guidance 2023). UST on blockchain = 0% RW</w:t>
            </w:r>
          </w:p>
        </w:tc>
        <w:tc>
          <w:tcPr>
            <w:tcW w:type="dxa" w:w="3456"/>
            <w:shd w:fill="FFFFFF" w:val="clear"/>
          </w:tcPr>
          <w:p>
            <w:pPr>
              <w:jc w:val="left"/>
            </w:pPr>
            <w:r/>
            <w:r>
              <w:rPr>
                <w:rFonts w:ascii="Calibri" w:hAnsi="Calibri"/>
                <w:b w:val="0"/>
                <w:color w:val="000000"/>
                <w:sz w:val="16"/>
              </w:rPr>
              <w:t>Follow underlying asset treatment (PRA guidance)</w:t>
            </w:r>
          </w:p>
        </w:tc>
        <w:tc>
          <w:tcPr>
            <w:tcW w:type="dxa" w:w="3456"/>
            <w:shd w:fill="FFFFFF" w:val="clear"/>
          </w:tcPr>
          <w:p>
            <w:pPr>
              <w:jc w:val="left"/>
            </w:pPr>
            <w:r/>
            <w:r>
              <w:rPr>
                <w:rFonts w:ascii="Calibri" w:hAnsi="Calibri"/>
                <w:b w:val="0"/>
                <w:color w:val="000000"/>
                <w:sz w:val="16"/>
              </w:rPr>
              <w:t>Follow underlying asset per CRR3 Art 501c(2)</w:t>
            </w:r>
          </w:p>
        </w:tc>
      </w:tr>
      <w:tr>
        <w:tc>
          <w:tcPr>
            <w:tcW w:type="dxa" w:w="3456"/>
            <w:shd w:fill="F2F2F2" w:val="clear"/>
          </w:tcPr>
          <w:p>
            <w:pPr>
              <w:jc w:val="left"/>
            </w:pPr>
            <w:r/>
            <w:r>
              <w:rPr>
                <w:rFonts w:ascii="Calibri" w:hAnsi="Calibri"/>
                <w:b/>
                <w:color w:val="000000"/>
                <w:sz w:val="16"/>
              </w:rPr>
              <w:t>Group 1b (Stablecoins)</w:t>
            </w:r>
          </w:p>
        </w:tc>
        <w:tc>
          <w:tcPr>
            <w:tcW w:type="dxa" w:w="3456"/>
            <w:shd w:fill="F2F2F2" w:val="clear"/>
          </w:tcPr>
          <w:p>
            <w:pPr>
              <w:jc w:val="left"/>
            </w:pPr>
            <w:r/>
            <w:r>
              <w:rPr>
                <w:rFonts w:ascii="Calibri" w:hAnsi="Calibri"/>
                <w:b w:val="0"/>
                <w:color w:val="000000"/>
                <w:sz w:val="16"/>
              </w:rPr>
              <w:t>Case-by-case assessment; reserve-backed stablecoins may receive 100% RW (interagency guidance)</w:t>
            </w:r>
          </w:p>
        </w:tc>
        <w:tc>
          <w:tcPr>
            <w:tcW w:type="dxa" w:w="3456"/>
            <w:shd w:fill="F2F2F2" w:val="clear"/>
          </w:tcPr>
          <w:p>
            <w:pPr>
              <w:jc w:val="left"/>
            </w:pPr>
            <w:r/>
            <w:r>
              <w:rPr>
                <w:rFonts w:ascii="Calibri" w:hAnsi="Calibri"/>
                <w:b w:val="0"/>
                <w:color w:val="000000"/>
                <w:sz w:val="16"/>
              </w:rPr>
              <w:t>PRA assessment pending</w:t>
            </w:r>
          </w:p>
        </w:tc>
        <w:tc>
          <w:tcPr>
            <w:tcW w:type="dxa" w:w="3456"/>
            <w:shd w:fill="F2F2F2" w:val="clear"/>
          </w:tcPr>
          <w:p>
            <w:pPr>
              <w:jc w:val="left"/>
            </w:pPr>
            <w:r/>
            <w:r>
              <w:rPr>
                <w:rFonts w:ascii="Calibri" w:hAnsi="Calibri"/>
                <w:b w:val="0"/>
                <w:color w:val="000000"/>
                <w:sz w:val="16"/>
              </w:rPr>
              <w:t>Assessment pending EBA delegated act</w:t>
            </w:r>
          </w:p>
        </w:tc>
      </w:tr>
      <w:tr>
        <w:tc>
          <w:tcPr>
            <w:tcW w:type="dxa" w:w="3456"/>
            <w:shd w:fill="FFFFFF" w:val="clear"/>
          </w:tcPr>
          <w:p>
            <w:pPr>
              <w:jc w:val="left"/>
            </w:pPr>
            <w:r/>
            <w:r>
              <w:rPr>
                <w:rFonts w:ascii="Calibri" w:hAnsi="Calibri"/>
                <w:b/>
                <w:color w:val="000000"/>
                <w:sz w:val="16"/>
              </w:rPr>
              <w:t>Group 2a (Unbacked, Hedgeable)</w:t>
            </w:r>
          </w:p>
        </w:tc>
        <w:tc>
          <w:tcPr>
            <w:tcW w:type="dxa" w:w="3456"/>
            <w:shd w:fill="FFFFFF" w:val="clear"/>
          </w:tcPr>
          <w:p>
            <w:pPr>
              <w:jc w:val="left"/>
            </w:pPr>
            <w:r/>
            <w:r>
              <w:rPr>
                <w:rFonts w:ascii="Calibri" w:hAnsi="Calibri"/>
                <w:b w:val="0"/>
                <w:color w:val="000000"/>
                <w:sz w:val="16"/>
              </w:rPr>
              <w:t>1250% RW (BCBS d545 guidance adopted informally). Aggregate exposure cap 1% T1</w:t>
            </w:r>
          </w:p>
        </w:tc>
        <w:tc>
          <w:tcPr>
            <w:tcW w:type="dxa" w:w="3456"/>
            <w:shd w:fill="FFFFFF" w:val="clear"/>
          </w:tcPr>
          <w:p>
            <w:pPr>
              <w:jc w:val="left"/>
            </w:pPr>
            <w:r/>
            <w:r>
              <w:rPr>
                <w:rFonts w:ascii="Calibri" w:hAnsi="Calibri"/>
                <w:b w:val="0"/>
                <w:color w:val="000000"/>
                <w:sz w:val="16"/>
              </w:rPr>
              <w:t>Expected 1250% per BCBS alignment</w:t>
            </w:r>
          </w:p>
        </w:tc>
        <w:tc>
          <w:tcPr>
            <w:tcW w:type="dxa" w:w="3456"/>
            <w:shd w:fill="FFFFFF" w:val="clear"/>
          </w:tcPr>
          <w:p>
            <w:pPr>
              <w:jc w:val="left"/>
            </w:pPr>
            <w:r/>
            <w:r>
              <w:rPr>
                <w:rFonts w:ascii="Calibri" w:hAnsi="Calibri"/>
                <w:b w:val="0"/>
                <w:color w:val="000000"/>
                <w:sz w:val="16"/>
              </w:rPr>
              <w:t>1250% per CRR3 Art 501c(4)</w:t>
            </w:r>
          </w:p>
        </w:tc>
      </w:tr>
      <w:tr>
        <w:tc>
          <w:tcPr>
            <w:tcW w:type="dxa" w:w="3456"/>
            <w:shd w:fill="F2F2F2" w:val="clear"/>
          </w:tcPr>
          <w:p>
            <w:pPr>
              <w:jc w:val="left"/>
            </w:pPr>
            <w:r/>
            <w:r>
              <w:rPr>
                <w:rFonts w:ascii="Calibri" w:hAnsi="Calibri"/>
                <w:b/>
                <w:color w:val="000000"/>
                <w:sz w:val="16"/>
              </w:rPr>
              <w:t>Group 2b (Unbacked, Other)</w:t>
            </w:r>
          </w:p>
        </w:tc>
        <w:tc>
          <w:tcPr>
            <w:tcW w:type="dxa" w:w="3456"/>
            <w:shd w:fill="F2F2F2" w:val="clear"/>
          </w:tcPr>
          <w:p>
            <w:pPr>
              <w:jc w:val="left"/>
            </w:pPr>
            <w:r/>
            <w:r>
              <w:rPr>
                <w:rFonts w:ascii="Calibri" w:hAnsi="Calibri"/>
                <w:b w:val="0"/>
                <w:color w:val="000000"/>
                <w:sz w:val="16"/>
              </w:rPr>
              <w:t>1250% RW (BCBS d545). Most crypto-assets fall here (BTC, ETH, etc.)</w:t>
            </w:r>
          </w:p>
        </w:tc>
        <w:tc>
          <w:tcPr>
            <w:tcW w:type="dxa" w:w="3456"/>
            <w:shd w:fill="F2F2F2" w:val="clear"/>
          </w:tcPr>
          <w:p>
            <w:pPr>
              <w:jc w:val="left"/>
            </w:pPr>
            <w:r/>
            <w:r>
              <w:rPr>
                <w:rFonts w:ascii="Calibri" w:hAnsi="Calibri"/>
                <w:b w:val="0"/>
                <w:color w:val="000000"/>
                <w:sz w:val="16"/>
              </w:rPr>
              <w:t>Expected 1250%</w:t>
            </w:r>
          </w:p>
        </w:tc>
        <w:tc>
          <w:tcPr>
            <w:tcW w:type="dxa" w:w="3456"/>
            <w:shd w:fill="F2F2F2" w:val="clear"/>
          </w:tcPr>
          <w:p>
            <w:pPr>
              <w:jc w:val="left"/>
            </w:pPr>
            <w:r/>
            <w:r>
              <w:rPr>
                <w:rFonts w:ascii="Calibri" w:hAnsi="Calibri"/>
                <w:b w:val="0"/>
                <w:color w:val="000000"/>
                <w:sz w:val="16"/>
              </w:rPr>
              <w:t>1250% per CRR3 Art 501c(4)</w:t>
            </w:r>
          </w:p>
        </w:tc>
      </w:tr>
      <w:tr>
        <w:tc>
          <w:tcPr>
            <w:tcW w:type="dxa" w:w="3456"/>
            <w:shd w:fill="FFFFFF" w:val="clear"/>
          </w:tcPr>
          <w:p>
            <w:pPr>
              <w:jc w:val="left"/>
            </w:pPr>
            <w:r/>
            <w:r>
              <w:rPr>
                <w:rFonts w:ascii="Calibri" w:hAnsi="Calibri"/>
                <w:b/>
                <w:color w:val="000000"/>
                <w:sz w:val="16"/>
              </w:rPr>
              <w:t>Exposure Cap</w:t>
            </w:r>
          </w:p>
        </w:tc>
        <w:tc>
          <w:tcPr>
            <w:tcW w:type="dxa" w:w="3456"/>
            <w:shd w:fill="FFFFFF" w:val="clear"/>
          </w:tcPr>
          <w:p>
            <w:pPr>
              <w:jc w:val="left"/>
            </w:pPr>
            <w:r/>
            <w:r>
              <w:rPr>
                <w:rFonts w:ascii="Calibri" w:hAnsi="Calibri"/>
                <w:b w:val="0"/>
                <w:color w:val="000000"/>
                <w:sz w:val="16"/>
              </w:rPr>
              <w:t>Aggregate Group 2 exposure should not exceed 1% of T1 (BCBS d545 para 60.77)</w:t>
            </w:r>
          </w:p>
        </w:tc>
        <w:tc>
          <w:tcPr>
            <w:tcW w:type="dxa" w:w="3456"/>
            <w:shd w:fill="FFFFFF" w:val="clear"/>
          </w:tcPr>
          <w:p>
            <w:pPr>
              <w:jc w:val="left"/>
            </w:pPr>
            <w:r/>
            <w:r>
              <w:rPr>
                <w:rFonts w:ascii="Calibri" w:hAnsi="Calibri"/>
                <w:b w:val="0"/>
                <w:color w:val="000000"/>
                <w:sz w:val="16"/>
              </w:rPr>
              <w:t>Supervisory expectation for immateriality</w:t>
            </w:r>
          </w:p>
        </w:tc>
        <w:tc>
          <w:tcPr>
            <w:tcW w:type="dxa" w:w="3456"/>
            <w:shd w:fill="FFFFFF" w:val="clear"/>
          </w:tcPr>
          <w:p>
            <w:pPr>
              <w:jc w:val="left"/>
            </w:pPr>
            <w:r/>
            <w:r>
              <w:rPr>
                <w:rFonts w:ascii="Calibri" w:hAnsi="Calibri"/>
                <w:b w:val="0"/>
                <w:color w:val="000000"/>
                <w:sz w:val="16"/>
              </w:rPr>
              <w:t>1% T1 cap for Group 2 (CRR3 Art 501c(5))</w:t>
            </w:r>
          </w:p>
        </w:tc>
      </w:tr>
      <w:tr>
        <w:tc>
          <w:tcPr>
            <w:tcW w:type="dxa" w:w="3456"/>
            <w:shd w:fill="F2F2F2" w:val="clear"/>
          </w:tcPr>
          <w:p>
            <w:pPr>
              <w:jc w:val="left"/>
            </w:pPr>
            <w:r/>
            <w:r>
              <w:rPr>
                <w:rFonts w:ascii="Calibri" w:hAnsi="Calibri"/>
                <w:b/>
                <w:color w:val="000000"/>
                <w:sz w:val="16"/>
              </w:rPr>
              <w:t>Infrastructure Exposure</w:t>
            </w:r>
          </w:p>
        </w:tc>
        <w:tc>
          <w:tcPr>
            <w:tcW w:type="dxa" w:w="3456"/>
            <w:shd w:fill="F2F2F2" w:val="clear"/>
          </w:tcPr>
          <w:p>
            <w:pPr>
              <w:jc w:val="left"/>
            </w:pPr>
            <w:r/>
            <w:r>
              <w:rPr>
                <w:rFonts w:ascii="Calibri" w:hAnsi="Calibri"/>
                <w:b w:val="0"/>
                <w:color w:val="000000"/>
                <w:sz w:val="16"/>
              </w:rPr>
              <w:t>Blockchain infrastructure: standard operational risk treatment</w:t>
            </w:r>
          </w:p>
        </w:tc>
        <w:tc>
          <w:tcPr>
            <w:tcW w:type="dxa" w:w="3456"/>
            <w:shd w:fill="F2F2F2" w:val="clear"/>
          </w:tcPr>
          <w:p>
            <w:pPr>
              <w:jc w:val="left"/>
            </w:pPr>
            <w:r/>
            <w:r>
              <w:rPr>
                <w:rFonts w:ascii="Calibri" w:hAnsi="Calibri"/>
                <w:b w:val="0"/>
                <w:color w:val="000000"/>
                <w:sz w:val="16"/>
              </w:rPr>
              <w:t>Standard treatment</w:t>
            </w:r>
          </w:p>
        </w:tc>
        <w:tc>
          <w:tcPr>
            <w:tcW w:type="dxa" w:w="3456"/>
            <w:shd w:fill="F2F2F2" w:val="clear"/>
          </w:tcPr>
          <w:p>
            <w:pPr>
              <w:jc w:val="left"/>
            </w:pPr>
            <w:r/>
            <w:r>
              <w:rPr>
                <w:rFonts w:ascii="Calibri" w:hAnsi="Calibri"/>
                <w:b w:val="0"/>
                <w:color w:val="000000"/>
                <w:sz w:val="16"/>
              </w:rPr>
              <w:t>Standard treatment</w:t>
            </w:r>
          </w:p>
        </w:tc>
      </w:tr>
    </w:tbl>
    <w:p>
      <w:r>
        <w:rPr>
          <w:rFonts w:ascii="Calibri" w:hAnsi="Calibri"/>
          <w:b/>
          <w:color w:val="002060"/>
          <w:sz w:val="22"/>
        </w:rPr>
        <w:t>16.2 ESG Risk Integration</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ESG in Pillar 1</w:t>
            </w:r>
          </w:p>
        </w:tc>
        <w:tc>
          <w:tcPr>
            <w:tcW w:type="dxa" w:w="3456"/>
            <w:shd w:fill="F2F2F2" w:val="clear"/>
          </w:tcPr>
          <w:p>
            <w:pPr>
              <w:jc w:val="left"/>
            </w:pPr>
            <w:r/>
            <w:r>
              <w:rPr>
                <w:rFonts w:ascii="Calibri" w:hAnsi="Calibri"/>
                <w:b w:val="0"/>
                <w:color w:val="000000"/>
                <w:sz w:val="16"/>
              </w:rPr>
              <w:t>No explicit ESG adjustment to RW (US position: risks captured via existing framework)</w:t>
            </w:r>
          </w:p>
        </w:tc>
        <w:tc>
          <w:tcPr>
            <w:tcW w:type="dxa" w:w="3456"/>
            <w:shd w:fill="F2F2F2" w:val="clear"/>
          </w:tcPr>
          <w:p>
            <w:pPr>
              <w:jc w:val="left"/>
            </w:pPr>
            <w:r/>
            <w:r>
              <w:rPr>
                <w:rFonts w:ascii="Calibri" w:hAnsi="Calibri"/>
                <w:b w:val="0"/>
                <w:color w:val="000000"/>
                <w:sz w:val="16"/>
              </w:rPr>
              <w:t>No explicit Pillar 1 adjustment; Pillar 2 assessment (PS1/26 Ch.15.3)</w:t>
            </w:r>
          </w:p>
        </w:tc>
        <w:tc>
          <w:tcPr>
            <w:tcW w:type="dxa" w:w="3456"/>
            <w:shd w:fill="F2F2F2" w:val="clear"/>
          </w:tcPr>
          <w:p>
            <w:pPr>
              <w:jc w:val="left"/>
            </w:pPr>
            <w:r/>
            <w:r>
              <w:rPr>
                <w:rFonts w:ascii="Calibri" w:hAnsi="Calibri"/>
                <w:b w:val="0"/>
                <w:color w:val="000000"/>
                <w:sz w:val="16"/>
              </w:rPr>
              <w:t>No Pillar 1 adjustment yet; EBA report on green/brown supporting/penalizing factors expected 2025 (CRR3 Art 501d)</w:t>
            </w:r>
          </w:p>
        </w:tc>
      </w:tr>
      <w:tr>
        <w:tc>
          <w:tcPr>
            <w:tcW w:type="dxa" w:w="3456"/>
            <w:shd w:fill="FFFFFF" w:val="clear"/>
          </w:tcPr>
          <w:p>
            <w:pPr>
              <w:jc w:val="left"/>
            </w:pPr>
            <w:r/>
            <w:r>
              <w:rPr>
                <w:rFonts w:ascii="Calibri" w:hAnsi="Calibri"/>
                <w:b/>
                <w:color w:val="000000"/>
                <w:sz w:val="16"/>
              </w:rPr>
              <w:t>ESG in Pillar 2</w:t>
            </w:r>
          </w:p>
        </w:tc>
        <w:tc>
          <w:tcPr>
            <w:tcW w:type="dxa" w:w="3456"/>
            <w:shd w:fill="FFFFFF" w:val="clear"/>
          </w:tcPr>
          <w:p>
            <w:pPr>
              <w:jc w:val="left"/>
            </w:pPr>
            <w:r/>
            <w:r>
              <w:rPr>
                <w:rFonts w:ascii="Calibri" w:hAnsi="Calibri"/>
                <w:b w:val="0"/>
                <w:color w:val="000000"/>
                <w:sz w:val="16"/>
              </w:rPr>
              <w:t>OCC climate risk guidance; SR letter pending</w:t>
            </w:r>
          </w:p>
        </w:tc>
        <w:tc>
          <w:tcPr>
            <w:tcW w:type="dxa" w:w="3456"/>
            <w:shd w:fill="FFFFFF" w:val="clear"/>
          </w:tcPr>
          <w:p>
            <w:pPr>
              <w:jc w:val="left"/>
            </w:pPr>
            <w:r/>
            <w:r>
              <w:rPr>
                <w:rFonts w:ascii="Calibri" w:hAnsi="Calibri"/>
                <w:b w:val="0"/>
                <w:color w:val="000000"/>
                <w:sz w:val="16"/>
              </w:rPr>
              <w:t>PRA SS3/19: climate risk in ICAAP, scenario analysis required</w:t>
            </w:r>
          </w:p>
        </w:tc>
        <w:tc>
          <w:tcPr>
            <w:tcW w:type="dxa" w:w="3456"/>
            <w:shd w:fill="FFFFFF" w:val="clear"/>
          </w:tcPr>
          <w:p>
            <w:pPr>
              <w:jc w:val="left"/>
            </w:pPr>
            <w:r/>
            <w:r>
              <w:rPr>
                <w:rFonts w:ascii="Calibri" w:hAnsi="Calibri"/>
                <w:b w:val="0"/>
                <w:color w:val="000000"/>
                <w:sz w:val="16"/>
              </w:rPr>
              <w:t>CRD6 Art 73(3): ESG risks in ICAAP. Transition plans. SREP integration</w:t>
            </w:r>
          </w:p>
        </w:tc>
      </w:tr>
      <w:tr>
        <w:tc>
          <w:tcPr>
            <w:tcW w:type="dxa" w:w="3456"/>
            <w:shd w:fill="F2F2F2" w:val="clear"/>
          </w:tcPr>
          <w:p>
            <w:pPr>
              <w:jc w:val="left"/>
            </w:pPr>
            <w:r/>
            <w:r>
              <w:rPr>
                <w:rFonts w:ascii="Calibri" w:hAnsi="Calibri"/>
                <w:b/>
                <w:color w:val="000000"/>
                <w:sz w:val="16"/>
              </w:rPr>
              <w:t>ESG in Pillar 3</w:t>
            </w:r>
          </w:p>
        </w:tc>
        <w:tc>
          <w:tcPr>
            <w:tcW w:type="dxa" w:w="3456"/>
            <w:shd w:fill="F2F2F2" w:val="clear"/>
          </w:tcPr>
          <w:p>
            <w:pPr>
              <w:jc w:val="left"/>
            </w:pPr>
            <w:r/>
            <w:r>
              <w:rPr>
                <w:rFonts w:ascii="Calibri" w:hAnsi="Calibri"/>
                <w:b w:val="0"/>
                <w:color w:val="000000"/>
                <w:sz w:val="16"/>
              </w:rPr>
              <w:t>SEC climate disclosure (under litigation); no Basel-specific ESG P3</w:t>
            </w:r>
          </w:p>
        </w:tc>
        <w:tc>
          <w:tcPr>
            <w:tcW w:type="dxa" w:w="3456"/>
            <w:shd w:fill="F2F2F2" w:val="clear"/>
          </w:tcPr>
          <w:p>
            <w:pPr>
              <w:jc w:val="left"/>
            </w:pPr>
            <w:r/>
            <w:r>
              <w:rPr>
                <w:rFonts w:ascii="Calibri" w:hAnsi="Calibri"/>
                <w:b w:val="0"/>
                <w:color w:val="000000"/>
                <w:sz w:val="16"/>
              </w:rPr>
              <w:t>Climate scenario analysis disclosure via PS1/26 Ch.18.3</w:t>
            </w:r>
          </w:p>
        </w:tc>
        <w:tc>
          <w:tcPr>
            <w:tcW w:type="dxa" w:w="3456"/>
            <w:shd w:fill="F2F2F2" w:val="clear"/>
          </w:tcPr>
          <w:p>
            <w:pPr>
              <w:jc w:val="left"/>
            </w:pPr>
            <w:r/>
            <w:r>
              <w:rPr>
                <w:rFonts w:ascii="Calibri" w:hAnsi="Calibri"/>
                <w:b w:val="0"/>
                <w:color w:val="000000"/>
                <w:sz w:val="16"/>
              </w:rPr>
              <w:t>Full ESG Pillar 3: CRR3 Art 449a + EBA ITS. Qualitative + quantitative templates</w:t>
            </w:r>
          </w:p>
        </w:tc>
      </w:tr>
      <w:tr>
        <w:tc>
          <w:tcPr>
            <w:tcW w:type="dxa" w:w="3456"/>
            <w:shd w:fill="FFFFFF" w:val="clear"/>
          </w:tcPr>
          <w:p>
            <w:pPr>
              <w:jc w:val="left"/>
            </w:pPr>
            <w:r/>
            <w:r>
              <w:rPr>
                <w:rFonts w:ascii="Calibri" w:hAnsi="Calibri"/>
                <w:b/>
                <w:color w:val="000000"/>
                <w:sz w:val="16"/>
              </w:rPr>
              <w:t>Transition Risk RW</w:t>
            </w:r>
          </w:p>
        </w:tc>
        <w:tc>
          <w:tcPr>
            <w:tcW w:type="dxa" w:w="3456"/>
            <w:shd w:fill="FFFFFF" w:val="clear"/>
          </w:tcPr>
          <w:p>
            <w:pPr>
              <w:jc w:val="left"/>
            </w:pPr>
            <w:r/>
            <w:r>
              <w:rPr>
                <w:rFonts w:ascii="Calibri" w:hAnsi="Calibri"/>
                <w:b w:val="0"/>
                <w:color w:val="000000"/>
                <w:sz w:val="16"/>
              </w:rPr>
              <w:t>No differential treatment</w:t>
            </w:r>
          </w:p>
        </w:tc>
        <w:tc>
          <w:tcPr>
            <w:tcW w:type="dxa" w:w="3456"/>
            <w:shd w:fill="FFFFFF" w:val="clear"/>
          </w:tcPr>
          <w:p>
            <w:pPr>
              <w:jc w:val="left"/>
            </w:pPr>
            <w:r/>
            <w:r>
              <w:rPr>
                <w:rFonts w:ascii="Calibri" w:hAnsi="Calibri"/>
                <w:b w:val="0"/>
                <w:color w:val="000000"/>
                <w:sz w:val="16"/>
              </w:rPr>
              <w:t>No differential treatment</w:t>
            </w:r>
          </w:p>
        </w:tc>
        <w:tc>
          <w:tcPr>
            <w:tcW w:type="dxa" w:w="3456"/>
            <w:shd w:fill="FFFFFF" w:val="clear"/>
          </w:tcPr>
          <w:p>
            <w:pPr>
              <w:jc w:val="left"/>
            </w:pPr>
            <w:r/>
            <w:r>
              <w:rPr>
                <w:rFonts w:ascii="Calibri" w:hAnsi="Calibri"/>
                <w:b w:val="0"/>
                <w:color w:val="000000"/>
                <w:sz w:val="16"/>
              </w:rPr>
              <w:t>EBA to assess by end-2025 whether brown penalizing factor warranted (CRR3 Art 501d)</w:t>
            </w:r>
          </w:p>
        </w:tc>
      </w:tr>
      <w:tr>
        <w:tc>
          <w:tcPr>
            <w:tcW w:type="dxa" w:w="3456"/>
            <w:shd w:fill="F2F2F2" w:val="clear"/>
          </w:tcPr>
          <w:p>
            <w:pPr>
              <w:jc w:val="left"/>
            </w:pPr>
            <w:r/>
            <w:r>
              <w:rPr>
                <w:rFonts w:ascii="Calibri" w:hAnsi="Calibri"/>
                <w:b/>
                <w:color w:val="000000"/>
                <w:sz w:val="16"/>
              </w:rPr>
              <w:t>Physical Risk RW</w:t>
            </w:r>
          </w:p>
        </w:tc>
        <w:tc>
          <w:tcPr>
            <w:tcW w:type="dxa" w:w="3456"/>
            <w:shd w:fill="F2F2F2" w:val="clear"/>
          </w:tcPr>
          <w:p>
            <w:pPr>
              <w:jc w:val="left"/>
            </w:pPr>
            <w:r/>
            <w:r>
              <w:rPr>
                <w:rFonts w:ascii="Calibri" w:hAnsi="Calibri"/>
                <w:b w:val="0"/>
                <w:color w:val="000000"/>
                <w:sz w:val="16"/>
              </w:rPr>
              <w:t>Addressed via stress testing (CCAR climate scenarios)</w:t>
            </w:r>
          </w:p>
        </w:tc>
        <w:tc>
          <w:tcPr>
            <w:tcW w:type="dxa" w:w="3456"/>
            <w:shd w:fill="F2F2F2" w:val="clear"/>
          </w:tcPr>
          <w:p>
            <w:pPr>
              <w:jc w:val="left"/>
            </w:pPr>
            <w:r/>
            <w:r>
              <w:rPr>
                <w:rFonts w:ascii="Calibri" w:hAnsi="Calibri"/>
                <w:b w:val="0"/>
                <w:color w:val="000000"/>
                <w:sz w:val="16"/>
              </w:rPr>
              <w:t>Addressed via ICAAP scenario analysis</w:t>
            </w:r>
          </w:p>
        </w:tc>
        <w:tc>
          <w:tcPr>
            <w:tcW w:type="dxa" w:w="3456"/>
            <w:shd w:fill="F2F2F2" w:val="clear"/>
          </w:tcPr>
          <w:p>
            <w:pPr>
              <w:jc w:val="left"/>
            </w:pPr>
            <w:r/>
            <w:r>
              <w:rPr>
                <w:rFonts w:ascii="Calibri" w:hAnsi="Calibri"/>
                <w:b w:val="0"/>
                <w:color w:val="000000"/>
                <w:sz w:val="16"/>
              </w:rPr>
              <w:t>Addressed via EBA Guidelines + ICAAP</w:t>
            </w:r>
          </w:p>
        </w:tc>
      </w:tr>
      <w:tr>
        <w:tc>
          <w:tcPr>
            <w:tcW w:type="dxa" w:w="3456"/>
            <w:shd w:fill="FFFFFF" w:val="clear"/>
          </w:tcPr>
          <w:p>
            <w:pPr>
              <w:jc w:val="left"/>
            </w:pPr>
            <w:r/>
            <w:r>
              <w:rPr>
                <w:rFonts w:ascii="Calibri" w:hAnsi="Calibri"/>
                <w:b/>
                <w:color w:val="000000"/>
                <w:sz w:val="16"/>
              </w:rPr>
              <w:t>Green Supporting Factor</w:t>
            </w:r>
          </w:p>
        </w:tc>
        <w:tc>
          <w:tcPr>
            <w:tcW w:type="dxa" w:w="3456"/>
            <w:shd w:fill="FFFFFF" w:val="clear"/>
          </w:tcPr>
          <w:p>
            <w:pPr>
              <w:jc w:val="left"/>
            </w:pPr>
            <w:r/>
            <w:r>
              <w:rPr>
                <w:rFonts w:ascii="Calibri" w:hAnsi="Calibri"/>
                <w:b w:val="0"/>
                <w:color w:val="000000"/>
                <w:sz w:val="16"/>
              </w:rPr>
              <w:t>Not adopted</w:t>
            </w:r>
          </w:p>
        </w:tc>
        <w:tc>
          <w:tcPr>
            <w:tcW w:type="dxa" w:w="3456"/>
            <w:shd w:fill="FFFFFF" w:val="clear"/>
          </w:tcPr>
          <w:p>
            <w:pPr>
              <w:jc w:val="left"/>
            </w:pPr>
            <w:r/>
            <w:r>
              <w:rPr>
                <w:rFonts w:ascii="Calibri" w:hAnsi="Calibri"/>
                <w:b w:val="0"/>
                <w:color w:val="000000"/>
                <w:sz w:val="16"/>
              </w:rPr>
              <w:t>Not adopted</w:t>
            </w:r>
          </w:p>
        </w:tc>
        <w:tc>
          <w:tcPr>
            <w:tcW w:type="dxa" w:w="3456"/>
            <w:shd w:fill="FFFFFF" w:val="clear"/>
          </w:tcPr>
          <w:p>
            <w:pPr>
              <w:jc w:val="left"/>
            </w:pPr>
            <w:r/>
            <w:r>
              <w:rPr>
                <w:rFonts w:ascii="Calibri" w:hAnsi="Calibri"/>
                <w:b w:val="0"/>
                <w:color w:val="000000"/>
                <w:sz w:val="16"/>
              </w:rPr>
              <w:t>Under assessment by EBA; report due 2025 (CRR3 Art 501c, 501d)</w:t>
            </w:r>
          </w:p>
        </w:tc>
      </w:tr>
    </w:tbl>
    <w:p>
      <w:r>
        <w:rPr>
          <w:rFonts w:ascii="Calibri" w:hAnsi="Calibri"/>
          <w:b/>
          <w:color w:val="002060"/>
          <w:sz w:val="22"/>
        </w:rPr>
        <w:t>16.3 Digital Assets &amp; DeFi</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Parameter</w:t>
            </w:r>
          </w:p>
        </w:tc>
        <w:tc>
          <w:tcPr>
            <w:tcW w:type="dxa" w:w="3456"/>
            <w:shd w:fill="002060" w:val="clear"/>
            <w:tcW w:w="3600" w:type="dxa"/>
          </w:tcPr>
          <w:p>
            <w:pPr>
              <w:jc w:val="center"/>
            </w:pPr>
            <w:r/>
            <w:r>
              <w:rPr>
                <w:rFonts w:ascii="Calibri" w:hAnsi="Calibri"/>
                <w:b/>
                <w:color w:val="FFFFFF"/>
                <w:sz w:val="16"/>
              </w:rPr>
              <w:t>US Fed (ERBA NPR)</w:t>
            </w:r>
          </w:p>
        </w:tc>
        <w:tc>
          <w:tcPr>
            <w:tcW w:type="dxa" w:w="3456"/>
            <w:shd w:fill="002060" w:val="clear"/>
            <w:tcW w:w="3600" w:type="dxa"/>
          </w:tcPr>
          <w:p>
            <w:pPr>
              <w:jc w:val="center"/>
            </w:pPr>
            <w:r/>
            <w:r>
              <w:rPr>
                <w:rFonts w:ascii="Calibri" w:hAnsi="Calibri"/>
                <w:b/>
                <w:color w:val="FFFFFF"/>
                <w:sz w:val="16"/>
              </w:rPr>
              <w:t>UK PRA (PS1/26)</w:t>
            </w:r>
          </w:p>
        </w:tc>
        <w:tc>
          <w:tcPr>
            <w:tcW w:type="dxa" w:w="3456"/>
            <w:shd w:fill="002060" w:val="clear"/>
            <w:tcW w:w="3600" w:type="dxa"/>
          </w:tcPr>
          <w:p>
            <w:pPr>
              <w:jc w:val="center"/>
            </w:pPr>
            <w:r/>
            <w:r>
              <w:rPr>
                <w:rFonts w:ascii="Calibri" w:hAnsi="Calibri"/>
                <w:b/>
                <w:color w:val="FFFFFF"/>
                <w:sz w:val="16"/>
              </w:rPr>
              <w:t>EU EBA (CRR3/CRD6)</w:t>
            </w:r>
          </w:p>
        </w:tc>
      </w:tr>
      <w:tr>
        <w:tc>
          <w:tcPr>
            <w:tcW w:type="dxa" w:w="3456"/>
            <w:shd w:fill="F2F2F2" w:val="clear"/>
          </w:tcPr>
          <w:p>
            <w:pPr>
              <w:jc w:val="left"/>
            </w:pPr>
            <w:r/>
            <w:r>
              <w:rPr>
                <w:rFonts w:ascii="Calibri" w:hAnsi="Calibri"/>
                <w:b/>
                <w:color w:val="000000"/>
                <w:sz w:val="16"/>
              </w:rPr>
              <w:t>CBDC Treatment</w:t>
            </w:r>
          </w:p>
        </w:tc>
        <w:tc>
          <w:tcPr>
            <w:tcW w:type="dxa" w:w="3456"/>
            <w:shd w:fill="F2F2F2" w:val="clear"/>
          </w:tcPr>
          <w:p>
            <w:pPr>
              <w:jc w:val="left"/>
            </w:pPr>
            <w:r/>
            <w:r>
              <w:rPr>
                <w:rFonts w:ascii="Calibri" w:hAnsi="Calibri"/>
                <w:b w:val="0"/>
                <w:color w:val="000000"/>
                <w:sz w:val="16"/>
              </w:rPr>
              <w:t>Fed exploring; no specific RW treatment yet</w:t>
            </w:r>
          </w:p>
        </w:tc>
        <w:tc>
          <w:tcPr>
            <w:tcW w:type="dxa" w:w="3456"/>
            <w:shd w:fill="F2F2F2" w:val="clear"/>
          </w:tcPr>
          <w:p>
            <w:pPr>
              <w:jc w:val="left"/>
            </w:pPr>
            <w:r/>
            <w:r>
              <w:rPr>
                <w:rFonts w:ascii="Calibri" w:hAnsi="Calibri"/>
                <w:b w:val="0"/>
                <w:color w:val="000000"/>
                <w:sz w:val="16"/>
              </w:rPr>
              <w:t>BoE digital pound exploration; would be 0% RW as central bank liability</w:t>
            </w:r>
          </w:p>
        </w:tc>
        <w:tc>
          <w:tcPr>
            <w:tcW w:type="dxa" w:w="3456"/>
            <w:shd w:fill="F2F2F2" w:val="clear"/>
          </w:tcPr>
          <w:p>
            <w:pPr>
              <w:jc w:val="left"/>
            </w:pPr>
            <w:r/>
            <w:r>
              <w:rPr>
                <w:rFonts w:ascii="Calibri" w:hAnsi="Calibri"/>
                <w:b w:val="0"/>
                <w:color w:val="000000"/>
                <w:sz w:val="16"/>
              </w:rPr>
              <w:t>ECB digital euro; would be 0% RW as central bank liability (CRR3 Art 114(4))</w:t>
            </w:r>
          </w:p>
        </w:tc>
      </w:tr>
      <w:tr>
        <w:tc>
          <w:tcPr>
            <w:tcW w:type="dxa" w:w="3456"/>
            <w:shd w:fill="FFFFFF" w:val="clear"/>
          </w:tcPr>
          <w:p>
            <w:pPr>
              <w:jc w:val="left"/>
            </w:pPr>
            <w:r/>
            <w:r>
              <w:rPr>
                <w:rFonts w:ascii="Calibri" w:hAnsi="Calibri"/>
                <w:b/>
                <w:color w:val="000000"/>
                <w:sz w:val="16"/>
              </w:rPr>
              <w:t>Tokenized Deposits</w:t>
            </w:r>
          </w:p>
        </w:tc>
        <w:tc>
          <w:tcPr>
            <w:tcW w:type="dxa" w:w="3456"/>
            <w:shd w:fill="FFFFFF" w:val="clear"/>
          </w:tcPr>
          <w:p>
            <w:pPr>
              <w:jc w:val="left"/>
            </w:pPr>
            <w:r/>
            <w:r>
              <w:rPr>
                <w:rFonts w:ascii="Calibri" w:hAnsi="Calibri"/>
                <w:b w:val="0"/>
                <w:color w:val="000000"/>
                <w:sz w:val="16"/>
              </w:rPr>
              <w:t>Treated as deposits (OCC guidance)</w:t>
            </w:r>
          </w:p>
        </w:tc>
        <w:tc>
          <w:tcPr>
            <w:tcW w:type="dxa" w:w="3456"/>
            <w:shd w:fill="FFFFFF" w:val="clear"/>
          </w:tcPr>
          <w:p>
            <w:pPr>
              <w:jc w:val="left"/>
            </w:pPr>
            <w:r/>
            <w:r>
              <w:rPr>
                <w:rFonts w:ascii="Calibri" w:hAnsi="Calibri"/>
                <w:b w:val="0"/>
                <w:color w:val="000000"/>
                <w:sz w:val="16"/>
              </w:rPr>
              <w:t>Treated as deposits</w:t>
            </w:r>
          </w:p>
        </w:tc>
        <w:tc>
          <w:tcPr>
            <w:tcW w:type="dxa" w:w="3456"/>
            <w:shd w:fill="FFFFFF" w:val="clear"/>
          </w:tcPr>
          <w:p>
            <w:pPr>
              <w:jc w:val="left"/>
            </w:pPr>
            <w:r/>
            <w:r>
              <w:rPr>
                <w:rFonts w:ascii="Calibri" w:hAnsi="Calibri"/>
                <w:b w:val="0"/>
                <w:color w:val="000000"/>
                <w:sz w:val="16"/>
              </w:rPr>
              <w:t>Treated as deposits per banking license</w:t>
            </w:r>
          </w:p>
        </w:tc>
      </w:tr>
      <w:tr>
        <w:tc>
          <w:tcPr>
            <w:tcW w:type="dxa" w:w="3456"/>
            <w:shd w:fill="F2F2F2" w:val="clear"/>
          </w:tcPr>
          <w:p>
            <w:pPr>
              <w:jc w:val="left"/>
            </w:pPr>
            <w:r/>
            <w:r>
              <w:rPr>
                <w:rFonts w:ascii="Calibri" w:hAnsi="Calibri"/>
                <w:b/>
                <w:color w:val="000000"/>
                <w:sz w:val="16"/>
              </w:rPr>
              <w:t>DeFi Protocol Exposure</w:t>
            </w:r>
          </w:p>
        </w:tc>
        <w:tc>
          <w:tcPr>
            <w:tcW w:type="dxa" w:w="3456"/>
            <w:shd w:fill="F2F2F2" w:val="clear"/>
          </w:tcPr>
          <w:p>
            <w:pPr>
              <w:jc w:val="left"/>
            </w:pPr>
            <w:r/>
            <w:r>
              <w:rPr>
                <w:rFonts w:ascii="Calibri" w:hAnsi="Calibri"/>
                <w:b w:val="0"/>
                <w:color w:val="000000"/>
                <w:sz w:val="16"/>
              </w:rPr>
              <w:t>1250% RW by default; no specific framework</w:t>
            </w:r>
          </w:p>
        </w:tc>
        <w:tc>
          <w:tcPr>
            <w:tcW w:type="dxa" w:w="3456"/>
            <w:shd w:fill="F2F2F2" w:val="clear"/>
          </w:tcPr>
          <w:p>
            <w:pPr>
              <w:jc w:val="left"/>
            </w:pPr>
            <w:r/>
            <w:r>
              <w:rPr>
                <w:rFonts w:ascii="Calibri" w:hAnsi="Calibri"/>
                <w:b w:val="0"/>
                <w:color w:val="000000"/>
                <w:sz w:val="16"/>
              </w:rPr>
              <w:t>Expected high RW treatment</w:t>
            </w:r>
          </w:p>
        </w:tc>
        <w:tc>
          <w:tcPr>
            <w:tcW w:type="dxa" w:w="3456"/>
            <w:shd w:fill="F2F2F2" w:val="clear"/>
          </w:tcPr>
          <w:p>
            <w:pPr>
              <w:jc w:val="left"/>
            </w:pPr>
            <w:r/>
            <w:r>
              <w:rPr>
                <w:rFonts w:ascii="Calibri" w:hAnsi="Calibri"/>
                <w:b w:val="0"/>
                <w:color w:val="000000"/>
                <w:sz w:val="16"/>
              </w:rPr>
              <w:t>Expected 1250% per Group 2 treatment</w:t>
            </w:r>
          </w:p>
        </w:tc>
      </w:tr>
      <w:tr>
        <w:tc>
          <w:tcPr>
            <w:tcW w:type="dxa" w:w="3456"/>
            <w:shd w:fill="FFFFFF" w:val="clear"/>
          </w:tcPr>
          <w:p>
            <w:pPr>
              <w:jc w:val="left"/>
            </w:pPr>
            <w:r/>
            <w:r>
              <w:rPr>
                <w:rFonts w:ascii="Calibri" w:hAnsi="Calibri"/>
                <w:b/>
                <w:color w:val="000000"/>
                <w:sz w:val="16"/>
              </w:rPr>
              <w:t>NFT Exposure</w:t>
            </w:r>
          </w:p>
        </w:tc>
        <w:tc>
          <w:tcPr>
            <w:tcW w:type="dxa" w:w="3456"/>
            <w:shd w:fill="FFFFFF" w:val="clear"/>
          </w:tcPr>
          <w:p>
            <w:pPr>
              <w:jc w:val="left"/>
            </w:pPr>
            <w:r/>
            <w:r>
              <w:rPr>
                <w:rFonts w:ascii="Calibri" w:hAnsi="Calibri"/>
                <w:b w:val="0"/>
                <w:color w:val="000000"/>
                <w:sz w:val="16"/>
              </w:rPr>
              <w:t>1250% RW (unbacked crypto treatment)</w:t>
            </w:r>
          </w:p>
        </w:tc>
        <w:tc>
          <w:tcPr>
            <w:tcW w:type="dxa" w:w="3456"/>
            <w:shd w:fill="FFFFFF" w:val="clear"/>
          </w:tcPr>
          <w:p>
            <w:pPr>
              <w:jc w:val="left"/>
            </w:pPr>
            <w:r/>
            <w:r>
              <w:rPr>
                <w:rFonts w:ascii="Calibri" w:hAnsi="Calibri"/>
                <w:b w:val="0"/>
                <w:color w:val="000000"/>
                <w:sz w:val="16"/>
              </w:rPr>
              <w:t>Expected 1250%</w:t>
            </w:r>
          </w:p>
        </w:tc>
        <w:tc>
          <w:tcPr>
            <w:tcW w:type="dxa" w:w="3456"/>
            <w:shd w:fill="FFFFFF" w:val="clear"/>
          </w:tcPr>
          <w:p>
            <w:pPr>
              <w:jc w:val="left"/>
            </w:pPr>
            <w:r/>
            <w:r>
              <w:rPr>
                <w:rFonts w:ascii="Calibri" w:hAnsi="Calibri"/>
                <w:b w:val="0"/>
                <w:color w:val="000000"/>
                <w:sz w:val="16"/>
              </w:rPr>
              <w:t>1250% per Group 2b</w:t>
            </w:r>
          </w:p>
        </w:tc>
      </w:tr>
    </w:tbl>
    <w:p>
      <w:r>
        <w:br w:type="page"/>
      </w:r>
    </w:p>
    <w:p>
      <w:r>
        <w:rPr>
          <w:rFonts w:ascii="Calibri" w:hAnsi="Calibri"/>
          <w:b/>
          <w:color w:val="C8962E"/>
          <w:sz w:val="28"/>
        </w:rPr>
        <w:t>SECTION 17</w:t>
      </w:r>
    </w:p>
    <w:p>
      <w:r>
        <w:rPr>
          <w:rFonts w:ascii="Calibri" w:hAnsi="Calibri"/>
          <w:b/>
          <w:color w:val="002060"/>
          <w:sz w:val="32"/>
        </w:rPr>
        <w:t>Conservatism Scorecard: 15-Dimension RAG Assessment</w:t>
      </w:r>
    </w:p>
    <w:p>
      <w:r>
        <w:rPr>
          <w:color w:val="C8962E"/>
          <w:sz w:val="12"/>
        </w:rPr>
        <w:t>________________________________________________________________________________________________________________________</w:t>
      </w:r>
    </w:p>
    <w:p>
      <w:r>
        <w:rPr>
          <w:rFonts w:ascii="Calibri" w:hAnsi="Calibri"/>
          <w:color w:val="000000"/>
          <w:sz w:val="18"/>
        </w:rPr>
        <w:t>Red = most conservative approach among the three jurisdictions. Amber = intermediate. Green = least conservative (most favorable to banks). Assessment based on capital impact for a typical Category I US G-SIB with $3.2T total assets, $1.8T RWA, diversified business model.</w:t>
      </w:r>
    </w:p>
    <w:tbl>
      <w:tblPr>
        <w:tblW w:type="auto" w:w="0"/>
        <w:jc w:val="center"/>
        <w:tblLayout w:type="fixed"/>
        <w:tblLook w:firstColumn="1" w:firstRow="1" w:lastColumn="0" w:lastRow="0" w:noHBand="0" w:noVBand="1" w:val="04A0"/>
      </w:tblPr>
      <w:tblGrid>
        <w:gridCol w:w="2765"/>
        <w:gridCol w:w="2765"/>
        <w:gridCol w:w="2765"/>
        <w:gridCol w:w="2765"/>
        <w:gridCol w:w="2765"/>
      </w:tblGrid>
      <w:tr>
        <w:tc>
          <w:tcPr>
            <w:tcW w:type="dxa" w:w="2765"/>
            <w:shd w:fill="002060" w:val="clear"/>
            <w:tcW w:w="2592" w:type="dxa"/>
          </w:tcPr>
          <w:p>
            <w:pPr>
              <w:jc w:val="center"/>
            </w:pPr>
            <w:r/>
            <w:r>
              <w:rPr>
                <w:rFonts w:ascii="Calibri" w:hAnsi="Calibri"/>
                <w:b/>
                <w:color w:val="FFFFFF"/>
                <w:sz w:val="16"/>
              </w:rPr>
              <w:t>Dimension</w:t>
            </w:r>
          </w:p>
        </w:tc>
        <w:tc>
          <w:tcPr>
            <w:tcW w:type="dxa" w:w="2765"/>
            <w:shd w:fill="002060" w:val="clear"/>
            <w:tcW w:w="2592" w:type="dxa"/>
          </w:tcPr>
          <w:p>
            <w:pPr>
              <w:jc w:val="center"/>
            </w:pPr>
            <w:r/>
            <w:r>
              <w:rPr>
                <w:rFonts w:ascii="Calibri" w:hAnsi="Calibri"/>
                <w:b/>
                <w:color w:val="FFFFFF"/>
                <w:sz w:val="16"/>
              </w:rPr>
              <w:t>US Fed (ERBA)</w:t>
            </w:r>
          </w:p>
        </w:tc>
        <w:tc>
          <w:tcPr>
            <w:tcW w:type="dxa" w:w="2765"/>
            <w:shd w:fill="002060" w:val="clear"/>
            <w:tcW w:w="2592" w:type="dxa"/>
          </w:tcPr>
          <w:p>
            <w:pPr>
              <w:jc w:val="center"/>
            </w:pPr>
            <w:r/>
            <w:r>
              <w:rPr>
                <w:rFonts w:ascii="Calibri" w:hAnsi="Calibri"/>
                <w:b/>
                <w:color w:val="FFFFFF"/>
                <w:sz w:val="16"/>
              </w:rPr>
              <w:t>UK PRA (PS1/26)</w:t>
            </w:r>
          </w:p>
        </w:tc>
        <w:tc>
          <w:tcPr>
            <w:tcW w:type="dxa" w:w="2765"/>
            <w:shd w:fill="002060" w:val="clear"/>
            <w:tcW w:w="2592" w:type="dxa"/>
          </w:tcPr>
          <w:p>
            <w:pPr>
              <w:jc w:val="center"/>
            </w:pPr>
            <w:r/>
            <w:r>
              <w:rPr>
                <w:rFonts w:ascii="Calibri" w:hAnsi="Calibri"/>
                <w:b/>
                <w:color w:val="FFFFFF"/>
                <w:sz w:val="16"/>
              </w:rPr>
              <w:t>EU EBA (CRR3)</w:t>
            </w:r>
          </w:p>
        </w:tc>
        <w:tc>
          <w:tcPr>
            <w:tcW w:type="dxa" w:w="2765"/>
            <w:shd w:fill="002060" w:val="clear"/>
            <w:tcW w:w="1872" w:type="dxa"/>
          </w:tcPr>
          <w:p>
            <w:pPr>
              <w:jc w:val="center"/>
            </w:pPr>
            <w:r/>
            <w:r>
              <w:rPr>
                <w:rFonts w:ascii="Calibri" w:hAnsi="Calibri"/>
                <w:b/>
                <w:color w:val="FFFFFF"/>
                <w:sz w:val="16"/>
              </w:rPr>
              <w:t>Most Conservative</w:t>
            </w:r>
          </w:p>
        </w:tc>
      </w:tr>
      <w:tr>
        <w:tc>
          <w:tcPr>
            <w:tcW w:type="dxa" w:w="2765"/>
            <w:shd w:fill="FFFFFF" w:val="clear"/>
          </w:tcPr>
          <w:p>
            <w:pPr>
              <w:jc w:val="left"/>
            </w:pPr>
            <w:r/>
            <w:r>
              <w:rPr>
                <w:rFonts w:ascii="Calibri" w:hAnsi="Calibri"/>
                <w:b/>
                <w:color w:val="000000"/>
                <w:sz w:val="16"/>
              </w:rPr>
              <w:t>1. Credit Risk Approach</w:t>
            </w:r>
          </w:p>
        </w:tc>
        <w:tc>
          <w:tcPr>
            <w:tcW w:type="dxa" w:w="2765"/>
            <w:shd w:fill="C0392B" w:val="clear"/>
          </w:tcPr>
          <w:p>
            <w:pPr>
              <w:jc w:val="center"/>
            </w:pPr>
            <w:r/>
            <w:r>
              <w:rPr>
                <w:rFonts w:ascii="Calibri" w:hAnsi="Calibri"/>
                <w:b w:val="0"/>
                <w:color w:val="FFFFFF"/>
                <w:sz w:val="16"/>
              </w:rPr>
              <w:t>SA-only (no IRB)</w:t>
            </w:r>
          </w:p>
        </w:tc>
        <w:tc>
          <w:tcPr>
            <w:tcW w:type="dxa" w:w="2765"/>
            <w:shd w:fill="F39C12" w:val="clear"/>
          </w:tcPr>
          <w:p>
            <w:pPr>
              <w:jc w:val="center"/>
            </w:pPr>
            <w:r/>
            <w:r>
              <w:rPr>
                <w:rFonts w:ascii="Calibri" w:hAnsi="Calibri"/>
                <w:b w:val="0"/>
                <w:color w:val="000000"/>
                <w:sz w:val="16"/>
              </w:rPr>
              <w:t>SA + IRB</w:t>
            </w:r>
          </w:p>
        </w:tc>
        <w:tc>
          <w:tcPr>
            <w:tcW w:type="dxa" w:w="2765"/>
            <w:shd w:fill="27AE60" w:val="clear"/>
          </w:tcPr>
          <w:p>
            <w:pPr>
              <w:jc w:val="center"/>
            </w:pPr>
            <w:r/>
            <w:r>
              <w:rPr>
                <w:rFonts w:ascii="Calibri" w:hAnsi="Calibri"/>
                <w:b w:val="0"/>
                <w:color w:val="000000"/>
                <w:sz w:val="16"/>
              </w:rPr>
              <w:t>SA + IRB + transitional</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2. OBS CCF Commitments</w:t>
            </w:r>
          </w:p>
        </w:tc>
        <w:tc>
          <w:tcPr>
            <w:tcW w:type="dxa" w:w="2765"/>
            <w:shd w:fill="C0392B" w:val="clear"/>
          </w:tcPr>
          <w:p>
            <w:pPr>
              <w:jc w:val="center"/>
            </w:pPr>
            <w:r/>
            <w:r>
              <w:rPr>
                <w:rFonts w:ascii="Calibri" w:hAnsi="Calibri"/>
                <w:b w:val="0"/>
                <w:color w:val="FFFFFF"/>
                <w:sz w:val="16"/>
              </w:rPr>
              <w:t>40% uniform</w:t>
            </w:r>
          </w:p>
        </w:tc>
        <w:tc>
          <w:tcPr>
            <w:tcW w:type="dxa" w:w="2765"/>
            <w:shd w:fill="27AE60" w:val="clear"/>
          </w:tcPr>
          <w:p>
            <w:pPr>
              <w:jc w:val="center"/>
            </w:pPr>
            <w:r/>
            <w:r>
              <w:rPr>
                <w:rFonts w:ascii="Calibri" w:hAnsi="Calibri"/>
                <w:b w:val="0"/>
                <w:color w:val="000000"/>
                <w:sz w:val="16"/>
              </w:rPr>
              <w:t>20%/40% split</w:t>
            </w:r>
          </w:p>
        </w:tc>
        <w:tc>
          <w:tcPr>
            <w:tcW w:type="dxa" w:w="2765"/>
            <w:shd w:fill="27AE60" w:val="clear"/>
          </w:tcPr>
          <w:p>
            <w:pPr>
              <w:jc w:val="center"/>
            </w:pPr>
            <w:r/>
            <w:r>
              <w:rPr>
                <w:rFonts w:ascii="Calibri" w:hAnsi="Calibri"/>
                <w:b w:val="0"/>
                <w:color w:val="000000"/>
                <w:sz w:val="16"/>
              </w:rPr>
              <w:t>20%/40% split</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3. MSA Treatment</w:t>
            </w:r>
          </w:p>
        </w:tc>
        <w:tc>
          <w:tcPr>
            <w:tcW w:type="dxa" w:w="2765"/>
            <w:shd w:fill="F39C12" w:val="clear"/>
          </w:tcPr>
          <w:p>
            <w:pPr>
              <w:jc w:val="center"/>
            </w:pPr>
            <w:r/>
            <w:r>
              <w:rPr>
                <w:rFonts w:ascii="Calibri" w:hAnsi="Calibri"/>
                <w:b w:val="0"/>
                <w:color w:val="000000"/>
                <w:sz w:val="16"/>
              </w:rPr>
              <w:t>250% RW (higher RWA)</w:t>
            </w:r>
          </w:p>
        </w:tc>
        <w:tc>
          <w:tcPr>
            <w:tcW w:type="dxa" w:w="2765"/>
            <w:shd w:fill="F39C12" w:val="clear"/>
          </w:tcPr>
          <w:p>
            <w:pPr>
              <w:jc w:val="center"/>
            </w:pPr>
            <w:r/>
            <w:r>
              <w:rPr>
                <w:rFonts w:ascii="Calibri" w:hAnsi="Calibri"/>
                <w:b w:val="0"/>
                <w:color w:val="000000"/>
                <w:sz w:val="16"/>
              </w:rPr>
              <w:t>Deduction &gt;10%</w:t>
            </w:r>
          </w:p>
        </w:tc>
        <w:tc>
          <w:tcPr>
            <w:tcW w:type="dxa" w:w="2765"/>
            <w:shd w:fill="F39C12" w:val="clear"/>
          </w:tcPr>
          <w:p>
            <w:pPr>
              <w:jc w:val="center"/>
            </w:pPr>
            <w:r/>
            <w:r>
              <w:rPr>
                <w:rFonts w:ascii="Calibri" w:hAnsi="Calibri"/>
                <w:b w:val="0"/>
                <w:color w:val="000000"/>
                <w:sz w:val="16"/>
              </w:rPr>
              <w:t>Deduction &gt;10%</w:t>
            </w:r>
          </w:p>
        </w:tc>
        <w:tc>
          <w:tcPr>
            <w:tcW w:type="dxa" w:w="2765"/>
            <w:shd w:fill="002060" w:val="clear"/>
          </w:tcPr>
          <w:p>
            <w:pPr>
              <w:jc w:val="center"/>
            </w:pPr>
            <w:r/>
            <w:r>
              <w:rPr>
                <w:rFonts w:ascii="Calibri" w:hAnsi="Calibri"/>
                <w:b/>
                <w:color w:val="FFFFFF"/>
                <w:sz w:val="16"/>
              </w:rPr>
              <w:t>US/UK/EU*</w:t>
            </w:r>
          </w:p>
        </w:tc>
      </w:tr>
      <w:tr>
        <w:tc>
          <w:tcPr>
            <w:tcW w:type="dxa" w:w="2765"/>
            <w:shd w:fill="FFFFFF" w:val="clear"/>
          </w:tcPr>
          <w:p>
            <w:pPr>
              <w:jc w:val="left"/>
            </w:pPr>
            <w:r/>
            <w:r>
              <w:rPr>
                <w:rFonts w:ascii="Calibri" w:hAnsi="Calibri"/>
                <w:b/>
                <w:color w:val="000000"/>
                <w:sz w:val="16"/>
              </w:rPr>
              <w:t>4. Software DTA</w:t>
            </w:r>
          </w:p>
        </w:tc>
        <w:tc>
          <w:tcPr>
            <w:tcW w:type="dxa" w:w="2765"/>
            <w:shd w:fill="C0392B" w:val="clear"/>
          </w:tcPr>
          <w:p>
            <w:pPr>
              <w:jc w:val="center"/>
            </w:pPr>
            <w:r/>
            <w:r>
              <w:rPr>
                <w:rFonts w:ascii="Calibri" w:hAnsi="Calibri"/>
                <w:b w:val="0"/>
                <w:color w:val="FFFFFF"/>
                <w:sz w:val="16"/>
              </w:rPr>
              <w:t>Full deduction</w:t>
            </w:r>
          </w:p>
        </w:tc>
        <w:tc>
          <w:tcPr>
            <w:tcW w:type="dxa" w:w="2765"/>
            <w:shd w:fill="C0392B" w:val="clear"/>
          </w:tcPr>
          <w:p>
            <w:pPr>
              <w:jc w:val="center"/>
            </w:pPr>
            <w:r/>
            <w:r>
              <w:rPr>
                <w:rFonts w:ascii="Calibri" w:hAnsi="Calibri"/>
                <w:b w:val="0"/>
                <w:color w:val="FFFFFF"/>
                <w:sz w:val="16"/>
              </w:rPr>
              <w:t>Full deduction</w:t>
            </w:r>
          </w:p>
        </w:tc>
        <w:tc>
          <w:tcPr>
            <w:tcW w:type="dxa" w:w="2765"/>
            <w:shd w:fill="27AE60" w:val="clear"/>
          </w:tcPr>
          <w:p>
            <w:pPr>
              <w:jc w:val="center"/>
            </w:pPr>
            <w:r/>
            <w:r>
              <w:rPr>
                <w:rFonts w:ascii="Calibri" w:hAnsi="Calibri"/>
                <w:b w:val="0"/>
                <w:color w:val="000000"/>
                <w:sz w:val="16"/>
              </w:rPr>
              <w:t>Exempt (amortized)</w:t>
            </w:r>
          </w:p>
        </w:tc>
        <w:tc>
          <w:tcPr>
            <w:tcW w:type="dxa" w:w="2765"/>
            <w:shd w:fill="002060" w:val="clear"/>
          </w:tcPr>
          <w:p>
            <w:pPr>
              <w:jc w:val="center"/>
            </w:pPr>
            <w:r/>
            <w:r>
              <w:rPr>
                <w:rFonts w:ascii="Calibri" w:hAnsi="Calibri"/>
                <w:b/>
                <w:color w:val="FFFFFF"/>
                <w:sz w:val="16"/>
              </w:rPr>
              <w:t>US/UK</w:t>
            </w:r>
          </w:p>
        </w:tc>
      </w:tr>
      <w:tr>
        <w:tc>
          <w:tcPr>
            <w:tcW w:type="dxa" w:w="2765"/>
            <w:shd w:fill="FFFFFF" w:val="clear"/>
          </w:tcPr>
          <w:p>
            <w:pPr>
              <w:jc w:val="left"/>
            </w:pPr>
            <w:r/>
            <w:r>
              <w:rPr>
                <w:rFonts w:ascii="Calibri" w:hAnsi="Calibri"/>
                <w:b/>
                <w:color w:val="000000"/>
                <w:sz w:val="16"/>
              </w:rPr>
              <w:t>5. AT1 Trigger</w:t>
            </w:r>
          </w:p>
        </w:tc>
        <w:tc>
          <w:tcPr>
            <w:tcW w:type="dxa" w:w="2765"/>
            <w:shd w:fill="27AE60" w:val="clear"/>
          </w:tcPr>
          <w:p>
            <w:pPr>
              <w:jc w:val="center"/>
            </w:pPr>
            <w:r/>
            <w:r>
              <w:rPr>
                <w:rFonts w:ascii="Calibri" w:hAnsi="Calibri"/>
                <w:b w:val="0"/>
                <w:color w:val="000000"/>
                <w:sz w:val="16"/>
              </w:rPr>
              <w:t>Discretionary</w:t>
            </w:r>
          </w:p>
        </w:tc>
        <w:tc>
          <w:tcPr>
            <w:tcW w:type="dxa" w:w="2765"/>
            <w:shd w:fill="C0392B" w:val="clear"/>
          </w:tcPr>
          <w:p>
            <w:pPr>
              <w:jc w:val="center"/>
            </w:pPr>
            <w:r/>
            <w:r>
              <w:rPr>
                <w:rFonts w:ascii="Calibri" w:hAnsi="Calibri"/>
                <w:b w:val="0"/>
                <w:color w:val="FFFFFF"/>
                <w:sz w:val="16"/>
              </w:rPr>
              <w:t>7% CET1</w:t>
            </w:r>
          </w:p>
        </w:tc>
        <w:tc>
          <w:tcPr>
            <w:tcW w:type="dxa" w:w="2765"/>
            <w:shd w:fill="F39C12" w:val="clear"/>
          </w:tcPr>
          <w:p>
            <w:pPr>
              <w:jc w:val="center"/>
            </w:pPr>
            <w:r/>
            <w:r>
              <w:rPr>
                <w:rFonts w:ascii="Calibri" w:hAnsi="Calibri"/>
                <w:b w:val="0"/>
                <w:color w:val="000000"/>
                <w:sz w:val="16"/>
              </w:rPr>
              <w:t>5.125% CET1</w:t>
            </w:r>
          </w:p>
        </w:tc>
        <w:tc>
          <w:tcPr>
            <w:tcW w:type="dxa" w:w="2765"/>
            <w:shd w:fill="002060" w:val="clear"/>
          </w:tcPr>
          <w:p>
            <w:pPr>
              <w:jc w:val="center"/>
            </w:pPr>
            <w:r/>
            <w:r>
              <w:rPr>
                <w:rFonts w:ascii="Calibri" w:hAnsi="Calibri"/>
                <w:b/>
                <w:color w:val="FFFFFF"/>
                <w:sz w:val="16"/>
              </w:rPr>
              <w:t>UK</w:t>
            </w:r>
          </w:p>
        </w:tc>
      </w:tr>
      <w:tr>
        <w:tc>
          <w:tcPr>
            <w:tcW w:type="dxa" w:w="2765"/>
            <w:shd w:fill="FFFFFF" w:val="clear"/>
          </w:tcPr>
          <w:p>
            <w:pPr>
              <w:jc w:val="left"/>
            </w:pPr>
            <w:r/>
            <w:r>
              <w:rPr>
                <w:rFonts w:ascii="Calibri" w:hAnsi="Calibri"/>
                <w:b/>
                <w:color w:val="000000"/>
                <w:sz w:val="16"/>
              </w:rPr>
              <w:t>6. G-SIB Surcharge</w:t>
            </w:r>
          </w:p>
        </w:tc>
        <w:tc>
          <w:tcPr>
            <w:tcW w:type="dxa" w:w="2765"/>
            <w:shd w:fill="C0392B" w:val="clear"/>
          </w:tcPr>
          <w:p>
            <w:pPr>
              <w:jc w:val="center"/>
            </w:pPr>
            <w:r/>
            <w:r>
              <w:rPr>
                <w:rFonts w:ascii="Calibri" w:hAnsi="Calibri"/>
                <w:b w:val="0"/>
                <w:color w:val="FFFFFF"/>
                <w:sz w:val="16"/>
              </w:rPr>
              <w:t>Method 2 + 20bp bands</w:t>
            </w:r>
          </w:p>
        </w:tc>
        <w:tc>
          <w:tcPr>
            <w:tcW w:type="dxa" w:w="2765"/>
            <w:shd w:fill="F39C12" w:val="clear"/>
          </w:tcPr>
          <w:p>
            <w:pPr>
              <w:jc w:val="center"/>
            </w:pPr>
            <w:r/>
            <w:r>
              <w:rPr>
                <w:rFonts w:ascii="Calibri" w:hAnsi="Calibri"/>
                <w:b w:val="0"/>
                <w:color w:val="000000"/>
                <w:sz w:val="16"/>
              </w:rPr>
              <w:t>Systemic buffer</w:t>
            </w:r>
          </w:p>
        </w:tc>
        <w:tc>
          <w:tcPr>
            <w:tcW w:type="dxa" w:w="2765"/>
            <w:shd w:fill="27AE60" w:val="clear"/>
          </w:tcPr>
          <w:p>
            <w:pPr>
              <w:jc w:val="center"/>
            </w:pPr>
            <w:r/>
            <w:r>
              <w:rPr>
                <w:rFonts w:ascii="Calibri" w:hAnsi="Calibri"/>
                <w:b w:val="0"/>
                <w:color w:val="000000"/>
                <w:sz w:val="16"/>
              </w:rPr>
              <w:t>Method 1/2 standard</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7. SCB / CCB</w:t>
            </w:r>
          </w:p>
        </w:tc>
        <w:tc>
          <w:tcPr>
            <w:tcW w:type="dxa" w:w="2765"/>
            <w:shd w:fill="C0392B" w:val="clear"/>
          </w:tcPr>
          <w:p>
            <w:pPr>
              <w:jc w:val="center"/>
            </w:pPr>
            <w:r/>
            <w:r>
              <w:rPr>
                <w:rFonts w:ascii="Calibri" w:hAnsi="Calibri"/>
                <w:b w:val="0"/>
                <w:color w:val="FFFFFF"/>
                <w:sz w:val="16"/>
              </w:rPr>
              <w:t>SCB &gt;= 2.5%</w:t>
            </w:r>
          </w:p>
        </w:tc>
        <w:tc>
          <w:tcPr>
            <w:tcW w:type="dxa" w:w="2765"/>
            <w:shd w:fill="27AE60" w:val="clear"/>
          </w:tcPr>
          <w:p>
            <w:pPr>
              <w:jc w:val="center"/>
            </w:pPr>
            <w:r/>
            <w:r>
              <w:rPr>
                <w:rFonts w:ascii="Calibri" w:hAnsi="Calibri"/>
                <w:b w:val="0"/>
                <w:color w:val="000000"/>
                <w:sz w:val="16"/>
              </w:rPr>
              <w:t>CCB 2.5% fixed</w:t>
            </w:r>
          </w:p>
        </w:tc>
        <w:tc>
          <w:tcPr>
            <w:tcW w:type="dxa" w:w="2765"/>
            <w:shd w:fill="27AE60" w:val="clear"/>
          </w:tcPr>
          <w:p>
            <w:pPr>
              <w:jc w:val="center"/>
            </w:pPr>
            <w:r/>
            <w:r>
              <w:rPr>
                <w:rFonts w:ascii="Calibri" w:hAnsi="Calibri"/>
                <w:b w:val="0"/>
                <w:color w:val="000000"/>
                <w:sz w:val="16"/>
              </w:rPr>
              <w:t>CCB 2.5% fixed</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8. SA-CCR Alpha</w:t>
            </w:r>
          </w:p>
        </w:tc>
        <w:tc>
          <w:tcPr>
            <w:tcW w:type="dxa" w:w="2765"/>
            <w:shd w:fill="27AE60" w:val="clear"/>
          </w:tcPr>
          <w:p>
            <w:pPr>
              <w:jc w:val="center"/>
            </w:pPr>
            <w:r/>
            <w:r>
              <w:rPr>
                <w:rFonts w:ascii="Calibri" w:hAnsi="Calibri"/>
                <w:b w:val="0"/>
                <w:color w:val="000000"/>
                <w:sz w:val="16"/>
              </w:rPr>
              <w:t>1.4 fin / 1.0 comm</w:t>
            </w:r>
          </w:p>
        </w:tc>
        <w:tc>
          <w:tcPr>
            <w:tcW w:type="dxa" w:w="2765"/>
            <w:shd w:fill="C0392B" w:val="clear"/>
          </w:tcPr>
          <w:p>
            <w:pPr>
              <w:jc w:val="center"/>
            </w:pPr>
            <w:r/>
            <w:r>
              <w:rPr>
                <w:rFonts w:ascii="Calibri" w:hAnsi="Calibri"/>
                <w:b w:val="0"/>
                <w:color w:val="FFFFFF"/>
                <w:sz w:val="16"/>
              </w:rPr>
              <w:t>1.4 all</w:t>
            </w:r>
          </w:p>
        </w:tc>
        <w:tc>
          <w:tcPr>
            <w:tcW w:type="dxa" w:w="2765"/>
            <w:shd w:fill="C0392B" w:val="clear"/>
          </w:tcPr>
          <w:p>
            <w:pPr>
              <w:jc w:val="center"/>
            </w:pPr>
            <w:r/>
            <w:r>
              <w:rPr>
                <w:rFonts w:ascii="Calibri" w:hAnsi="Calibri"/>
                <w:b w:val="0"/>
                <w:color w:val="FFFFFF"/>
                <w:sz w:val="16"/>
              </w:rPr>
              <w:t>1.4 all</w:t>
            </w:r>
          </w:p>
        </w:tc>
        <w:tc>
          <w:tcPr>
            <w:tcW w:type="dxa" w:w="2765"/>
            <w:shd w:fill="002060" w:val="clear"/>
          </w:tcPr>
          <w:p>
            <w:pPr>
              <w:jc w:val="center"/>
            </w:pPr>
            <w:r/>
            <w:r>
              <w:rPr>
                <w:rFonts w:ascii="Calibri" w:hAnsi="Calibri"/>
                <w:b/>
                <w:color w:val="FFFFFF"/>
                <w:sz w:val="16"/>
              </w:rPr>
              <w:t>UK/EU</w:t>
            </w:r>
          </w:p>
        </w:tc>
      </w:tr>
      <w:tr>
        <w:tc>
          <w:tcPr>
            <w:tcW w:type="dxa" w:w="2765"/>
            <w:shd w:fill="FFFFFF" w:val="clear"/>
          </w:tcPr>
          <w:p>
            <w:pPr>
              <w:jc w:val="left"/>
            </w:pPr>
            <w:r/>
            <w:r>
              <w:rPr>
                <w:rFonts w:ascii="Calibri" w:hAnsi="Calibri"/>
                <w:b/>
                <w:color w:val="000000"/>
                <w:sz w:val="16"/>
              </w:rPr>
              <w:t>9. CVA BA-CVA Hedges</w:t>
            </w:r>
          </w:p>
        </w:tc>
        <w:tc>
          <w:tcPr>
            <w:tcW w:type="dxa" w:w="2765"/>
            <w:shd w:fill="F39C12" w:val="clear"/>
          </w:tcPr>
          <w:p>
            <w:pPr>
              <w:jc w:val="center"/>
            </w:pPr>
            <w:r/>
            <w:r>
              <w:rPr>
                <w:rFonts w:ascii="Calibri" w:hAnsi="Calibri"/>
                <w:b w:val="0"/>
                <w:color w:val="000000"/>
                <w:sz w:val="16"/>
              </w:rPr>
              <w:t>Single-name (incl. indirect) + index</w:t>
            </w:r>
          </w:p>
        </w:tc>
        <w:tc>
          <w:tcPr>
            <w:tcW w:type="dxa" w:w="2765"/>
            <w:shd w:fill="F39C12" w:val="clear"/>
          </w:tcPr>
          <w:p>
            <w:pPr>
              <w:jc w:val="center"/>
            </w:pPr>
            <w:r/>
            <w:r>
              <w:rPr>
                <w:rFonts w:ascii="Calibri" w:hAnsi="Calibri"/>
                <w:b w:val="0"/>
                <w:color w:val="000000"/>
                <w:sz w:val="16"/>
              </w:rPr>
              <w:t>Single-name + index</w:t>
            </w:r>
          </w:p>
        </w:tc>
        <w:tc>
          <w:tcPr>
            <w:tcW w:type="dxa" w:w="2765"/>
            <w:shd w:fill="F39C12" w:val="clear"/>
          </w:tcPr>
          <w:p>
            <w:pPr>
              <w:jc w:val="center"/>
            </w:pPr>
            <w:r/>
            <w:r>
              <w:rPr>
                <w:rFonts w:ascii="Calibri" w:hAnsi="Calibri"/>
                <w:b w:val="0"/>
                <w:color w:val="000000"/>
                <w:sz w:val="16"/>
              </w:rPr>
              <w:t>Single-name + index</w:t>
            </w:r>
          </w:p>
        </w:tc>
        <w:tc>
          <w:tcPr>
            <w:tcW w:type="dxa" w:w="2765"/>
            <w:shd w:fill="002060" w:val="clear"/>
          </w:tcPr>
          <w:p>
            <w:pPr>
              <w:jc w:val="center"/>
            </w:pPr>
            <w:r/>
            <w:r>
              <w:rPr>
                <w:rFonts w:ascii="Calibri" w:hAnsi="Calibri"/>
                <w:b/>
                <w:color w:val="FFFFFF"/>
                <w:sz w:val="16"/>
              </w:rPr>
              <w:t>Aligned</w:t>
            </w:r>
          </w:p>
        </w:tc>
      </w:tr>
      <w:tr>
        <w:tc>
          <w:tcPr>
            <w:tcW w:type="dxa" w:w="2765"/>
            <w:shd w:fill="FFFFFF" w:val="clear"/>
          </w:tcPr>
          <w:p>
            <w:pPr>
              <w:jc w:val="left"/>
            </w:pPr>
            <w:r/>
            <w:r>
              <w:rPr>
                <w:rFonts w:ascii="Calibri" w:hAnsi="Calibri"/>
                <w:b/>
                <w:color w:val="000000"/>
                <w:sz w:val="16"/>
              </w:rPr>
              <w:t>10. STS Securitization</w:t>
            </w:r>
          </w:p>
        </w:tc>
        <w:tc>
          <w:tcPr>
            <w:tcW w:type="dxa" w:w="2765"/>
            <w:shd w:fill="C0392B" w:val="clear"/>
          </w:tcPr>
          <w:p>
            <w:pPr>
              <w:jc w:val="center"/>
            </w:pPr>
            <w:r/>
            <w:r>
              <w:rPr>
                <w:rFonts w:ascii="Calibri" w:hAnsi="Calibri"/>
                <w:b w:val="0"/>
                <w:color w:val="FFFFFF"/>
                <w:sz w:val="16"/>
              </w:rPr>
              <w:t>No STS (15% floor)</w:t>
            </w:r>
          </w:p>
        </w:tc>
        <w:tc>
          <w:tcPr>
            <w:tcW w:type="dxa" w:w="2765"/>
            <w:shd w:fill="27AE60" w:val="clear"/>
          </w:tcPr>
          <w:p>
            <w:pPr>
              <w:jc w:val="center"/>
            </w:pPr>
            <w:r/>
            <w:r>
              <w:rPr>
                <w:rFonts w:ascii="Calibri" w:hAnsi="Calibri"/>
                <w:b w:val="0"/>
                <w:color w:val="000000"/>
                <w:sz w:val="16"/>
              </w:rPr>
              <w:t>STS (10% floor)</w:t>
            </w:r>
          </w:p>
        </w:tc>
        <w:tc>
          <w:tcPr>
            <w:tcW w:type="dxa" w:w="2765"/>
            <w:shd w:fill="27AE60" w:val="clear"/>
          </w:tcPr>
          <w:p>
            <w:pPr>
              <w:jc w:val="center"/>
            </w:pPr>
            <w:r/>
            <w:r>
              <w:rPr>
                <w:rFonts w:ascii="Calibri" w:hAnsi="Calibri"/>
                <w:b w:val="0"/>
                <w:color w:val="000000"/>
                <w:sz w:val="16"/>
              </w:rPr>
              <w:t>STS (10% floor)</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11. Past Due Provisions</w:t>
            </w:r>
          </w:p>
        </w:tc>
        <w:tc>
          <w:tcPr>
            <w:tcW w:type="dxa" w:w="2765"/>
            <w:shd w:fill="C0392B" w:val="clear"/>
          </w:tcPr>
          <w:p>
            <w:pPr>
              <w:jc w:val="center"/>
            </w:pPr>
            <w:r/>
            <w:r>
              <w:rPr>
                <w:rFonts w:ascii="Calibri" w:hAnsi="Calibri"/>
                <w:b w:val="0"/>
                <w:color w:val="FFFFFF"/>
                <w:sz w:val="16"/>
              </w:rPr>
              <w:t>150% flat</w:t>
            </w:r>
          </w:p>
        </w:tc>
        <w:tc>
          <w:tcPr>
            <w:tcW w:type="dxa" w:w="2765"/>
            <w:shd w:fill="F39C12" w:val="clear"/>
          </w:tcPr>
          <w:p>
            <w:pPr>
              <w:jc w:val="center"/>
            </w:pPr>
            <w:r/>
            <w:r>
              <w:rPr>
                <w:rFonts w:ascii="Calibri" w:hAnsi="Calibri"/>
                <w:b w:val="0"/>
                <w:color w:val="000000"/>
                <w:sz w:val="16"/>
              </w:rPr>
              <w:t>100% if prov&gt;=50%</w:t>
            </w:r>
          </w:p>
        </w:tc>
        <w:tc>
          <w:tcPr>
            <w:tcW w:type="dxa" w:w="2765"/>
            <w:shd w:fill="27AE60" w:val="clear"/>
          </w:tcPr>
          <w:p>
            <w:pPr>
              <w:jc w:val="center"/>
            </w:pPr>
            <w:r/>
            <w:r>
              <w:rPr>
                <w:rFonts w:ascii="Calibri" w:hAnsi="Calibri"/>
                <w:b w:val="0"/>
                <w:color w:val="000000"/>
                <w:sz w:val="16"/>
              </w:rPr>
              <w:t>100% if prov&gt;=20%</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12. Equity Phase-In</w:t>
            </w:r>
          </w:p>
        </w:tc>
        <w:tc>
          <w:tcPr>
            <w:tcW w:type="dxa" w:w="2765"/>
            <w:shd w:fill="C0392B" w:val="clear"/>
          </w:tcPr>
          <w:p>
            <w:pPr>
              <w:jc w:val="center"/>
            </w:pPr>
            <w:r/>
            <w:r>
              <w:rPr>
                <w:rFonts w:ascii="Calibri" w:hAnsi="Calibri"/>
                <w:b w:val="0"/>
                <w:color w:val="FFFFFF"/>
                <w:sz w:val="16"/>
              </w:rPr>
              <w:t>Immediate 300/400%</w:t>
            </w:r>
          </w:p>
        </w:tc>
        <w:tc>
          <w:tcPr>
            <w:tcW w:type="dxa" w:w="2765"/>
            <w:shd w:fill="F39C12" w:val="clear"/>
          </w:tcPr>
          <w:p>
            <w:pPr>
              <w:jc w:val="center"/>
            </w:pPr>
            <w:r/>
            <w:r>
              <w:rPr>
                <w:rFonts w:ascii="Calibri" w:hAnsi="Calibri"/>
                <w:b w:val="0"/>
                <w:color w:val="000000"/>
                <w:sz w:val="16"/>
              </w:rPr>
              <w:t>Immediate 250/400%</w:t>
            </w:r>
          </w:p>
        </w:tc>
        <w:tc>
          <w:tcPr>
            <w:tcW w:type="dxa" w:w="2765"/>
            <w:shd w:fill="27AE60" w:val="clear"/>
          </w:tcPr>
          <w:p>
            <w:pPr>
              <w:jc w:val="center"/>
            </w:pPr>
            <w:r/>
            <w:r>
              <w:rPr>
                <w:rFonts w:ascii="Calibri" w:hAnsi="Calibri"/>
                <w:b w:val="0"/>
                <w:color w:val="000000"/>
                <w:sz w:val="16"/>
              </w:rPr>
              <w:t>Phase-in to 2030</w:t>
            </w:r>
          </w:p>
        </w:tc>
        <w:tc>
          <w:tcPr>
            <w:tcW w:type="dxa" w:w="2765"/>
            <w:shd w:fill="002060" w:val="clear"/>
          </w:tcPr>
          <w:p>
            <w:pPr>
              <w:jc w:val="center"/>
            </w:pPr>
            <w:r/>
            <w:r>
              <w:rPr>
                <w:rFonts w:ascii="Calibri" w:hAnsi="Calibri"/>
                <w:b/>
                <w:color w:val="FFFFFF"/>
                <w:sz w:val="16"/>
              </w:rPr>
              <w:t>US</w:t>
            </w:r>
          </w:p>
        </w:tc>
      </w:tr>
      <w:tr>
        <w:tc>
          <w:tcPr>
            <w:tcW w:type="dxa" w:w="2765"/>
            <w:shd w:fill="FFFFFF" w:val="clear"/>
          </w:tcPr>
          <w:p>
            <w:pPr>
              <w:jc w:val="left"/>
            </w:pPr>
            <w:r/>
            <w:r>
              <w:rPr>
                <w:rFonts w:ascii="Calibri" w:hAnsi="Calibri"/>
                <w:b/>
                <w:color w:val="000000"/>
                <w:sz w:val="16"/>
              </w:rPr>
              <w:t>13. IRB PD/LGD Floors</w:t>
            </w:r>
          </w:p>
        </w:tc>
        <w:tc>
          <w:tcPr>
            <w:tcW w:type="dxa" w:w="2765"/>
            <w:shd w:fill="F39C12" w:val="clear"/>
          </w:tcPr>
          <w:p>
            <w:pPr>
              <w:jc w:val="center"/>
            </w:pPr>
            <w:r/>
            <w:r>
              <w:rPr>
                <w:rFonts w:ascii="Calibri" w:hAnsi="Calibri"/>
                <w:b w:val="0"/>
                <w:color w:val="000000"/>
                <w:sz w:val="16"/>
              </w:rPr>
              <w:t>N/A (no IRB)</w:t>
            </w:r>
          </w:p>
        </w:tc>
        <w:tc>
          <w:tcPr>
            <w:tcW w:type="dxa" w:w="2765"/>
            <w:shd w:fill="27AE60" w:val="clear"/>
          </w:tcPr>
          <w:p>
            <w:pPr>
              <w:jc w:val="center"/>
            </w:pPr>
            <w:r/>
            <w:r>
              <w:rPr>
                <w:rFonts w:ascii="Calibri" w:hAnsi="Calibri"/>
                <w:b w:val="0"/>
                <w:color w:val="000000"/>
                <w:sz w:val="16"/>
              </w:rPr>
              <w:t>BCBS floors</w:t>
            </w:r>
          </w:p>
        </w:tc>
        <w:tc>
          <w:tcPr>
            <w:tcW w:type="dxa" w:w="2765"/>
            <w:shd w:fill="27AE60" w:val="clear"/>
          </w:tcPr>
          <w:p>
            <w:pPr>
              <w:jc w:val="center"/>
            </w:pPr>
            <w:r/>
            <w:r>
              <w:rPr>
                <w:rFonts w:ascii="Calibri" w:hAnsi="Calibri"/>
                <w:b w:val="0"/>
                <w:color w:val="000000"/>
                <w:sz w:val="16"/>
              </w:rPr>
              <w:t>BCBS floors</w:t>
            </w:r>
          </w:p>
        </w:tc>
        <w:tc>
          <w:tcPr>
            <w:tcW w:type="dxa" w:w="2765"/>
            <w:shd w:fill="002060" w:val="clear"/>
          </w:tcPr>
          <w:p>
            <w:pPr>
              <w:jc w:val="center"/>
            </w:pPr>
            <w:r/>
            <w:r>
              <w:rPr>
                <w:rFonts w:ascii="Calibri" w:hAnsi="Calibri"/>
                <w:b/>
                <w:color w:val="FFFFFF"/>
                <w:sz w:val="16"/>
              </w:rPr>
              <w:t>N/A</w:t>
            </w:r>
          </w:p>
        </w:tc>
      </w:tr>
      <w:tr>
        <w:tc>
          <w:tcPr>
            <w:tcW w:type="dxa" w:w="2765"/>
            <w:shd w:fill="FFFFFF" w:val="clear"/>
          </w:tcPr>
          <w:p>
            <w:pPr>
              <w:jc w:val="left"/>
            </w:pPr>
            <w:r/>
            <w:r>
              <w:rPr>
                <w:rFonts w:ascii="Calibri" w:hAnsi="Calibri"/>
                <w:b/>
                <w:color w:val="000000"/>
                <w:sz w:val="16"/>
              </w:rPr>
              <w:t>14. OpRisk Loss Data</w:t>
            </w:r>
          </w:p>
        </w:tc>
        <w:tc>
          <w:tcPr>
            <w:tcW w:type="dxa" w:w="2765"/>
            <w:shd w:fill="C0392B" w:val="clear"/>
          </w:tcPr>
          <w:p>
            <w:pPr>
              <w:jc w:val="center"/>
            </w:pPr>
            <w:r/>
            <w:r>
              <w:rPr>
                <w:rFonts w:ascii="Calibri" w:hAnsi="Calibri"/>
                <w:b w:val="0"/>
                <w:color w:val="FFFFFF"/>
                <w:sz w:val="16"/>
              </w:rPr>
              <w:t>Required ($20K, 10Y); losses enter BI</w:t>
            </w:r>
          </w:p>
        </w:tc>
        <w:tc>
          <w:tcPr>
            <w:tcW w:type="dxa" w:w="2765"/>
            <w:shd w:fill="27AE60" w:val="clear"/>
          </w:tcPr>
          <w:p>
            <w:pPr>
              <w:jc w:val="center"/>
            </w:pPr>
            <w:r/>
            <w:r>
              <w:rPr>
                <w:rFonts w:ascii="Calibri" w:hAnsi="Calibri"/>
                <w:b w:val="0"/>
                <w:color w:val="000000"/>
                <w:sz w:val="16"/>
              </w:rPr>
              <w:t>Supervisory expectation</w:t>
            </w:r>
          </w:p>
        </w:tc>
        <w:tc>
          <w:tcPr>
            <w:tcW w:type="dxa" w:w="2765"/>
            <w:shd w:fill="C0392B" w:val="clear"/>
          </w:tcPr>
          <w:p>
            <w:pPr>
              <w:jc w:val="center"/>
            </w:pPr>
            <w:r/>
            <w:r>
              <w:rPr>
                <w:rFonts w:ascii="Calibri" w:hAnsi="Calibri"/>
                <w:b w:val="0"/>
                <w:color w:val="FFFFFF"/>
                <w:sz w:val="16"/>
              </w:rPr>
              <w:t>Mandatory EUR 20K/10Y</w:t>
            </w:r>
          </w:p>
        </w:tc>
        <w:tc>
          <w:tcPr>
            <w:tcW w:type="dxa" w:w="2765"/>
            <w:shd w:fill="002060" w:val="clear"/>
          </w:tcPr>
          <w:p>
            <w:pPr>
              <w:jc w:val="center"/>
            </w:pPr>
            <w:r/>
            <w:r>
              <w:rPr>
                <w:rFonts w:ascii="Calibri" w:hAnsi="Calibri"/>
                <w:b/>
                <w:color w:val="FFFFFF"/>
                <w:sz w:val="16"/>
              </w:rPr>
              <w:t>US/EU</w:t>
            </w:r>
          </w:p>
        </w:tc>
      </w:tr>
      <w:tr>
        <w:tc>
          <w:tcPr>
            <w:tcW w:type="dxa" w:w="2765"/>
            <w:shd w:fill="FFFFFF" w:val="clear"/>
          </w:tcPr>
          <w:p>
            <w:pPr>
              <w:jc w:val="left"/>
            </w:pPr>
            <w:r/>
            <w:r>
              <w:rPr>
                <w:rFonts w:ascii="Calibri" w:hAnsi="Calibri"/>
                <w:b/>
                <w:color w:val="000000"/>
                <w:sz w:val="16"/>
              </w:rPr>
              <w:t>15. Large Exp G-SIB</w:t>
            </w:r>
          </w:p>
        </w:tc>
        <w:tc>
          <w:tcPr>
            <w:tcW w:type="dxa" w:w="2765"/>
            <w:shd w:fill="C0392B" w:val="clear"/>
          </w:tcPr>
          <w:p>
            <w:pPr>
              <w:jc w:val="center"/>
            </w:pPr>
            <w:r/>
            <w:r>
              <w:rPr>
                <w:rFonts w:ascii="Calibri" w:hAnsi="Calibri"/>
                <w:b w:val="0"/>
                <w:color w:val="FFFFFF"/>
                <w:sz w:val="16"/>
              </w:rPr>
              <w:t>15% T1 G-SIB-to-G-SIB</w:t>
            </w:r>
          </w:p>
        </w:tc>
        <w:tc>
          <w:tcPr>
            <w:tcW w:type="dxa" w:w="2765"/>
            <w:shd w:fill="27AE60" w:val="clear"/>
          </w:tcPr>
          <w:p>
            <w:pPr>
              <w:jc w:val="center"/>
            </w:pPr>
            <w:r/>
            <w:r>
              <w:rPr>
                <w:rFonts w:ascii="Calibri" w:hAnsi="Calibri"/>
                <w:b w:val="0"/>
                <w:color w:val="000000"/>
                <w:sz w:val="16"/>
              </w:rPr>
              <w:t>25% T1</w:t>
            </w:r>
          </w:p>
        </w:tc>
        <w:tc>
          <w:tcPr>
            <w:tcW w:type="dxa" w:w="2765"/>
            <w:shd w:fill="27AE60" w:val="clear"/>
          </w:tcPr>
          <w:p>
            <w:pPr>
              <w:jc w:val="center"/>
            </w:pPr>
            <w:r/>
            <w:r>
              <w:rPr>
                <w:rFonts w:ascii="Calibri" w:hAnsi="Calibri"/>
                <w:b w:val="0"/>
                <w:color w:val="000000"/>
                <w:sz w:val="16"/>
              </w:rPr>
              <w:t>25% T1</w:t>
            </w:r>
          </w:p>
        </w:tc>
        <w:tc>
          <w:tcPr>
            <w:tcW w:type="dxa" w:w="2765"/>
            <w:shd w:fill="002060" w:val="clear"/>
          </w:tcPr>
          <w:p>
            <w:pPr>
              <w:jc w:val="center"/>
            </w:pPr>
            <w:r/>
            <w:r>
              <w:rPr>
                <w:rFonts w:ascii="Calibri" w:hAnsi="Calibri"/>
                <w:b/>
                <w:color w:val="FFFFFF"/>
                <w:sz w:val="16"/>
              </w:rPr>
              <w:t>US</w:t>
            </w:r>
          </w:p>
        </w:tc>
      </w:tr>
    </w:tbl>
    <w:p/>
    <w:p>
      <w:r>
        <w:rPr>
          <w:rFonts w:ascii="Calibri" w:hAnsi="Calibri"/>
          <w:color w:val="000000"/>
          <w:sz w:val="18"/>
        </w:rPr>
        <w:t>SUMMARY: US is most conservative on 11 of 15 dimensions (RED), including operational-risk loss data (shared with the EU). UK is most conservative on 2 dimensions (AT1 trigger, SA-CCR alpha for all). EU is most conservative on 2 dimensions (loss data, SA-CCR alpha for all). BA-CVA hedge recognition is aligned across the three. The US approach is estimated (illustrative model estimate, not an NPR figure) to produce approximately 6-8% higher aggregate RWA for a typical Category I G-SIB, primarily driven by the uniform 40% CCF, SA-only credit risk, absence of STS securitization benefits, and 300% publicly traded equity. The NPR's own aggregate estimate is +1.9% RWA for the nine Category I/II BHCs versus the current US standardized approach (Table VII.5).</w:t>
      </w:r>
    </w:p>
    <w:p>
      <w:r>
        <w:br w:type="page"/>
      </w:r>
    </w:p>
    <w:p>
      <w:r>
        <w:rPr>
          <w:rFonts w:ascii="Calibri" w:hAnsi="Calibri"/>
          <w:b/>
          <w:color w:val="C8962E"/>
          <w:sz w:val="28"/>
        </w:rPr>
        <w:t>SECTION 18</w:t>
      </w:r>
    </w:p>
    <w:p>
      <w:r>
        <w:rPr>
          <w:rFonts w:ascii="Calibri" w:hAnsi="Calibri"/>
          <w:b/>
          <w:color w:val="002060"/>
          <w:sz w:val="32"/>
        </w:rPr>
        <w:t>Key Numbers for Senior Management</w:t>
      </w:r>
    </w:p>
    <w:p>
      <w:r>
        <w:rPr>
          <w:color w:val="C8962E"/>
          <w:sz w:val="12"/>
        </w:rPr>
        <w:t>________________________________________________________________________________________________________________________</w:t>
      </w:r>
    </w:p>
    <w:p>
      <w:r>
        <w:rPr>
          <w:rFonts w:ascii="Calibri" w:hAnsi="Calibri"/>
          <w:color w:val="000000"/>
          <w:sz w:val="18"/>
        </w:rPr>
        <w:t>Consolidated key metrics and numbers for executive-level briefing. All figures calibrated for a Category I US G-SIB with $3.2T total assets.</w:t>
      </w:r>
    </w:p>
    <w:p>
      <w:r>
        <w:rPr>
          <w:rFonts w:ascii="Calibri" w:hAnsi="Calibri"/>
          <w:b/>
          <w:color w:val="002060"/>
          <w:sz w:val="22"/>
        </w:rPr>
        <w:t>18.1 Capital Requirements Summary</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Metric</w:t>
            </w:r>
          </w:p>
        </w:tc>
        <w:tc>
          <w:tcPr>
            <w:tcW w:type="dxa" w:w="3456"/>
            <w:shd w:fill="002060" w:val="clear"/>
            <w:tcW w:w="3600" w:type="dxa"/>
          </w:tcPr>
          <w:p>
            <w:pPr>
              <w:jc w:val="center"/>
            </w:pPr>
            <w:r/>
            <w:r>
              <w:rPr>
                <w:rFonts w:ascii="Calibri" w:hAnsi="Calibri"/>
                <w:b/>
                <w:color w:val="FFFFFF"/>
                <w:sz w:val="16"/>
              </w:rPr>
              <w:t>US Fed</w:t>
            </w:r>
          </w:p>
        </w:tc>
        <w:tc>
          <w:tcPr>
            <w:tcW w:type="dxa" w:w="3456"/>
            <w:shd w:fill="002060" w:val="clear"/>
            <w:tcW w:w="3600" w:type="dxa"/>
          </w:tcPr>
          <w:p>
            <w:pPr>
              <w:jc w:val="center"/>
            </w:pPr>
            <w:r/>
            <w:r>
              <w:rPr>
                <w:rFonts w:ascii="Calibri" w:hAnsi="Calibri"/>
                <w:b/>
                <w:color w:val="FFFFFF"/>
                <w:sz w:val="16"/>
              </w:rPr>
              <w:t>UK PRA</w:t>
            </w:r>
          </w:p>
        </w:tc>
        <w:tc>
          <w:tcPr>
            <w:tcW w:type="dxa" w:w="3456"/>
            <w:shd w:fill="002060" w:val="clear"/>
            <w:tcW w:w="3600" w:type="dxa"/>
          </w:tcPr>
          <w:p>
            <w:pPr>
              <w:jc w:val="center"/>
            </w:pPr>
            <w:r/>
            <w:r>
              <w:rPr>
                <w:rFonts w:ascii="Calibri" w:hAnsi="Calibri"/>
                <w:b/>
                <w:color w:val="FFFFFF"/>
                <w:sz w:val="16"/>
              </w:rPr>
              <w:t>EU EBA</w:t>
            </w:r>
          </w:p>
        </w:tc>
      </w:tr>
      <w:tr>
        <w:tc>
          <w:tcPr>
            <w:tcW w:type="dxa" w:w="3456"/>
            <w:shd w:fill="F2F2F2" w:val="clear"/>
          </w:tcPr>
          <w:p>
            <w:pPr>
              <w:jc w:val="left"/>
            </w:pPr>
            <w:r/>
            <w:r>
              <w:rPr>
                <w:rFonts w:ascii="Calibri" w:hAnsi="Calibri"/>
                <w:b/>
                <w:color w:val="000000"/>
                <w:sz w:val="16"/>
              </w:rPr>
              <w:t>CET1 Minimum</w:t>
            </w:r>
          </w:p>
        </w:tc>
        <w:tc>
          <w:tcPr>
            <w:tcW w:type="dxa" w:w="3456"/>
            <w:shd w:fill="F2F2F2" w:val="clear"/>
          </w:tcPr>
          <w:p>
            <w:pPr>
              <w:jc w:val="left"/>
            </w:pPr>
            <w:r/>
            <w:r>
              <w:rPr>
                <w:rFonts w:ascii="Calibri" w:hAnsi="Calibri"/>
                <w:b w:val="0"/>
                <w:color w:val="000000"/>
                <w:sz w:val="16"/>
              </w:rPr>
              <w:t>4.5%</w:t>
            </w:r>
          </w:p>
        </w:tc>
        <w:tc>
          <w:tcPr>
            <w:tcW w:type="dxa" w:w="3456"/>
            <w:shd w:fill="F2F2F2" w:val="clear"/>
          </w:tcPr>
          <w:p>
            <w:pPr>
              <w:jc w:val="left"/>
            </w:pPr>
            <w:r/>
            <w:r>
              <w:rPr>
                <w:rFonts w:ascii="Calibri" w:hAnsi="Calibri"/>
                <w:b w:val="0"/>
                <w:color w:val="000000"/>
                <w:sz w:val="16"/>
              </w:rPr>
              <w:t>4.5%</w:t>
            </w:r>
          </w:p>
        </w:tc>
        <w:tc>
          <w:tcPr>
            <w:tcW w:type="dxa" w:w="3456"/>
            <w:shd w:fill="F2F2F2" w:val="clear"/>
          </w:tcPr>
          <w:p>
            <w:pPr>
              <w:jc w:val="left"/>
            </w:pPr>
            <w:r/>
            <w:r>
              <w:rPr>
                <w:rFonts w:ascii="Calibri" w:hAnsi="Calibri"/>
                <w:b w:val="0"/>
                <w:color w:val="000000"/>
                <w:sz w:val="16"/>
              </w:rPr>
              <w:t>4.5%</w:t>
            </w:r>
          </w:p>
        </w:tc>
      </w:tr>
      <w:tr>
        <w:tc>
          <w:tcPr>
            <w:tcW w:type="dxa" w:w="3456"/>
            <w:shd w:fill="FFFFFF" w:val="clear"/>
          </w:tcPr>
          <w:p>
            <w:pPr>
              <w:jc w:val="left"/>
            </w:pPr>
            <w:r/>
            <w:r>
              <w:rPr>
                <w:rFonts w:ascii="Calibri" w:hAnsi="Calibri"/>
                <w:b/>
                <w:color w:val="000000"/>
                <w:sz w:val="16"/>
              </w:rPr>
              <w:t>Tier 1 Minimum</w:t>
            </w:r>
          </w:p>
        </w:tc>
        <w:tc>
          <w:tcPr>
            <w:tcW w:type="dxa" w:w="3456"/>
            <w:shd w:fill="FFFFFF" w:val="clear"/>
          </w:tcPr>
          <w:p>
            <w:pPr>
              <w:jc w:val="left"/>
            </w:pPr>
            <w:r/>
            <w:r>
              <w:rPr>
                <w:rFonts w:ascii="Calibri" w:hAnsi="Calibri"/>
                <w:b w:val="0"/>
                <w:color w:val="000000"/>
                <w:sz w:val="16"/>
              </w:rPr>
              <w:t>6.0%</w:t>
            </w:r>
          </w:p>
        </w:tc>
        <w:tc>
          <w:tcPr>
            <w:tcW w:type="dxa" w:w="3456"/>
            <w:shd w:fill="FFFFFF" w:val="clear"/>
          </w:tcPr>
          <w:p>
            <w:pPr>
              <w:jc w:val="left"/>
            </w:pPr>
            <w:r/>
            <w:r>
              <w:rPr>
                <w:rFonts w:ascii="Calibri" w:hAnsi="Calibri"/>
                <w:b w:val="0"/>
                <w:color w:val="000000"/>
                <w:sz w:val="16"/>
              </w:rPr>
              <w:t>6.0%</w:t>
            </w:r>
          </w:p>
        </w:tc>
        <w:tc>
          <w:tcPr>
            <w:tcW w:type="dxa" w:w="3456"/>
            <w:shd w:fill="FFFFFF" w:val="clear"/>
          </w:tcPr>
          <w:p>
            <w:pPr>
              <w:jc w:val="left"/>
            </w:pPr>
            <w:r/>
            <w:r>
              <w:rPr>
                <w:rFonts w:ascii="Calibri" w:hAnsi="Calibri"/>
                <w:b w:val="0"/>
                <w:color w:val="000000"/>
                <w:sz w:val="16"/>
              </w:rPr>
              <w:t>6.0%</w:t>
            </w:r>
          </w:p>
        </w:tc>
      </w:tr>
      <w:tr>
        <w:tc>
          <w:tcPr>
            <w:tcW w:type="dxa" w:w="3456"/>
            <w:shd w:fill="F2F2F2" w:val="clear"/>
          </w:tcPr>
          <w:p>
            <w:pPr>
              <w:jc w:val="left"/>
            </w:pPr>
            <w:r/>
            <w:r>
              <w:rPr>
                <w:rFonts w:ascii="Calibri" w:hAnsi="Calibri"/>
                <w:b/>
                <w:color w:val="000000"/>
                <w:sz w:val="16"/>
              </w:rPr>
              <w:t>Total Capital Minimum</w:t>
            </w:r>
          </w:p>
        </w:tc>
        <w:tc>
          <w:tcPr>
            <w:tcW w:type="dxa" w:w="3456"/>
            <w:shd w:fill="F2F2F2" w:val="clear"/>
          </w:tcPr>
          <w:p>
            <w:pPr>
              <w:jc w:val="left"/>
            </w:pPr>
            <w:r/>
            <w:r>
              <w:rPr>
                <w:rFonts w:ascii="Calibri" w:hAnsi="Calibri"/>
                <w:b w:val="0"/>
                <w:color w:val="000000"/>
                <w:sz w:val="16"/>
              </w:rPr>
              <w:t>8.0%</w:t>
            </w:r>
          </w:p>
        </w:tc>
        <w:tc>
          <w:tcPr>
            <w:tcW w:type="dxa" w:w="3456"/>
            <w:shd w:fill="F2F2F2" w:val="clear"/>
          </w:tcPr>
          <w:p>
            <w:pPr>
              <w:jc w:val="left"/>
            </w:pPr>
            <w:r/>
            <w:r>
              <w:rPr>
                <w:rFonts w:ascii="Calibri" w:hAnsi="Calibri"/>
                <w:b w:val="0"/>
                <w:color w:val="000000"/>
                <w:sz w:val="16"/>
              </w:rPr>
              <w:t>8.0%</w:t>
            </w:r>
          </w:p>
        </w:tc>
        <w:tc>
          <w:tcPr>
            <w:tcW w:type="dxa" w:w="3456"/>
            <w:shd w:fill="F2F2F2" w:val="clear"/>
          </w:tcPr>
          <w:p>
            <w:pPr>
              <w:jc w:val="left"/>
            </w:pPr>
            <w:r/>
            <w:r>
              <w:rPr>
                <w:rFonts w:ascii="Calibri" w:hAnsi="Calibri"/>
                <w:b w:val="0"/>
                <w:color w:val="000000"/>
                <w:sz w:val="16"/>
              </w:rPr>
              <w:t>8.0%</w:t>
            </w:r>
          </w:p>
        </w:tc>
      </w:tr>
      <w:tr>
        <w:tc>
          <w:tcPr>
            <w:tcW w:type="dxa" w:w="3456"/>
            <w:shd w:fill="FFFFFF" w:val="clear"/>
          </w:tcPr>
          <w:p>
            <w:pPr>
              <w:jc w:val="left"/>
            </w:pPr>
            <w:r/>
            <w:r>
              <w:rPr>
                <w:rFonts w:ascii="Calibri" w:hAnsi="Calibri"/>
                <w:b/>
                <w:color w:val="000000"/>
                <w:sz w:val="16"/>
              </w:rPr>
              <w:t>G-SIB Surcharge (Top)</w:t>
            </w:r>
          </w:p>
        </w:tc>
        <w:tc>
          <w:tcPr>
            <w:tcW w:type="dxa" w:w="3456"/>
            <w:shd w:fill="FFFFFF" w:val="clear"/>
          </w:tcPr>
          <w:p>
            <w:pPr>
              <w:jc w:val="left"/>
            </w:pPr>
            <w:r/>
            <w:r>
              <w:rPr>
                <w:rFonts w:ascii="Calibri" w:hAnsi="Calibri"/>
                <w:b w:val="0"/>
                <w:color w:val="000000"/>
                <w:sz w:val="16"/>
              </w:rPr>
              <w:t>4.0% (JPM)</w:t>
            </w:r>
          </w:p>
        </w:tc>
        <w:tc>
          <w:tcPr>
            <w:tcW w:type="dxa" w:w="3456"/>
            <w:shd w:fill="FFFFFF" w:val="clear"/>
          </w:tcPr>
          <w:p>
            <w:pPr>
              <w:jc w:val="left"/>
            </w:pPr>
            <w:r/>
            <w:r>
              <w:rPr>
                <w:rFonts w:ascii="Calibri" w:hAnsi="Calibri"/>
                <w:b w:val="0"/>
                <w:color w:val="000000"/>
                <w:sz w:val="16"/>
              </w:rPr>
              <w:t>3.0% (systemic buffer)</w:t>
            </w:r>
          </w:p>
        </w:tc>
        <w:tc>
          <w:tcPr>
            <w:tcW w:type="dxa" w:w="3456"/>
            <w:shd w:fill="FFFFFF" w:val="clear"/>
          </w:tcPr>
          <w:p>
            <w:pPr>
              <w:jc w:val="left"/>
            </w:pPr>
            <w:r/>
            <w:r>
              <w:rPr>
                <w:rFonts w:ascii="Calibri" w:hAnsi="Calibri"/>
                <w:b w:val="0"/>
                <w:color w:val="000000"/>
                <w:sz w:val="16"/>
              </w:rPr>
              <w:t>2.0% (typical)</w:t>
            </w:r>
          </w:p>
        </w:tc>
      </w:tr>
      <w:tr>
        <w:tc>
          <w:tcPr>
            <w:tcW w:type="dxa" w:w="3456"/>
            <w:shd w:fill="F2F2F2" w:val="clear"/>
          </w:tcPr>
          <w:p>
            <w:pPr>
              <w:jc w:val="left"/>
            </w:pPr>
            <w:r/>
            <w:r>
              <w:rPr>
                <w:rFonts w:ascii="Calibri" w:hAnsi="Calibri"/>
                <w:b/>
                <w:color w:val="000000"/>
                <w:sz w:val="16"/>
              </w:rPr>
              <w:t>SCB / CCB</w:t>
            </w:r>
          </w:p>
        </w:tc>
        <w:tc>
          <w:tcPr>
            <w:tcW w:type="dxa" w:w="3456"/>
            <w:shd w:fill="F2F2F2" w:val="clear"/>
          </w:tcPr>
          <w:p>
            <w:pPr>
              <w:jc w:val="left"/>
            </w:pPr>
            <w:r/>
            <w:r>
              <w:rPr>
                <w:rFonts w:ascii="Calibri" w:hAnsi="Calibri"/>
                <w:b w:val="0"/>
                <w:color w:val="000000"/>
                <w:sz w:val="16"/>
              </w:rPr>
              <w:t>3.2% (avg SCB)</w:t>
            </w:r>
          </w:p>
        </w:tc>
        <w:tc>
          <w:tcPr>
            <w:tcW w:type="dxa" w:w="3456"/>
            <w:shd w:fill="F2F2F2" w:val="clear"/>
          </w:tcPr>
          <w:p>
            <w:pPr>
              <w:jc w:val="left"/>
            </w:pPr>
            <w:r/>
            <w:r>
              <w:rPr>
                <w:rFonts w:ascii="Calibri" w:hAnsi="Calibri"/>
                <w:b w:val="0"/>
                <w:color w:val="000000"/>
                <w:sz w:val="16"/>
              </w:rPr>
              <w:t>2.5% (CCB)</w:t>
            </w:r>
          </w:p>
        </w:tc>
        <w:tc>
          <w:tcPr>
            <w:tcW w:type="dxa" w:w="3456"/>
            <w:shd w:fill="F2F2F2" w:val="clear"/>
          </w:tcPr>
          <w:p>
            <w:pPr>
              <w:jc w:val="left"/>
            </w:pPr>
            <w:r/>
            <w:r>
              <w:rPr>
                <w:rFonts w:ascii="Calibri" w:hAnsi="Calibri"/>
                <w:b w:val="0"/>
                <w:color w:val="000000"/>
                <w:sz w:val="16"/>
              </w:rPr>
              <w:t>2.5% (CCB)</w:t>
            </w:r>
          </w:p>
        </w:tc>
      </w:tr>
      <w:tr>
        <w:tc>
          <w:tcPr>
            <w:tcW w:type="dxa" w:w="3456"/>
            <w:shd w:fill="FFFFFF" w:val="clear"/>
          </w:tcPr>
          <w:p>
            <w:pPr>
              <w:jc w:val="left"/>
            </w:pPr>
            <w:r/>
            <w:r>
              <w:rPr>
                <w:rFonts w:ascii="Calibri" w:hAnsi="Calibri"/>
                <w:b/>
                <w:color w:val="000000"/>
                <w:sz w:val="16"/>
              </w:rPr>
              <w:t>CCyB</w:t>
            </w:r>
          </w:p>
        </w:tc>
        <w:tc>
          <w:tcPr>
            <w:tcW w:type="dxa" w:w="3456"/>
            <w:shd w:fill="FFFFFF" w:val="clear"/>
          </w:tcPr>
          <w:p>
            <w:pPr>
              <w:jc w:val="left"/>
            </w:pPr>
            <w:r/>
            <w:r>
              <w:rPr>
                <w:rFonts w:ascii="Calibri" w:hAnsi="Calibri"/>
                <w:b w:val="0"/>
                <w:color w:val="000000"/>
                <w:sz w:val="16"/>
              </w:rPr>
              <w:t>0%</w:t>
            </w:r>
          </w:p>
        </w:tc>
        <w:tc>
          <w:tcPr>
            <w:tcW w:type="dxa" w:w="3456"/>
            <w:shd w:fill="FFFFFF" w:val="clear"/>
          </w:tcPr>
          <w:p>
            <w:pPr>
              <w:jc w:val="left"/>
            </w:pPr>
            <w:r/>
            <w:r>
              <w:rPr>
                <w:rFonts w:ascii="Calibri" w:hAnsi="Calibri"/>
                <w:b w:val="0"/>
                <w:color w:val="000000"/>
                <w:sz w:val="16"/>
              </w:rPr>
              <w:t>2.0%</w:t>
            </w:r>
          </w:p>
        </w:tc>
        <w:tc>
          <w:tcPr>
            <w:tcW w:type="dxa" w:w="3456"/>
            <w:shd w:fill="FFFFFF" w:val="clear"/>
          </w:tcPr>
          <w:p>
            <w:pPr>
              <w:jc w:val="left"/>
            </w:pPr>
            <w:r/>
            <w:r>
              <w:rPr>
                <w:rFonts w:ascii="Calibri" w:hAnsi="Calibri"/>
                <w:b w:val="0"/>
                <w:color w:val="000000"/>
                <w:sz w:val="16"/>
              </w:rPr>
              <w:t>~0.5-1.0% (varies by MS)</w:t>
            </w:r>
          </w:p>
        </w:tc>
      </w:tr>
      <w:tr>
        <w:tc>
          <w:tcPr>
            <w:tcW w:type="dxa" w:w="3456"/>
            <w:shd w:fill="F2F2F2" w:val="clear"/>
          </w:tcPr>
          <w:p>
            <w:pPr>
              <w:jc w:val="left"/>
            </w:pPr>
            <w:r/>
            <w:r>
              <w:rPr>
                <w:rFonts w:ascii="Calibri" w:hAnsi="Calibri"/>
                <w:b/>
                <w:color w:val="000000"/>
                <w:sz w:val="16"/>
              </w:rPr>
              <w:t>Effective CET1 Req</w:t>
            </w:r>
          </w:p>
        </w:tc>
        <w:tc>
          <w:tcPr>
            <w:tcW w:type="dxa" w:w="3456"/>
            <w:shd w:fill="F2F2F2" w:val="clear"/>
          </w:tcPr>
          <w:p>
            <w:pPr>
              <w:jc w:val="left"/>
            </w:pPr>
            <w:r/>
            <w:r>
              <w:rPr>
                <w:rFonts w:ascii="Calibri" w:hAnsi="Calibri"/>
                <w:b w:val="0"/>
                <w:color w:val="000000"/>
                <w:sz w:val="16"/>
              </w:rPr>
              <w:t>~11.7-12.7%</w:t>
            </w:r>
          </w:p>
        </w:tc>
        <w:tc>
          <w:tcPr>
            <w:tcW w:type="dxa" w:w="3456"/>
            <w:shd w:fill="F2F2F2" w:val="clear"/>
          </w:tcPr>
          <w:p>
            <w:pPr>
              <w:jc w:val="left"/>
            </w:pPr>
            <w:r/>
            <w:r>
              <w:rPr>
                <w:rFonts w:ascii="Calibri" w:hAnsi="Calibri"/>
                <w:b w:val="0"/>
                <w:color w:val="000000"/>
                <w:sz w:val="16"/>
              </w:rPr>
              <w:t>~12.0-13.0%</w:t>
            </w:r>
          </w:p>
        </w:tc>
        <w:tc>
          <w:tcPr>
            <w:tcW w:type="dxa" w:w="3456"/>
            <w:shd w:fill="F2F2F2" w:val="clear"/>
          </w:tcPr>
          <w:p>
            <w:pPr>
              <w:jc w:val="left"/>
            </w:pPr>
            <w:r/>
            <w:r>
              <w:rPr>
                <w:rFonts w:ascii="Calibri" w:hAnsi="Calibri"/>
                <w:b w:val="0"/>
                <w:color w:val="000000"/>
                <w:sz w:val="16"/>
              </w:rPr>
              <w:t>~10.0-12.0%</w:t>
            </w:r>
          </w:p>
        </w:tc>
      </w:tr>
      <w:tr>
        <w:tc>
          <w:tcPr>
            <w:tcW w:type="dxa" w:w="3456"/>
            <w:shd w:fill="FFFFFF" w:val="clear"/>
          </w:tcPr>
          <w:p>
            <w:pPr>
              <w:jc w:val="left"/>
            </w:pPr>
            <w:r/>
            <w:r>
              <w:rPr>
                <w:rFonts w:ascii="Calibri" w:hAnsi="Calibri"/>
                <w:b/>
                <w:color w:val="000000"/>
                <w:sz w:val="16"/>
              </w:rPr>
              <w:t>Leverage Ratio</w:t>
            </w:r>
          </w:p>
        </w:tc>
        <w:tc>
          <w:tcPr>
            <w:tcW w:type="dxa" w:w="3456"/>
            <w:shd w:fill="FFFFFF" w:val="clear"/>
          </w:tcPr>
          <w:p>
            <w:pPr>
              <w:jc w:val="left"/>
            </w:pPr>
            <w:r/>
            <w:r>
              <w:rPr>
                <w:rFonts w:ascii="Calibri" w:hAnsi="Calibri"/>
                <w:b w:val="0"/>
                <w:color w:val="000000"/>
                <w:sz w:val="16"/>
              </w:rPr>
              <w:t>5.0% (eSLR)</w:t>
            </w:r>
          </w:p>
        </w:tc>
        <w:tc>
          <w:tcPr>
            <w:tcW w:type="dxa" w:w="3456"/>
            <w:shd w:fill="FFFFFF" w:val="clear"/>
          </w:tcPr>
          <w:p>
            <w:pPr>
              <w:jc w:val="left"/>
            </w:pPr>
            <w:r/>
            <w:r>
              <w:rPr>
                <w:rFonts w:ascii="Calibri" w:hAnsi="Calibri"/>
                <w:b w:val="0"/>
                <w:color w:val="000000"/>
                <w:sz w:val="16"/>
              </w:rPr>
              <w:t>3.25% + CCLB</w:t>
            </w:r>
          </w:p>
        </w:tc>
        <w:tc>
          <w:tcPr>
            <w:tcW w:type="dxa" w:w="3456"/>
            <w:shd w:fill="FFFFFF" w:val="clear"/>
          </w:tcPr>
          <w:p>
            <w:pPr>
              <w:jc w:val="left"/>
            </w:pPr>
            <w:r/>
            <w:r>
              <w:rPr>
                <w:rFonts w:ascii="Calibri" w:hAnsi="Calibri"/>
                <w:b w:val="0"/>
                <w:color w:val="000000"/>
                <w:sz w:val="16"/>
              </w:rPr>
              <w:t>3.0% + G-SIB add-on</w:t>
            </w:r>
          </w:p>
        </w:tc>
      </w:tr>
      <w:tr>
        <w:tc>
          <w:tcPr>
            <w:tcW w:type="dxa" w:w="3456"/>
            <w:shd w:fill="F2F2F2" w:val="clear"/>
          </w:tcPr>
          <w:p>
            <w:pPr>
              <w:jc w:val="left"/>
            </w:pPr>
            <w:r/>
            <w:r>
              <w:rPr>
                <w:rFonts w:ascii="Calibri" w:hAnsi="Calibri"/>
                <w:b/>
                <w:color w:val="000000"/>
                <w:sz w:val="16"/>
              </w:rPr>
              <w:t>TLAC Minimum</w:t>
            </w:r>
          </w:p>
        </w:tc>
        <w:tc>
          <w:tcPr>
            <w:tcW w:type="dxa" w:w="3456"/>
            <w:shd w:fill="F2F2F2" w:val="clear"/>
          </w:tcPr>
          <w:p>
            <w:pPr>
              <w:jc w:val="left"/>
            </w:pPr>
            <w:r/>
            <w:r>
              <w:rPr>
                <w:rFonts w:ascii="Calibri" w:hAnsi="Calibri"/>
                <w:b w:val="0"/>
                <w:color w:val="000000"/>
                <w:sz w:val="16"/>
              </w:rPr>
              <w:t>22% RWA + 9.5% leverage</w:t>
            </w:r>
          </w:p>
        </w:tc>
        <w:tc>
          <w:tcPr>
            <w:tcW w:type="dxa" w:w="3456"/>
            <w:shd w:fill="F2F2F2" w:val="clear"/>
          </w:tcPr>
          <w:p>
            <w:pPr>
              <w:jc w:val="left"/>
            </w:pPr>
            <w:r/>
            <w:r>
              <w:rPr>
                <w:rFonts w:ascii="Calibri" w:hAnsi="Calibri"/>
                <w:b w:val="0"/>
                <w:color w:val="000000"/>
                <w:sz w:val="16"/>
              </w:rPr>
              <w:t>MREL per BoE</w:t>
            </w:r>
          </w:p>
        </w:tc>
        <w:tc>
          <w:tcPr>
            <w:tcW w:type="dxa" w:w="3456"/>
            <w:shd w:fill="F2F2F2" w:val="clear"/>
          </w:tcPr>
          <w:p>
            <w:pPr>
              <w:jc w:val="left"/>
            </w:pPr>
            <w:r/>
            <w:r>
              <w:rPr>
                <w:rFonts w:ascii="Calibri" w:hAnsi="Calibri"/>
                <w:b w:val="0"/>
                <w:color w:val="000000"/>
                <w:sz w:val="16"/>
              </w:rPr>
              <w:t>MREL per SRB</w:t>
            </w:r>
          </w:p>
        </w:tc>
      </w:tr>
    </w:tbl>
    <w:p>
      <w:r>
        <w:rPr>
          <w:rFonts w:ascii="Calibri" w:hAnsi="Calibri"/>
          <w:b/>
          <w:color w:val="002060"/>
          <w:sz w:val="22"/>
        </w:rPr>
        <w:t>18.2 Key Risk Weight Comparison</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Exposure</w:t>
            </w:r>
          </w:p>
        </w:tc>
        <w:tc>
          <w:tcPr>
            <w:tcW w:type="dxa" w:w="3456"/>
            <w:shd w:fill="002060" w:val="clear"/>
            <w:tcW w:w="3600" w:type="dxa"/>
          </w:tcPr>
          <w:p>
            <w:pPr>
              <w:jc w:val="center"/>
            </w:pPr>
            <w:r/>
            <w:r>
              <w:rPr>
                <w:rFonts w:ascii="Calibri" w:hAnsi="Calibri"/>
                <w:b/>
                <w:color w:val="FFFFFF"/>
                <w:sz w:val="16"/>
              </w:rPr>
              <w:t>US RW</w:t>
            </w:r>
          </w:p>
        </w:tc>
        <w:tc>
          <w:tcPr>
            <w:tcW w:type="dxa" w:w="3456"/>
            <w:shd w:fill="002060" w:val="clear"/>
            <w:tcW w:w="3600" w:type="dxa"/>
          </w:tcPr>
          <w:p>
            <w:pPr>
              <w:jc w:val="center"/>
            </w:pPr>
            <w:r/>
            <w:r>
              <w:rPr>
                <w:rFonts w:ascii="Calibri" w:hAnsi="Calibri"/>
                <w:b/>
                <w:color w:val="FFFFFF"/>
                <w:sz w:val="16"/>
              </w:rPr>
              <w:t>UK RW</w:t>
            </w:r>
          </w:p>
        </w:tc>
        <w:tc>
          <w:tcPr>
            <w:tcW w:type="dxa" w:w="3456"/>
            <w:shd w:fill="002060" w:val="clear"/>
            <w:tcW w:w="3600" w:type="dxa"/>
          </w:tcPr>
          <w:p>
            <w:pPr>
              <w:jc w:val="center"/>
            </w:pPr>
            <w:r/>
            <w:r>
              <w:rPr>
                <w:rFonts w:ascii="Calibri" w:hAnsi="Calibri"/>
                <w:b/>
                <w:color w:val="FFFFFF"/>
                <w:sz w:val="16"/>
              </w:rPr>
              <w:t>EU RW</w:t>
            </w:r>
          </w:p>
        </w:tc>
      </w:tr>
      <w:tr>
        <w:tc>
          <w:tcPr>
            <w:tcW w:type="dxa" w:w="3456"/>
            <w:shd w:fill="F2F2F2" w:val="clear"/>
          </w:tcPr>
          <w:p>
            <w:pPr>
              <w:jc w:val="left"/>
            </w:pPr>
            <w:r/>
            <w:r>
              <w:rPr>
                <w:rFonts w:ascii="Calibri" w:hAnsi="Calibri"/>
                <w:b/>
                <w:color w:val="000000"/>
                <w:sz w:val="16"/>
              </w:rPr>
              <w:t>Corporate IG</w:t>
            </w:r>
          </w:p>
        </w:tc>
        <w:tc>
          <w:tcPr>
            <w:tcW w:type="dxa" w:w="3456"/>
            <w:shd w:fill="F2F2F2" w:val="clear"/>
          </w:tcPr>
          <w:p>
            <w:pPr>
              <w:jc w:val="left"/>
            </w:pPr>
            <w:r/>
            <w:r>
              <w:rPr>
                <w:rFonts w:ascii="Calibri" w:hAnsi="Calibri"/>
                <w:b w:val="0"/>
                <w:color w:val="000000"/>
                <w:sz w:val="16"/>
              </w:rPr>
              <w:t>65%</w:t>
            </w:r>
          </w:p>
        </w:tc>
        <w:tc>
          <w:tcPr>
            <w:tcW w:type="dxa" w:w="3456"/>
            <w:shd w:fill="F2F2F2" w:val="clear"/>
          </w:tcPr>
          <w:p>
            <w:pPr>
              <w:jc w:val="left"/>
            </w:pPr>
            <w:r/>
            <w:r>
              <w:rPr>
                <w:rFonts w:ascii="Calibri" w:hAnsi="Calibri"/>
                <w:b w:val="0"/>
                <w:color w:val="000000"/>
                <w:sz w:val="16"/>
              </w:rPr>
              <w:t>20-50% (rated)</w:t>
            </w:r>
          </w:p>
        </w:tc>
        <w:tc>
          <w:tcPr>
            <w:tcW w:type="dxa" w:w="3456"/>
            <w:shd w:fill="F2F2F2" w:val="clear"/>
          </w:tcPr>
          <w:p>
            <w:pPr>
              <w:jc w:val="left"/>
            </w:pPr>
            <w:r/>
            <w:r>
              <w:rPr>
                <w:rFonts w:ascii="Calibri" w:hAnsi="Calibri"/>
                <w:b w:val="0"/>
                <w:color w:val="000000"/>
                <w:sz w:val="16"/>
              </w:rPr>
              <w:t>20-50% / 65% transitional</w:t>
            </w:r>
          </w:p>
        </w:tc>
      </w:tr>
      <w:tr>
        <w:tc>
          <w:tcPr>
            <w:tcW w:type="dxa" w:w="3456"/>
            <w:shd w:fill="FFFFFF" w:val="clear"/>
          </w:tcPr>
          <w:p>
            <w:pPr>
              <w:jc w:val="left"/>
            </w:pPr>
            <w:r/>
            <w:r>
              <w:rPr>
                <w:rFonts w:ascii="Calibri" w:hAnsi="Calibri"/>
                <w:b/>
                <w:color w:val="000000"/>
                <w:sz w:val="16"/>
              </w:rPr>
              <w:t>Corporate Unrated</w:t>
            </w:r>
          </w:p>
        </w:tc>
        <w:tc>
          <w:tcPr>
            <w:tcW w:type="dxa" w:w="3456"/>
            <w:shd w:fill="FFFFFF" w:val="clear"/>
          </w:tcPr>
          <w:p>
            <w:pPr>
              <w:jc w:val="left"/>
            </w:pPr>
            <w:r/>
            <w:r>
              <w:rPr>
                <w:rFonts w:ascii="Calibri" w:hAnsi="Calibri"/>
                <w:b w:val="0"/>
                <w:color w:val="000000"/>
                <w:sz w:val="16"/>
              </w:rPr>
              <w:t>100%</w:t>
            </w:r>
          </w:p>
        </w:tc>
        <w:tc>
          <w:tcPr>
            <w:tcW w:type="dxa" w:w="3456"/>
            <w:shd w:fill="FFFFFF" w:val="clear"/>
          </w:tcPr>
          <w:p>
            <w:pPr>
              <w:jc w:val="left"/>
            </w:pPr>
            <w:r/>
            <w:r>
              <w:rPr>
                <w:rFonts w:ascii="Calibri" w:hAnsi="Calibri"/>
                <w:b w:val="0"/>
                <w:color w:val="000000"/>
                <w:sz w:val="16"/>
              </w:rPr>
              <w:t>100%</w:t>
            </w:r>
          </w:p>
        </w:tc>
        <w:tc>
          <w:tcPr>
            <w:tcW w:type="dxa" w:w="3456"/>
            <w:shd w:fill="FFFFFF" w:val="clear"/>
          </w:tcPr>
          <w:p>
            <w:pPr>
              <w:jc w:val="left"/>
            </w:pPr>
            <w:r/>
            <w:r>
              <w:rPr>
                <w:rFonts w:ascii="Calibri" w:hAnsi="Calibri"/>
                <w:b w:val="0"/>
                <w:color w:val="000000"/>
                <w:sz w:val="16"/>
              </w:rPr>
              <w:t>100%</w:t>
            </w:r>
          </w:p>
        </w:tc>
      </w:tr>
      <w:tr>
        <w:tc>
          <w:tcPr>
            <w:tcW w:type="dxa" w:w="3456"/>
            <w:shd w:fill="F2F2F2" w:val="clear"/>
          </w:tcPr>
          <w:p>
            <w:pPr>
              <w:jc w:val="left"/>
            </w:pPr>
            <w:r/>
            <w:r>
              <w:rPr>
                <w:rFonts w:ascii="Calibri" w:hAnsi="Calibri"/>
                <w:b/>
                <w:color w:val="000000"/>
                <w:sz w:val="16"/>
              </w:rPr>
              <w:t>Retail Transactor</w:t>
            </w:r>
          </w:p>
        </w:tc>
        <w:tc>
          <w:tcPr>
            <w:tcW w:type="dxa" w:w="3456"/>
            <w:shd w:fill="F2F2F2" w:val="clear"/>
          </w:tcPr>
          <w:p>
            <w:pPr>
              <w:jc w:val="left"/>
            </w:pPr>
            <w:r/>
            <w:r>
              <w:rPr>
                <w:rFonts w:ascii="Calibri" w:hAnsi="Calibri"/>
                <w:b w:val="0"/>
                <w:color w:val="000000"/>
                <w:sz w:val="16"/>
              </w:rPr>
              <w:t>45%</w:t>
            </w:r>
          </w:p>
        </w:tc>
        <w:tc>
          <w:tcPr>
            <w:tcW w:type="dxa" w:w="3456"/>
            <w:shd w:fill="F2F2F2" w:val="clear"/>
          </w:tcPr>
          <w:p>
            <w:pPr>
              <w:jc w:val="left"/>
            </w:pPr>
            <w:r/>
            <w:r>
              <w:rPr>
                <w:rFonts w:ascii="Calibri" w:hAnsi="Calibri"/>
                <w:b w:val="0"/>
                <w:color w:val="000000"/>
                <w:sz w:val="16"/>
              </w:rPr>
              <w:t>45%</w:t>
            </w:r>
          </w:p>
        </w:tc>
        <w:tc>
          <w:tcPr>
            <w:tcW w:type="dxa" w:w="3456"/>
            <w:shd w:fill="F2F2F2" w:val="clear"/>
          </w:tcPr>
          <w:p>
            <w:pPr>
              <w:jc w:val="left"/>
            </w:pPr>
            <w:r/>
            <w:r>
              <w:rPr>
                <w:rFonts w:ascii="Calibri" w:hAnsi="Calibri"/>
                <w:b w:val="0"/>
                <w:color w:val="000000"/>
                <w:sz w:val="16"/>
              </w:rPr>
              <w:t>45%</w:t>
            </w:r>
          </w:p>
        </w:tc>
      </w:tr>
      <w:tr>
        <w:tc>
          <w:tcPr>
            <w:tcW w:type="dxa" w:w="3456"/>
            <w:shd w:fill="FFFFFF" w:val="clear"/>
          </w:tcPr>
          <w:p>
            <w:pPr>
              <w:jc w:val="left"/>
            </w:pPr>
            <w:r/>
            <w:r>
              <w:rPr>
                <w:rFonts w:ascii="Calibri" w:hAnsi="Calibri"/>
                <w:b/>
                <w:color w:val="000000"/>
                <w:sz w:val="16"/>
              </w:rPr>
              <w:t>Residential Mtg 80-90% LTV</w:t>
            </w:r>
          </w:p>
        </w:tc>
        <w:tc>
          <w:tcPr>
            <w:tcW w:type="dxa" w:w="3456"/>
            <w:shd w:fill="FFFFFF" w:val="clear"/>
          </w:tcPr>
          <w:p>
            <w:pPr>
              <w:jc w:val="left"/>
            </w:pPr>
            <w:r/>
            <w:r>
              <w:rPr>
                <w:rFonts w:ascii="Calibri" w:hAnsi="Calibri"/>
                <w:b w:val="0"/>
                <w:color w:val="000000"/>
                <w:sz w:val="16"/>
              </w:rPr>
              <w:t>40%</w:t>
            </w:r>
          </w:p>
        </w:tc>
        <w:tc>
          <w:tcPr>
            <w:tcW w:type="dxa" w:w="3456"/>
            <w:shd w:fill="FFFFFF" w:val="clear"/>
          </w:tcPr>
          <w:p>
            <w:pPr>
              <w:jc w:val="left"/>
            </w:pPr>
            <w:r/>
            <w:r>
              <w:rPr>
                <w:rFonts w:ascii="Calibri" w:hAnsi="Calibri"/>
                <w:b w:val="0"/>
                <w:color w:val="000000"/>
                <w:sz w:val="16"/>
              </w:rPr>
              <w:t>40%</w:t>
            </w:r>
          </w:p>
        </w:tc>
        <w:tc>
          <w:tcPr>
            <w:tcW w:type="dxa" w:w="3456"/>
            <w:shd w:fill="FFFFFF" w:val="clear"/>
          </w:tcPr>
          <w:p>
            <w:pPr>
              <w:jc w:val="left"/>
            </w:pPr>
            <w:r/>
            <w:r>
              <w:rPr>
                <w:rFonts w:ascii="Calibri" w:hAnsi="Calibri"/>
                <w:b w:val="0"/>
                <w:color w:val="000000"/>
                <w:sz w:val="16"/>
              </w:rPr>
              <w:t>35%</w:t>
            </w:r>
          </w:p>
        </w:tc>
      </w:tr>
      <w:tr>
        <w:tc>
          <w:tcPr>
            <w:tcW w:type="dxa" w:w="3456"/>
            <w:shd w:fill="F2F2F2" w:val="clear"/>
          </w:tcPr>
          <w:p>
            <w:pPr>
              <w:jc w:val="left"/>
            </w:pPr>
            <w:r/>
            <w:r>
              <w:rPr>
                <w:rFonts w:ascii="Calibri" w:hAnsi="Calibri"/>
                <w:b/>
                <w:color w:val="000000"/>
                <w:sz w:val="16"/>
              </w:rPr>
              <w:t>CRE CF 60-80% LTV</w:t>
            </w:r>
          </w:p>
        </w:tc>
        <w:tc>
          <w:tcPr>
            <w:tcW w:type="dxa" w:w="3456"/>
            <w:shd w:fill="F2F2F2" w:val="clear"/>
          </w:tcPr>
          <w:p>
            <w:pPr>
              <w:jc w:val="left"/>
            </w:pPr>
            <w:r/>
            <w:r>
              <w:rPr>
                <w:rFonts w:ascii="Calibri" w:hAnsi="Calibri"/>
                <w:b w:val="0"/>
                <w:color w:val="000000"/>
                <w:sz w:val="16"/>
              </w:rPr>
              <w:t>90%</w:t>
            </w:r>
          </w:p>
        </w:tc>
        <w:tc>
          <w:tcPr>
            <w:tcW w:type="dxa" w:w="3456"/>
            <w:shd w:fill="F2F2F2" w:val="clear"/>
          </w:tcPr>
          <w:p>
            <w:pPr>
              <w:jc w:val="left"/>
            </w:pPr>
            <w:r/>
            <w:r>
              <w:rPr>
                <w:rFonts w:ascii="Calibri" w:hAnsi="Calibri"/>
                <w:b w:val="0"/>
                <w:color w:val="000000"/>
                <w:sz w:val="16"/>
              </w:rPr>
              <w:t>90%</w:t>
            </w:r>
          </w:p>
        </w:tc>
        <w:tc>
          <w:tcPr>
            <w:tcW w:type="dxa" w:w="3456"/>
            <w:shd w:fill="F2F2F2" w:val="clear"/>
          </w:tcPr>
          <w:p>
            <w:pPr>
              <w:jc w:val="left"/>
            </w:pPr>
            <w:r/>
            <w:r>
              <w:rPr>
                <w:rFonts w:ascii="Calibri" w:hAnsi="Calibri"/>
                <w:b w:val="0"/>
                <w:color w:val="000000"/>
                <w:sz w:val="16"/>
              </w:rPr>
              <w:t>90%</w:t>
            </w:r>
          </w:p>
        </w:tc>
      </w:tr>
      <w:tr>
        <w:tc>
          <w:tcPr>
            <w:tcW w:type="dxa" w:w="3456"/>
            <w:shd w:fill="FFFFFF" w:val="clear"/>
          </w:tcPr>
          <w:p>
            <w:pPr>
              <w:jc w:val="left"/>
            </w:pPr>
            <w:r/>
            <w:r>
              <w:rPr>
                <w:rFonts w:ascii="Calibri" w:hAnsi="Calibri"/>
                <w:b/>
                <w:color w:val="000000"/>
                <w:sz w:val="16"/>
              </w:rPr>
              <w:t>ADC</w:t>
            </w:r>
          </w:p>
        </w:tc>
        <w:tc>
          <w:tcPr>
            <w:tcW w:type="dxa" w:w="3456"/>
            <w:shd w:fill="FFFFFF" w:val="clear"/>
          </w:tcPr>
          <w:p>
            <w:pPr>
              <w:jc w:val="left"/>
            </w:pPr>
            <w:r/>
            <w:r>
              <w:rPr>
                <w:rFonts w:ascii="Calibri" w:hAnsi="Calibri"/>
                <w:b w:val="0"/>
                <w:color w:val="000000"/>
                <w:sz w:val="16"/>
              </w:rPr>
              <w:t>150% / 100% reduced</w:t>
            </w:r>
          </w:p>
        </w:tc>
        <w:tc>
          <w:tcPr>
            <w:tcW w:type="dxa" w:w="3456"/>
            <w:shd w:fill="FFFFFF" w:val="clear"/>
          </w:tcPr>
          <w:p>
            <w:pPr>
              <w:jc w:val="left"/>
            </w:pPr>
            <w:r/>
            <w:r>
              <w:rPr>
                <w:rFonts w:ascii="Calibri" w:hAnsi="Calibri"/>
                <w:b w:val="0"/>
                <w:color w:val="000000"/>
                <w:sz w:val="16"/>
              </w:rPr>
              <w:t>150% / 100% reduced</w:t>
            </w:r>
          </w:p>
        </w:tc>
        <w:tc>
          <w:tcPr>
            <w:tcW w:type="dxa" w:w="3456"/>
            <w:shd w:fill="FFFFFF" w:val="clear"/>
          </w:tcPr>
          <w:p>
            <w:pPr>
              <w:jc w:val="left"/>
            </w:pPr>
            <w:r/>
            <w:r>
              <w:rPr>
                <w:rFonts w:ascii="Calibri" w:hAnsi="Calibri"/>
                <w:b w:val="0"/>
                <w:color w:val="000000"/>
                <w:sz w:val="16"/>
              </w:rPr>
              <w:t>150% / 100% reduced</w:t>
            </w:r>
          </w:p>
        </w:tc>
      </w:tr>
      <w:tr>
        <w:tc>
          <w:tcPr>
            <w:tcW w:type="dxa" w:w="3456"/>
            <w:shd w:fill="F2F2F2" w:val="clear"/>
          </w:tcPr>
          <w:p>
            <w:pPr>
              <w:jc w:val="left"/>
            </w:pPr>
            <w:r/>
            <w:r>
              <w:rPr>
                <w:rFonts w:ascii="Calibri" w:hAnsi="Calibri"/>
                <w:b/>
                <w:color w:val="000000"/>
                <w:sz w:val="16"/>
              </w:rPr>
              <w:t>Listed Equity</w:t>
            </w:r>
          </w:p>
        </w:tc>
        <w:tc>
          <w:tcPr>
            <w:tcW w:type="dxa" w:w="3456"/>
            <w:shd w:fill="F2F2F2" w:val="clear"/>
          </w:tcPr>
          <w:p>
            <w:pPr>
              <w:jc w:val="left"/>
            </w:pPr>
            <w:r/>
            <w:r>
              <w:rPr>
                <w:rFonts w:ascii="Calibri" w:hAnsi="Calibri"/>
                <w:b w:val="0"/>
                <w:color w:val="000000"/>
                <w:sz w:val="16"/>
              </w:rPr>
              <w:t>300%</w:t>
            </w:r>
          </w:p>
        </w:tc>
        <w:tc>
          <w:tcPr>
            <w:tcW w:type="dxa" w:w="3456"/>
            <w:shd w:fill="F2F2F2" w:val="clear"/>
          </w:tcPr>
          <w:p>
            <w:pPr>
              <w:jc w:val="left"/>
            </w:pPr>
            <w:r/>
            <w:r>
              <w:rPr>
                <w:rFonts w:ascii="Calibri" w:hAnsi="Calibri"/>
                <w:b w:val="0"/>
                <w:color w:val="000000"/>
                <w:sz w:val="16"/>
              </w:rPr>
              <w:t>250%</w:t>
            </w:r>
          </w:p>
        </w:tc>
        <w:tc>
          <w:tcPr>
            <w:tcW w:type="dxa" w:w="3456"/>
            <w:shd w:fill="F2F2F2" w:val="clear"/>
          </w:tcPr>
          <w:p>
            <w:pPr>
              <w:jc w:val="left"/>
            </w:pPr>
            <w:r/>
            <w:r>
              <w:rPr>
                <w:rFonts w:ascii="Calibri" w:hAnsi="Calibri"/>
                <w:b w:val="0"/>
                <w:color w:val="000000"/>
                <w:sz w:val="16"/>
              </w:rPr>
              <w:t>100-250% (phased)</w:t>
            </w:r>
          </w:p>
        </w:tc>
      </w:tr>
      <w:tr>
        <w:tc>
          <w:tcPr>
            <w:tcW w:type="dxa" w:w="3456"/>
            <w:shd w:fill="FFFFFF" w:val="clear"/>
          </w:tcPr>
          <w:p>
            <w:pPr>
              <w:jc w:val="left"/>
            </w:pPr>
            <w:r/>
            <w:r>
              <w:rPr>
                <w:rFonts w:ascii="Calibri" w:hAnsi="Calibri"/>
                <w:b/>
                <w:color w:val="000000"/>
                <w:sz w:val="16"/>
              </w:rPr>
              <w:t>Bank Grade A</w:t>
            </w:r>
          </w:p>
        </w:tc>
        <w:tc>
          <w:tcPr>
            <w:tcW w:type="dxa" w:w="3456"/>
            <w:shd w:fill="FFFFFF" w:val="clear"/>
          </w:tcPr>
          <w:p>
            <w:pPr>
              <w:jc w:val="left"/>
            </w:pPr>
            <w:r/>
            <w:r>
              <w:rPr>
                <w:rFonts w:ascii="Calibri" w:hAnsi="Calibri"/>
                <w:b w:val="0"/>
                <w:color w:val="000000"/>
                <w:sz w:val="16"/>
              </w:rPr>
              <w:t>30% / 40%</w:t>
            </w:r>
          </w:p>
        </w:tc>
        <w:tc>
          <w:tcPr>
            <w:tcW w:type="dxa" w:w="3456"/>
            <w:shd w:fill="FFFFFF" w:val="clear"/>
          </w:tcPr>
          <w:p>
            <w:pPr>
              <w:jc w:val="left"/>
            </w:pPr>
            <w:r/>
            <w:r>
              <w:rPr>
                <w:rFonts w:ascii="Calibri" w:hAnsi="Calibri"/>
                <w:b w:val="0"/>
                <w:color w:val="000000"/>
                <w:sz w:val="16"/>
              </w:rPr>
              <w:t>20-30% (CQS 1-2)</w:t>
            </w:r>
          </w:p>
        </w:tc>
        <w:tc>
          <w:tcPr>
            <w:tcW w:type="dxa" w:w="3456"/>
            <w:shd w:fill="FFFFFF" w:val="clear"/>
          </w:tcPr>
          <w:p>
            <w:pPr>
              <w:jc w:val="left"/>
            </w:pPr>
            <w:r/>
            <w:r>
              <w:rPr>
                <w:rFonts w:ascii="Calibri" w:hAnsi="Calibri"/>
                <w:b w:val="0"/>
                <w:color w:val="000000"/>
                <w:sz w:val="16"/>
              </w:rPr>
              <w:t>20-30% (CQS 1-2)</w:t>
            </w:r>
          </w:p>
        </w:tc>
      </w:tr>
      <w:tr>
        <w:tc>
          <w:tcPr>
            <w:tcW w:type="dxa" w:w="3456"/>
            <w:shd w:fill="F2F2F2" w:val="clear"/>
          </w:tcPr>
          <w:p>
            <w:pPr>
              <w:jc w:val="left"/>
            </w:pPr>
            <w:r/>
            <w:r>
              <w:rPr>
                <w:rFonts w:ascii="Calibri" w:hAnsi="Calibri"/>
                <w:b/>
                <w:color w:val="000000"/>
                <w:sz w:val="16"/>
              </w:rPr>
              <w:t>SME Corporate</w:t>
            </w:r>
          </w:p>
        </w:tc>
        <w:tc>
          <w:tcPr>
            <w:tcW w:type="dxa" w:w="3456"/>
            <w:shd w:fill="F2F2F2" w:val="clear"/>
          </w:tcPr>
          <w:p>
            <w:pPr>
              <w:jc w:val="left"/>
            </w:pPr>
            <w:r/>
            <w:r>
              <w:rPr>
                <w:rFonts w:ascii="Calibri" w:hAnsi="Calibri"/>
                <w:b w:val="0"/>
                <w:color w:val="000000"/>
                <w:sz w:val="16"/>
              </w:rPr>
              <w:t>100% (65% IG)</w:t>
            </w:r>
          </w:p>
        </w:tc>
        <w:tc>
          <w:tcPr>
            <w:tcW w:type="dxa" w:w="3456"/>
            <w:shd w:fill="F2F2F2" w:val="clear"/>
          </w:tcPr>
          <w:p>
            <w:pPr>
              <w:jc w:val="left"/>
            </w:pPr>
            <w:r/>
            <w:r>
              <w:rPr>
                <w:rFonts w:ascii="Calibri" w:hAnsi="Calibri"/>
                <w:b w:val="0"/>
                <w:color w:val="000000"/>
                <w:sz w:val="16"/>
              </w:rPr>
              <w:t>85%</w:t>
            </w:r>
          </w:p>
        </w:tc>
        <w:tc>
          <w:tcPr>
            <w:tcW w:type="dxa" w:w="3456"/>
            <w:shd w:fill="F2F2F2" w:val="clear"/>
          </w:tcPr>
          <w:p>
            <w:pPr>
              <w:jc w:val="left"/>
            </w:pPr>
            <w:r/>
            <w:r>
              <w:rPr>
                <w:rFonts w:ascii="Calibri" w:hAnsi="Calibri"/>
                <w:b w:val="0"/>
                <w:color w:val="000000"/>
                <w:sz w:val="16"/>
              </w:rPr>
              <w:t>85% (x0.7619 factor)</w:t>
            </w:r>
          </w:p>
        </w:tc>
      </w:tr>
      <w:tr>
        <w:tc>
          <w:tcPr>
            <w:tcW w:type="dxa" w:w="3456"/>
            <w:shd w:fill="FFFFFF" w:val="clear"/>
          </w:tcPr>
          <w:p>
            <w:pPr>
              <w:jc w:val="left"/>
            </w:pPr>
            <w:r/>
            <w:r>
              <w:rPr>
                <w:rFonts w:ascii="Calibri" w:hAnsi="Calibri"/>
                <w:b/>
                <w:color w:val="000000"/>
                <w:sz w:val="16"/>
              </w:rPr>
              <w:t>Past Due (prov&gt;=20%)</w:t>
            </w:r>
          </w:p>
        </w:tc>
        <w:tc>
          <w:tcPr>
            <w:tcW w:type="dxa" w:w="3456"/>
            <w:shd w:fill="FFFFFF" w:val="clear"/>
          </w:tcPr>
          <w:p>
            <w:pPr>
              <w:jc w:val="left"/>
            </w:pPr>
            <w:r/>
            <w:r>
              <w:rPr>
                <w:rFonts w:ascii="Calibri" w:hAnsi="Calibri"/>
                <w:b w:val="0"/>
                <w:color w:val="000000"/>
                <w:sz w:val="16"/>
              </w:rPr>
              <w:t>150%</w:t>
            </w:r>
          </w:p>
        </w:tc>
        <w:tc>
          <w:tcPr>
            <w:tcW w:type="dxa" w:w="3456"/>
            <w:shd w:fill="FFFFFF" w:val="clear"/>
          </w:tcPr>
          <w:p>
            <w:pPr>
              <w:jc w:val="left"/>
            </w:pPr>
            <w:r/>
            <w:r>
              <w:rPr>
                <w:rFonts w:ascii="Calibri" w:hAnsi="Calibri"/>
                <w:b w:val="0"/>
                <w:color w:val="000000"/>
                <w:sz w:val="16"/>
              </w:rPr>
              <w:t>150%</w:t>
            </w:r>
          </w:p>
        </w:tc>
        <w:tc>
          <w:tcPr>
            <w:tcW w:type="dxa" w:w="3456"/>
            <w:shd w:fill="FFFFFF" w:val="clear"/>
          </w:tcPr>
          <w:p>
            <w:pPr>
              <w:jc w:val="left"/>
            </w:pPr>
            <w:r/>
            <w:r>
              <w:rPr>
                <w:rFonts w:ascii="Calibri" w:hAnsi="Calibri"/>
                <w:b w:val="0"/>
                <w:color w:val="000000"/>
                <w:sz w:val="16"/>
              </w:rPr>
              <w:t>100%</w:t>
            </w:r>
          </w:p>
        </w:tc>
      </w:tr>
      <w:tr>
        <w:tc>
          <w:tcPr>
            <w:tcW w:type="dxa" w:w="3456"/>
            <w:shd w:fill="F2F2F2" w:val="clear"/>
          </w:tcPr>
          <w:p>
            <w:pPr>
              <w:jc w:val="left"/>
            </w:pPr>
            <w:r/>
            <w:r>
              <w:rPr>
                <w:rFonts w:ascii="Calibri" w:hAnsi="Calibri"/>
                <w:b/>
                <w:color w:val="000000"/>
                <w:sz w:val="16"/>
              </w:rPr>
              <w:t>Commitment &lt;=1Y CCF</w:t>
            </w:r>
          </w:p>
        </w:tc>
        <w:tc>
          <w:tcPr>
            <w:tcW w:type="dxa" w:w="3456"/>
            <w:shd w:fill="F2F2F2" w:val="clear"/>
          </w:tcPr>
          <w:p>
            <w:pPr>
              <w:jc w:val="left"/>
            </w:pPr>
            <w:r/>
            <w:r>
              <w:rPr>
                <w:rFonts w:ascii="Calibri" w:hAnsi="Calibri"/>
                <w:b w:val="0"/>
                <w:color w:val="000000"/>
                <w:sz w:val="16"/>
              </w:rPr>
              <w:t>40%</w:t>
            </w:r>
          </w:p>
        </w:tc>
        <w:tc>
          <w:tcPr>
            <w:tcW w:type="dxa" w:w="3456"/>
            <w:shd w:fill="F2F2F2" w:val="clear"/>
          </w:tcPr>
          <w:p>
            <w:pPr>
              <w:jc w:val="left"/>
            </w:pPr>
            <w:r/>
            <w:r>
              <w:rPr>
                <w:rFonts w:ascii="Calibri" w:hAnsi="Calibri"/>
                <w:b w:val="0"/>
                <w:color w:val="000000"/>
                <w:sz w:val="16"/>
              </w:rPr>
              <w:t>20%</w:t>
            </w:r>
          </w:p>
        </w:tc>
        <w:tc>
          <w:tcPr>
            <w:tcW w:type="dxa" w:w="3456"/>
            <w:shd w:fill="F2F2F2" w:val="clear"/>
          </w:tcPr>
          <w:p>
            <w:pPr>
              <w:jc w:val="left"/>
            </w:pPr>
            <w:r/>
            <w:r>
              <w:rPr>
                <w:rFonts w:ascii="Calibri" w:hAnsi="Calibri"/>
                <w:b w:val="0"/>
                <w:color w:val="000000"/>
                <w:sz w:val="16"/>
              </w:rPr>
              <w:t>20%</w:t>
            </w:r>
          </w:p>
        </w:tc>
      </w:tr>
      <w:tr>
        <w:tc>
          <w:tcPr>
            <w:tcW w:type="dxa" w:w="3456"/>
            <w:shd w:fill="FFFFFF" w:val="clear"/>
          </w:tcPr>
          <w:p>
            <w:pPr>
              <w:jc w:val="left"/>
            </w:pPr>
            <w:r/>
            <w:r>
              <w:rPr>
                <w:rFonts w:ascii="Calibri" w:hAnsi="Calibri"/>
                <w:b/>
                <w:color w:val="000000"/>
                <w:sz w:val="16"/>
              </w:rPr>
              <w:t>SA-CCR Alpha (Financial)</w:t>
            </w:r>
          </w:p>
        </w:tc>
        <w:tc>
          <w:tcPr>
            <w:tcW w:type="dxa" w:w="3456"/>
            <w:shd w:fill="FFFFFF" w:val="clear"/>
          </w:tcPr>
          <w:p>
            <w:pPr>
              <w:jc w:val="left"/>
            </w:pPr>
            <w:r/>
            <w:r>
              <w:rPr>
                <w:rFonts w:ascii="Calibri" w:hAnsi="Calibri"/>
                <w:b w:val="0"/>
                <w:color w:val="000000"/>
                <w:sz w:val="16"/>
              </w:rPr>
              <w:t>1.4</w:t>
            </w:r>
          </w:p>
        </w:tc>
        <w:tc>
          <w:tcPr>
            <w:tcW w:type="dxa" w:w="3456"/>
            <w:shd w:fill="FFFFFF" w:val="clear"/>
          </w:tcPr>
          <w:p>
            <w:pPr>
              <w:jc w:val="left"/>
            </w:pPr>
            <w:r/>
            <w:r>
              <w:rPr>
                <w:rFonts w:ascii="Calibri" w:hAnsi="Calibri"/>
                <w:b w:val="0"/>
                <w:color w:val="000000"/>
                <w:sz w:val="16"/>
              </w:rPr>
              <w:t>1.4</w:t>
            </w:r>
          </w:p>
        </w:tc>
        <w:tc>
          <w:tcPr>
            <w:tcW w:type="dxa" w:w="3456"/>
            <w:shd w:fill="FFFFFF" w:val="clear"/>
          </w:tcPr>
          <w:p>
            <w:pPr>
              <w:jc w:val="left"/>
            </w:pPr>
            <w:r/>
            <w:r>
              <w:rPr>
                <w:rFonts w:ascii="Calibri" w:hAnsi="Calibri"/>
                <w:b w:val="0"/>
                <w:color w:val="000000"/>
                <w:sz w:val="16"/>
              </w:rPr>
              <w:t>1.4</w:t>
            </w:r>
          </w:p>
        </w:tc>
      </w:tr>
      <w:tr>
        <w:tc>
          <w:tcPr>
            <w:tcW w:type="dxa" w:w="3456"/>
            <w:shd w:fill="F2F2F2" w:val="clear"/>
          </w:tcPr>
          <w:p>
            <w:pPr>
              <w:jc w:val="left"/>
            </w:pPr>
            <w:r/>
            <w:r>
              <w:rPr>
                <w:rFonts w:ascii="Calibri" w:hAnsi="Calibri"/>
                <w:b/>
                <w:color w:val="000000"/>
                <w:sz w:val="16"/>
              </w:rPr>
              <w:t>SA-CCR Alpha (Commercial)</w:t>
            </w:r>
          </w:p>
        </w:tc>
        <w:tc>
          <w:tcPr>
            <w:tcW w:type="dxa" w:w="3456"/>
            <w:shd w:fill="F2F2F2" w:val="clear"/>
          </w:tcPr>
          <w:p>
            <w:pPr>
              <w:jc w:val="left"/>
            </w:pPr>
            <w:r/>
            <w:r>
              <w:rPr>
                <w:rFonts w:ascii="Calibri" w:hAnsi="Calibri"/>
                <w:b w:val="0"/>
                <w:color w:val="000000"/>
                <w:sz w:val="16"/>
              </w:rPr>
              <w:t>1.0</w:t>
            </w:r>
          </w:p>
        </w:tc>
        <w:tc>
          <w:tcPr>
            <w:tcW w:type="dxa" w:w="3456"/>
            <w:shd w:fill="F2F2F2" w:val="clear"/>
          </w:tcPr>
          <w:p>
            <w:pPr>
              <w:jc w:val="left"/>
            </w:pPr>
            <w:r/>
            <w:r>
              <w:rPr>
                <w:rFonts w:ascii="Calibri" w:hAnsi="Calibri"/>
                <w:b w:val="0"/>
                <w:color w:val="000000"/>
                <w:sz w:val="16"/>
              </w:rPr>
              <w:t>1.4</w:t>
            </w:r>
          </w:p>
        </w:tc>
        <w:tc>
          <w:tcPr>
            <w:tcW w:type="dxa" w:w="3456"/>
            <w:shd w:fill="F2F2F2" w:val="clear"/>
          </w:tcPr>
          <w:p>
            <w:pPr>
              <w:jc w:val="left"/>
            </w:pPr>
            <w:r/>
            <w:r>
              <w:rPr>
                <w:rFonts w:ascii="Calibri" w:hAnsi="Calibri"/>
                <w:b w:val="0"/>
                <w:color w:val="000000"/>
                <w:sz w:val="16"/>
              </w:rPr>
              <w:t>1.4</w:t>
            </w:r>
          </w:p>
        </w:tc>
      </w:tr>
    </w:tbl>
    <w:p>
      <w:r>
        <w:rPr>
          <w:rFonts w:ascii="Calibri" w:hAnsi="Calibri"/>
          <w:b/>
          <w:color w:val="002060"/>
          <w:sz w:val="22"/>
        </w:rPr>
        <w:t>18.3 Estimated RWA Impact (Illustrative)</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Component</w:t>
            </w:r>
          </w:p>
        </w:tc>
        <w:tc>
          <w:tcPr>
            <w:tcW w:type="dxa" w:w="3456"/>
            <w:shd w:fill="002060" w:val="clear"/>
            <w:tcW w:w="3600" w:type="dxa"/>
          </w:tcPr>
          <w:p>
            <w:pPr>
              <w:jc w:val="center"/>
            </w:pPr>
            <w:r/>
            <w:r>
              <w:rPr>
                <w:rFonts w:ascii="Calibri" w:hAnsi="Calibri"/>
                <w:b/>
                <w:color w:val="FFFFFF"/>
                <w:sz w:val="16"/>
              </w:rPr>
              <w:t>US RWA ($B)</w:t>
            </w:r>
          </w:p>
        </w:tc>
        <w:tc>
          <w:tcPr>
            <w:tcW w:type="dxa" w:w="3456"/>
            <w:shd w:fill="002060" w:val="clear"/>
            <w:tcW w:w="3600" w:type="dxa"/>
          </w:tcPr>
          <w:p>
            <w:pPr>
              <w:jc w:val="center"/>
            </w:pPr>
            <w:r/>
            <w:r>
              <w:rPr>
                <w:rFonts w:ascii="Calibri" w:hAnsi="Calibri"/>
                <w:b/>
                <w:color w:val="FFFFFF"/>
                <w:sz w:val="16"/>
              </w:rPr>
              <w:t>UK RWA ($B)</w:t>
            </w:r>
          </w:p>
        </w:tc>
        <w:tc>
          <w:tcPr>
            <w:tcW w:type="dxa" w:w="3456"/>
            <w:shd w:fill="002060" w:val="clear"/>
            <w:tcW w:w="3600" w:type="dxa"/>
          </w:tcPr>
          <w:p>
            <w:pPr>
              <w:jc w:val="center"/>
            </w:pPr>
            <w:r/>
            <w:r>
              <w:rPr>
                <w:rFonts w:ascii="Calibri" w:hAnsi="Calibri"/>
                <w:b/>
                <w:color w:val="FFFFFF"/>
                <w:sz w:val="16"/>
              </w:rPr>
              <w:t>EU RWA ($B)</w:t>
            </w:r>
          </w:p>
        </w:tc>
      </w:tr>
      <w:tr>
        <w:tc>
          <w:tcPr>
            <w:tcW w:type="dxa" w:w="3456"/>
            <w:shd w:fill="F2F2F2" w:val="clear"/>
          </w:tcPr>
          <w:p>
            <w:pPr>
              <w:jc w:val="left"/>
            </w:pPr>
            <w:r/>
            <w:r>
              <w:rPr>
                <w:rFonts w:ascii="Calibri" w:hAnsi="Calibri"/>
                <w:b/>
                <w:color w:val="000000"/>
                <w:sz w:val="16"/>
              </w:rPr>
              <w:t>Credit Risk RWA</w:t>
            </w:r>
          </w:p>
        </w:tc>
        <w:tc>
          <w:tcPr>
            <w:tcW w:type="dxa" w:w="3456"/>
            <w:shd w:fill="F2F2F2" w:val="clear"/>
          </w:tcPr>
          <w:p>
            <w:pPr>
              <w:jc w:val="left"/>
            </w:pPr>
            <w:r/>
            <w:r>
              <w:rPr>
                <w:rFonts w:ascii="Calibri" w:hAnsi="Calibri"/>
                <w:b w:val="0"/>
                <w:color w:val="000000"/>
                <w:sz w:val="16"/>
              </w:rPr>
              <w:t>~1,200</w:t>
            </w:r>
          </w:p>
        </w:tc>
        <w:tc>
          <w:tcPr>
            <w:tcW w:type="dxa" w:w="3456"/>
            <w:shd w:fill="F2F2F2" w:val="clear"/>
          </w:tcPr>
          <w:p>
            <w:pPr>
              <w:jc w:val="left"/>
            </w:pPr>
            <w:r/>
            <w:r>
              <w:rPr>
                <w:rFonts w:ascii="Calibri" w:hAnsi="Calibri"/>
                <w:b w:val="0"/>
                <w:color w:val="000000"/>
                <w:sz w:val="16"/>
              </w:rPr>
              <w:t>~1,050-1,100</w:t>
            </w:r>
          </w:p>
        </w:tc>
        <w:tc>
          <w:tcPr>
            <w:tcW w:type="dxa" w:w="3456"/>
            <w:shd w:fill="F2F2F2" w:val="clear"/>
          </w:tcPr>
          <w:p>
            <w:pPr>
              <w:jc w:val="left"/>
            </w:pPr>
            <w:r/>
            <w:r>
              <w:rPr>
                <w:rFonts w:ascii="Calibri" w:hAnsi="Calibri"/>
                <w:b w:val="0"/>
                <w:color w:val="000000"/>
                <w:sz w:val="16"/>
              </w:rPr>
              <w:t>~1,000-1,080</w:t>
            </w:r>
          </w:p>
        </w:tc>
      </w:tr>
      <w:tr>
        <w:tc>
          <w:tcPr>
            <w:tcW w:type="dxa" w:w="3456"/>
            <w:shd w:fill="FFFFFF" w:val="clear"/>
          </w:tcPr>
          <w:p>
            <w:pPr>
              <w:jc w:val="left"/>
            </w:pPr>
            <w:r/>
            <w:r>
              <w:rPr>
                <w:rFonts w:ascii="Calibri" w:hAnsi="Calibri"/>
                <w:b/>
                <w:color w:val="000000"/>
                <w:sz w:val="16"/>
              </w:rPr>
              <w:t>Market Risk RWA</w:t>
            </w:r>
          </w:p>
        </w:tc>
        <w:tc>
          <w:tcPr>
            <w:tcW w:type="dxa" w:w="3456"/>
            <w:shd w:fill="FFFFFF" w:val="clear"/>
          </w:tcPr>
          <w:p>
            <w:pPr>
              <w:jc w:val="left"/>
            </w:pPr>
            <w:r/>
            <w:r>
              <w:rPr>
                <w:rFonts w:ascii="Calibri" w:hAnsi="Calibri"/>
                <w:b w:val="0"/>
                <w:color w:val="000000"/>
                <w:sz w:val="16"/>
              </w:rPr>
              <w:t>~180</w:t>
            </w:r>
          </w:p>
        </w:tc>
        <w:tc>
          <w:tcPr>
            <w:tcW w:type="dxa" w:w="3456"/>
            <w:shd w:fill="FFFFFF" w:val="clear"/>
          </w:tcPr>
          <w:p>
            <w:pPr>
              <w:jc w:val="left"/>
            </w:pPr>
            <w:r/>
            <w:r>
              <w:rPr>
                <w:rFonts w:ascii="Calibri" w:hAnsi="Calibri"/>
                <w:b w:val="0"/>
                <w:color w:val="000000"/>
                <w:sz w:val="16"/>
              </w:rPr>
              <w:t>~175</w:t>
            </w:r>
          </w:p>
        </w:tc>
        <w:tc>
          <w:tcPr>
            <w:tcW w:type="dxa" w:w="3456"/>
            <w:shd w:fill="FFFFFF" w:val="clear"/>
          </w:tcPr>
          <w:p>
            <w:pPr>
              <w:jc w:val="left"/>
            </w:pPr>
            <w:r/>
            <w:r>
              <w:rPr>
                <w:rFonts w:ascii="Calibri" w:hAnsi="Calibri"/>
                <w:b w:val="0"/>
                <w:color w:val="000000"/>
                <w:sz w:val="16"/>
              </w:rPr>
              <w:t>~170</w:t>
            </w:r>
          </w:p>
        </w:tc>
      </w:tr>
      <w:tr>
        <w:tc>
          <w:tcPr>
            <w:tcW w:type="dxa" w:w="3456"/>
            <w:shd w:fill="F2F2F2" w:val="clear"/>
          </w:tcPr>
          <w:p>
            <w:pPr>
              <w:jc w:val="left"/>
            </w:pPr>
            <w:r/>
            <w:r>
              <w:rPr>
                <w:rFonts w:ascii="Calibri" w:hAnsi="Calibri"/>
                <w:b/>
                <w:color w:val="000000"/>
                <w:sz w:val="16"/>
              </w:rPr>
              <w:t>OpRisk RWA</w:t>
            </w:r>
          </w:p>
        </w:tc>
        <w:tc>
          <w:tcPr>
            <w:tcW w:type="dxa" w:w="3456"/>
            <w:shd w:fill="F2F2F2" w:val="clear"/>
          </w:tcPr>
          <w:p>
            <w:pPr>
              <w:jc w:val="left"/>
            </w:pPr>
            <w:r/>
            <w:r>
              <w:rPr>
                <w:rFonts w:ascii="Calibri" w:hAnsi="Calibri"/>
                <w:b w:val="0"/>
                <w:color w:val="000000"/>
                <w:sz w:val="16"/>
              </w:rPr>
              <w:t>~250</w:t>
            </w:r>
          </w:p>
        </w:tc>
        <w:tc>
          <w:tcPr>
            <w:tcW w:type="dxa" w:w="3456"/>
            <w:shd w:fill="F2F2F2" w:val="clear"/>
          </w:tcPr>
          <w:p>
            <w:pPr>
              <w:jc w:val="left"/>
            </w:pPr>
            <w:r/>
            <w:r>
              <w:rPr>
                <w:rFonts w:ascii="Calibri" w:hAnsi="Calibri"/>
                <w:b w:val="0"/>
                <w:color w:val="000000"/>
                <w:sz w:val="16"/>
              </w:rPr>
              <w:t>~250</w:t>
            </w:r>
          </w:p>
        </w:tc>
        <w:tc>
          <w:tcPr>
            <w:tcW w:type="dxa" w:w="3456"/>
            <w:shd w:fill="F2F2F2" w:val="clear"/>
          </w:tcPr>
          <w:p>
            <w:pPr>
              <w:jc w:val="left"/>
            </w:pPr>
            <w:r/>
            <w:r>
              <w:rPr>
                <w:rFonts w:ascii="Calibri" w:hAnsi="Calibri"/>
                <w:b w:val="0"/>
                <w:color w:val="000000"/>
                <w:sz w:val="16"/>
              </w:rPr>
              <w:t>~250</w:t>
            </w:r>
          </w:p>
        </w:tc>
      </w:tr>
      <w:tr>
        <w:tc>
          <w:tcPr>
            <w:tcW w:type="dxa" w:w="3456"/>
            <w:shd w:fill="FFFFFF" w:val="clear"/>
          </w:tcPr>
          <w:p>
            <w:pPr>
              <w:jc w:val="left"/>
            </w:pPr>
            <w:r/>
            <w:r>
              <w:rPr>
                <w:rFonts w:ascii="Calibri" w:hAnsi="Calibri"/>
                <w:b/>
                <w:color w:val="000000"/>
                <w:sz w:val="16"/>
              </w:rPr>
              <w:t>CVA RWA</w:t>
            </w:r>
          </w:p>
        </w:tc>
        <w:tc>
          <w:tcPr>
            <w:tcW w:type="dxa" w:w="3456"/>
            <w:shd w:fill="FFFFFF" w:val="clear"/>
          </w:tcPr>
          <w:p>
            <w:pPr>
              <w:jc w:val="left"/>
            </w:pPr>
            <w:r/>
            <w:r>
              <w:rPr>
                <w:rFonts w:ascii="Calibri" w:hAnsi="Calibri"/>
                <w:b w:val="0"/>
                <w:color w:val="000000"/>
                <w:sz w:val="16"/>
              </w:rPr>
              <w:t>~45</w:t>
            </w:r>
          </w:p>
        </w:tc>
        <w:tc>
          <w:tcPr>
            <w:tcW w:type="dxa" w:w="3456"/>
            <w:shd w:fill="FFFFFF" w:val="clear"/>
          </w:tcPr>
          <w:p>
            <w:pPr>
              <w:jc w:val="left"/>
            </w:pPr>
            <w:r/>
            <w:r>
              <w:rPr>
                <w:rFonts w:ascii="Calibri" w:hAnsi="Calibri"/>
                <w:b w:val="0"/>
                <w:color w:val="000000"/>
                <w:sz w:val="16"/>
              </w:rPr>
              <w:t>~35</w:t>
            </w:r>
          </w:p>
        </w:tc>
        <w:tc>
          <w:tcPr>
            <w:tcW w:type="dxa" w:w="3456"/>
            <w:shd w:fill="FFFFFF" w:val="clear"/>
          </w:tcPr>
          <w:p>
            <w:pPr>
              <w:jc w:val="left"/>
            </w:pPr>
            <w:r/>
            <w:r>
              <w:rPr>
                <w:rFonts w:ascii="Calibri" w:hAnsi="Calibri"/>
                <w:b w:val="0"/>
                <w:color w:val="000000"/>
                <w:sz w:val="16"/>
              </w:rPr>
              <w:t>~35</w:t>
            </w:r>
          </w:p>
        </w:tc>
      </w:tr>
      <w:tr>
        <w:tc>
          <w:tcPr>
            <w:tcW w:type="dxa" w:w="3456"/>
            <w:shd w:fill="F2F2F2" w:val="clear"/>
          </w:tcPr>
          <w:p>
            <w:pPr>
              <w:jc w:val="left"/>
            </w:pPr>
            <w:r/>
            <w:r>
              <w:rPr>
                <w:rFonts w:ascii="Calibri" w:hAnsi="Calibri"/>
                <w:b/>
                <w:color w:val="000000"/>
                <w:sz w:val="16"/>
              </w:rPr>
              <w:t>Total RWA</w:t>
            </w:r>
          </w:p>
        </w:tc>
        <w:tc>
          <w:tcPr>
            <w:tcW w:type="dxa" w:w="3456"/>
            <w:shd w:fill="F2F2F2" w:val="clear"/>
          </w:tcPr>
          <w:p>
            <w:pPr>
              <w:jc w:val="left"/>
            </w:pPr>
            <w:r/>
            <w:r>
              <w:rPr>
                <w:rFonts w:ascii="Calibri" w:hAnsi="Calibri"/>
                <w:b w:val="0"/>
                <w:color w:val="000000"/>
                <w:sz w:val="16"/>
              </w:rPr>
              <w:t>~1,675</w:t>
            </w:r>
          </w:p>
        </w:tc>
        <w:tc>
          <w:tcPr>
            <w:tcW w:type="dxa" w:w="3456"/>
            <w:shd w:fill="F2F2F2" w:val="clear"/>
          </w:tcPr>
          <w:p>
            <w:pPr>
              <w:jc w:val="left"/>
            </w:pPr>
            <w:r/>
            <w:r>
              <w:rPr>
                <w:rFonts w:ascii="Calibri" w:hAnsi="Calibri"/>
                <w:b w:val="0"/>
                <w:color w:val="000000"/>
                <w:sz w:val="16"/>
              </w:rPr>
              <w:t>~1,510-1,560</w:t>
            </w:r>
          </w:p>
        </w:tc>
        <w:tc>
          <w:tcPr>
            <w:tcW w:type="dxa" w:w="3456"/>
            <w:shd w:fill="F2F2F2" w:val="clear"/>
          </w:tcPr>
          <w:p>
            <w:pPr>
              <w:jc w:val="left"/>
            </w:pPr>
            <w:r/>
            <w:r>
              <w:rPr>
                <w:rFonts w:ascii="Calibri" w:hAnsi="Calibri"/>
                <w:b w:val="0"/>
                <w:color w:val="000000"/>
                <w:sz w:val="16"/>
              </w:rPr>
              <w:t>~1,455-1,535</w:t>
            </w:r>
          </w:p>
        </w:tc>
      </w:tr>
      <w:tr>
        <w:tc>
          <w:tcPr>
            <w:tcW w:type="dxa" w:w="3456"/>
            <w:shd w:fill="FFFFFF" w:val="clear"/>
          </w:tcPr>
          <w:p>
            <w:pPr>
              <w:jc w:val="left"/>
            </w:pPr>
            <w:r/>
            <w:r>
              <w:rPr>
                <w:rFonts w:ascii="Calibri" w:hAnsi="Calibri"/>
                <w:b/>
                <w:color w:val="000000"/>
                <w:sz w:val="16"/>
              </w:rPr>
              <w:t>RWA Delta vs US</w:t>
            </w:r>
          </w:p>
        </w:tc>
        <w:tc>
          <w:tcPr>
            <w:tcW w:type="dxa" w:w="3456"/>
            <w:shd w:fill="FFFFFF" w:val="clear"/>
          </w:tcPr>
          <w:p>
            <w:pPr>
              <w:jc w:val="left"/>
            </w:pPr>
            <w:r/>
            <w:r>
              <w:rPr>
                <w:rFonts w:ascii="Calibri" w:hAnsi="Calibri"/>
                <w:b w:val="0"/>
                <w:color w:val="000000"/>
                <w:sz w:val="16"/>
              </w:rPr>
              <w:t>Baseline</w:t>
            </w:r>
          </w:p>
        </w:tc>
        <w:tc>
          <w:tcPr>
            <w:tcW w:type="dxa" w:w="3456"/>
            <w:shd w:fill="FFFFFF" w:val="clear"/>
          </w:tcPr>
          <w:p>
            <w:pPr>
              <w:jc w:val="left"/>
            </w:pPr>
            <w:r/>
            <w:r>
              <w:rPr>
                <w:rFonts w:ascii="Calibri" w:hAnsi="Calibri"/>
                <w:b w:val="0"/>
                <w:color w:val="000000"/>
                <w:sz w:val="16"/>
              </w:rPr>
              <w:t>~7-10% lower</w:t>
            </w:r>
          </w:p>
        </w:tc>
        <w:tc>
          <w:tcPr>
            <w:tcW w:type="dxa" w:w="3456"/>
            <w:shd w:fill="FFFFFF" w:val="clear"/>
          </w:tcPr>
          <w:p>
            <w:pPr>
              <w:jc w:val="left"/>
            </w:pPr>
            <w:r/>
            <w:r>
              <w:rPr>
                <w:rFonts w:ascii="Calibri" w:hAnsi="Calibri"/>
                <w:b w:val="0"/>
                <w:color w:val="000000"/>
                <w:sz w:val="16"/>
              </w:rPr>
              <w:t>~8-13% lower</w:t>
            </w:r>
          </w:p>
        </w:tc>
      </w:tr>
      <w:tr>
        <w:tc>
          <w:tcPr>
            <w:tcW w:type="dxa" w:w="3456"/>
            <w:shd w:fill="F2F2F2" w:val="clear"/>
          </w:tcPr>
          <w:p>
            <w:pPr>
              <w:jc w:val="left"/>
            </w:pPr>
            <w:r/>
            <w:r>
              <w:rPr>
                <w:rFonts w:ascii="Calibri" w:hAnsi="Calibri"/>
                <w:b/>
                <w:color w:val="000000"/>
                <w:sz w:val="16"/>
              </w:rPr>
              <w:t>CET1 Capital Required</w:t>
            </w:r>
          </w:p>
        </w:tc>
        <w:tc>
          <w:tcPr>
            <w:tcW w:type="dxa" w:w="3456"/>
            <w:shd w:fill="F2F2F2" w:val="clear"/>
          </w:tcPr>
          <w:p>
            <w:pPr>
              <w:jc w:val="left"/>
            </w:pPr>
            <w:r/>
            <w:r>
              <w:rPr>
                <w:rFonts w:ascii="Calibri" w:hAnsi="Calibri"/>
                <w:b w:val="0"/>
                <w:color w:val="000000"/>
                <w:sz w:val="16"/>
              </w:rPr>
              <w:t>~$195B</w:t>
            </w:r>
          </w:p>
        </w:tc>
        <w:tc>
          <w:tcPr>
            <w:tcW w:type="dxa" w:w="3456"/>
            <w:shd w:fill="F2F2F2" w:val="clear"/>
          </w:tcPr>
          <w:p>
            <w:pPr>
              <w:jc w:val="left"/>
            </w:pPr>
            <w:r/>
            <w:r>
              <w:rPr>
                <w:rFonts w:ascii="Calibri" w:hAnsi="Calibri"/>
                <w:b w:val="0"/>
                <w:color w:val="000000"/>
                <w:sz w:val="16"/>
              </w:rPr>
              <w:t>~$180-186B</w:t>
            </w:r>
          </w:p>
        </w:tc>
        <w:tc>
          <w:tcPr>
            <w:tcW w:type="dxa" w:w="3456"/>
            <w:shd w:fill="F2F2F2" w:val="clear"/>
          </w:tcPr>
          <w:p>
            <w:pPr>
              <w:jc w:val="left"/>
            </w:pPr>
            <w:r/>
            <w:r>
              <w:rPr>
                <w:rFonts w:ascii="Calibri" w:hAnsi="Calibri"/>
                <w:b w:val="0"/>
                <w:color w:val="000000"/>
                <w:sz w:val="16"/>
              </w:rPr>
              <w:t>~$170-184B</w:t>
            </w:r>
          </w:p>
        </w:tc>
      </w:tr>
      <w:tr>
        <w:tc>
          <w:tcPr>
            <w:tcW w:type="dxa" w:w="3456"/>
            <w:shd w:fill="FFFFFF" w:val="clear"/>
          </w:tcPr>
          <w:p>
            <w:pPr>
              <w:jc w:val="left"/>
            </w:pPr>
            <w:r/>
            <w:r>
              <w:rPr>
                <w:rFonts w:ascii="Calibri" w:hAnsi="Calibri"/>
                <w:b/>
                <w:color w:val="000000"/>
                <w:sz w:val="16"/>
              </w:rPr>
              <w:t>CET1 Surplus/(Deficit)</w:t>
            </w:r>
          </w:p>
        </w:tc>
        <w:tc>
          <w:tcPr>
            <w:tcW w:type="dxa" w:w="3456"/>
            <w:shd w:fill="FFFFFF" w:val="clear"/>
          </w:tcPr>
          <w:p>
            <w:pPr>
              <w:jc w:val="left"/>
            </w:pPr>
            <w:r/>
            <w:r>
              <w:rPr>
                <w:rFonts w:ascii="Calibri" w:hAnsi="Calibri"/>
                <w:b w:val="0"/>
                <w:color w:val="000000"/>
                <w:sz w:val="16"/>
              </w:rPr>
              <w:t>Benchmark</w:t>
            </w:r>
          </w:p>
        </w:tc>
        <w:tc>
          <w:tcPr>
            <w:tcW w:type="dxa" w:w="3456"/>
            <w:shd w:fill="FFFFFF" w:val="clear"/>
          </w:tcPr>
          <w:p>
            <w:pPr>
              <w:jc w:val="left"/>
            </w:pPr>
            <w:r/>
            <w:r>
              <w:rPr>
                <w:rFonts w:ascii="Calibri" w:hAnsi="Calibri"/>
                <w:b w:val="0"/>
                <w:color w:val="000000"/>
                <w:sz w:val="16"/>
              </w:rPr>
              <w:t>+$9-15B</w:t>
            </w:r>
          </w:p>
        </w:tc>
        <w:tc>
          <w:tcPr>
            <w:tcW w:type="dxa" w:w="3456"/>
            <w:shd w:fill="FFFFFF" w:val="clear"/>
          </w:tcPr>
          <w:p>
            <w:pPr>
              <w:jc w:val="left"/>
            </w:pPr>
            <w:r/>
            <w:r>
              <w:rPr>
                <w:rFonts w:ascii="Calibri" w:hAnsi="Calibri"/>
                <w:b w:val="0"/>
                <w:color w:val="000000"/>
                <w:sz w:val="16"/>
              </w:rPr>
              <w:t>+$11-25B</w:t>
            </w:r>
          </w:p>
        </w:tc>
      </w:tr>
    </w:tbl>
    <w:p>
      <w:r>
        <w:rPr>
          <w:rFonts w:ascii="Calibri" w:hAnsi="Calibri"/>
          <w:b/>
          <w:color w:val="002060"/>
          <w:sz w:val="22"/>
        </w:rPr>
        <w:t>18.4 Top 5 Actions for Cross-Jurisdiction Optimization</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Priority</w:t>
            </w:r>
          </w:p>
        </w:tc>
        <w:tc>
          <w:tcPr>
            <w:tcW w:type="dxa" w:w="3456"/>
            <w:shd w:fill="002060" w:val="clear"/>
            <w:tcW w:w="3600" w:type="dxa"/>
          </w:tcPr>
          <w:p>
            <w:pPr>
              <w:jc w:val="center"/>
            </w:pPr>
            <w:r/>
            <w:r>
              <w:rPr>
                <w:rFonts w:ascii="Calibri" w:hAnsi="Calibri"/>
                <w:b/>
                <w:color w:val="FFFFFF"/>
                <w:sz w:val="16"/>
              </w:rPr>
              <w:t>Action</w:t>
            </w:r>
          </w:p>
        </w:tc>
        <w:tc>
          <w:tcPr>
            <w:tcW w:type="dxa" w:w="3456"/>
            <w:shd w:fill="002060" w:val="clear"/>
            <w:tcW w:w="3600" w:type="dxa"/>
          </w:tcPr>
          <w:p>
            <w:pPr>
              <w:jc w:val="center"/>
            </w:pPr>
            <w:r/>
            <w:r>
              <w:rPr>
                <w:rFonts w:ascii="Calibri" w:hAnsi="Calibri"/>
                <w:b/>
                <w:color w:val="FFFFFF"/>
                <w:sz w:val="16"/>
              </w:rPr>
              <w:t>Impact</w:t>
            </w:r>
          </w:p>
        </w:tc>
        <w:tc>
          <w:tcPr>
            <w:tcW w:type="dxa" w:w="3456"/>
            <w:shd w:fill="002060" w:val="clear"/>
            <w:tcW w:w="3600" w:type="dxa"/>
          </w:tcPr>
          <w:p>
            <w:pPr>
              <w:jc w:val="center"/>
            </w:pPr>
            <w:r/>
            <w:r>
              <w:rPr>
                <w:rFonts w:ascii="Calibri" w:hAnsi="Calibri"/>
                <w:b/>
                <w:color w:val="FFFFFF"/>
                <w:sz w:val="16"/>
              </w:rPr>
              <w:t>Timeline</w:t>
            </w:r>
          </w:p>
        </w:tc>
      </w:tr>
      <w:tr>
        <w:tc>
          <w:tcPr>
            <w:tcW w:type="dxa" w:w="3456"/>
            <w:shd w:fill="F2F2F2" w:val="clear"/>
          </w:tcPr>
          <w:p>
            <w:pPr>
              <w:jc w:val="left"/>
            </w:pPr>
            <w:r/>
            <w:r>
              <w:rPr>
                <w:rFonts w:ascii="Calibri" w:hAnsi="Calibri"/>
                <w:b/>
                <w:color w:val="000000"/>
                <w:sz w:val="16"/>
              </w:rPr>
              <w:t>1</w:t>
            </w:r>
          </w:p>
        </w:tc>
        <w:tc>
          <w:tcPr>
            <w:tcW w:type="dxa" w:w="3456"/>
            <w:shd w:fill="F2F2F2" w:val="clear"/>
          </w:tcPr>
          <w:p>
            <w:pPr>
              <w:jc w:val="left"/>
            </w:pPr>
            <w:r/>
            <w:r>
              <w:rPr>
                <w:rFonts w:ascii="Calibri" w:hAnsi="Calibri"/>
                <w:b w:val="0"/>
                <w:color w:val="000000"/>
                <w:sz w:val="16"/>
              </w:rPr>
              <w:t>Restructure short-term commitments to exploit UK/EU 20% CCF</w:t>
            </w:r>
          </w:p>
        </w:tc>
        <w:tc>
          <w:tcPr>
            <w:tcW w:type="dxa" w:w="3456"/>
            <w:shd w:fill="F2F2F2" w:val="clear"/>
          </w:tcPr>
          <w:p>
            <w:pPr>
              <w:jc w:val="left"/>
            </w:pPr>
            <w:r/>
            <w:r>
              <w:rPr>
                <w:rFonts w:ascii="Calibri" w:hAnsi="Calibri"/>
                <w:b w:val="0"/>
                <w:color w:val="000000"/>
                <w:sz w:val="16"/>
              </w:rPr>
              <w:t>$25-40B RWA reduction (UK/EU entities)</w:t>
            </w:r>
          </w:p>
        </w:tc>
        <w:tc>
          <w:tcPr>
            <w:tcW w:type="dxa" w:w="3456"/>
            <w:shd w:fill="F2F2F2" w:val="clear"/>
          </w:tcPr>
          <w:p>
            <w:pPr>
              <w:jc w:val="left"/>
            </w:pPr>
            <w:r/>
            <w:r>
              <w:rPr>
                <w:rFonts w:ascii="Calibri" w:hAnsi="Calibri"/>
                <w:b w:val="0"/>
                <w:color w:val="000000"/>
                <w:sz w:val="16"/>
              </w:rPr>
              <w:t>Q3 2025</w:t>
            </w:r>
          </w:p>
        </w:tc>
      </w:tr>
      <w:tr>
        <w:tc>
          <w:tcPr>
            <w:tcW w:type="dxa" w:w="3456"/>
            <w:shd w:fill="FFFFFF" w:val="clear"/>
          </w:tcPr>
          <w:p>
            <w:pPr>
              <w:jc w:val="left"/>
            </w:pPr>
            <w:r/>
            <w:r>
              <w:rPr>
                <w:rFonts w:ascii="Calibri" w:hAnsi="Calibri"/>
                <w:b/>
                <w:color w:val="000000"/>
                <w:sz w:val="16"/>
              </w:rPr>
              <w:t>2</w:t>
            </w:r>
          </w:p>
        </w:tc>
        <w:tc>
          <w:tcPr>
            <w:tcW w:type="dxa" w:w="3456"/>
            <w:shd w:fill="FFFFFF" w:val="clear"/>
          </w:tcPr>
          <w:p>
            <w:pPr>
              <w:jc w:val="left"/>
            </w:pPr>
            <w:r/>
            <w:r>
              <w:rPr>
                <w:rFonts w:ascii="Calibri" w:hAnsi="Calibri"/>
                <w:b w:val="0"/>
                <w:color w:val="000000"/>
                <w:sz w:val="16"/>
              </w:rPr>
              <w:t>STS securitization program for UK/EU mortgage portfolio</w:t>
            </w:r>
          </w:p>
        </w:tc>
        <w:tc>
          <w:tcPr>
            <w:tcW w:type="dxa" w:w="3456"/>
            <w:shd w:fill="FFFFFF" w:val="clear"/>
          </w:tcPr>
          <w:p>
            <w:pPr>
              <w:jc w:val="left"/>
            </w:pPr>
            <w:r/>
            <w:r>
              <w:rPr>
                <w:rFonts w:ascii="Calibri" w:hAnsi="Calibri"/>
                <w:b w:val="0"/>
                <w:color w:val="000000"/>
                <w:sz w:val="16"/>
              </w:rPr>
              <w:t>5pp RW floor reduction on qualifying tranches</w:t>
            </w:r>
          </w:p>
        </w:tc>
        <w:tc>
          <w:tcPr>
            <w:tcW w:type="dxa" w:w="3456"/>
            <w:shd w:fill="FFFFFF" w:val="clear"/>
          </w:tcPr>
          <w:p>
            <w:pPr>
              <w:jc w:val="left"/>
            </w:pPr>
            <w:r/>
            <w:r>
              <w:rPr>
                <w:rFonts w:ascii="Calibri" w:hAnsi="Calibri"/>
                <w:b w:val="0"/>
                <w:color w:val="000000"/>
                <w:sz w:val="16"/>
              </w:rPr>
              <w:t>Q4 2025</w:t>
            </w:r>
          </w:p>
        </w:tc>
      </w:tr>
      <w:tr>
        <w:tc>
          <w:tcPr>
            <w:tcW w:type="dxa" w:w="3456"/>
            <w:shd w:fill="F2F2F2" w:val="clear"/>
          </w:tcPr>
          <w:p>
            <w:pPr>
              <w:jc w:val="left"/>
            </w:pPr>
            <w:r/>
            <w:r>
              <w:rPr>
                <w:rFonts w:ascii="Calibri" w:hAnsi="Calibri"/>
                <w:b/>
                <w:color w:val="000000"/>
                <w:sz w:val="16"/>
              </w:rPr>
              <w:t>3</w:t>
            </w:r>
          </w:p>
        </w:tc>
        <w:tc>
          <w:tcPr>
            <w:tcW w:type="dxa" w:w="3456"/>
            <w:shd w:fill="F2F2F2" w:val="clear"/>
          </w:tcPr>
          <w:p>
            <w:pPr>
              <w:jc w:val="left"/>
            </w:pPr>
            <w:r/>
            <w:r>
              <w:rPr>
                <w:rFonts w:ascii="Calibri" w:hAnsi="Calibri"/>
                <w:b w:val="0"/>
                <w:color w:val="000000"/>
                <w:sz w:val="16"/>
              </w:rPr>
              <w:t>Optimize G-SIB score via STWF and indicator management</w:t>
            </w:r>
          </w:p>
        </w:tc>
        <w:tc>
          <w:tcPr>
            <w:tcW w:type="dxa" w:w="3456"/>
            <w:shd w:fill="F2F2F2" w:val="clear"/>
          </w:tcPr>
          <w:p>
            <w:pPr>
              <w:jc w:val="left"/>
            </w:pPr>
            <w:r/>
            <w:r>
              <w:rPr>
                <w:rFonts w:ascii="Calibri" w:hAnsi="Calibri"/>
                <w:b w:val="0"/>
                <w:color w:val="000000"/>
                <w:sz w:val="16"/>
              </w:rPr>
              <w:t>10-20bp score reduction = 0.05-0.1% surcharge</w:t>
            </w:r>
          </w:p>
        </w:tc>
        <w:tc>
          <w:tcPr>
            <w:tcW w:type="dxa" w:w="3456"/>
            <w:shd w:fill="F2F2F2" w:val="clear"/>
          </w:tcPr>
          <w:p>
            <w:pPr>
              <w:jc w:val="left"/>
            </w:pPr>
            <w:r/>
            <w:r>
              <w:rPr>
                <w:rFonts w:ascii="Calibri" w:hAnsi="Calibri"/>
                <w:b w:val="0"/>
                <w:color w:val="000000"/>
                <w:sz w:val="16"/>
              </w:rPr>
              <w:t>Ongoing</w:t>
            </w:r>
          </w:p>
        </w:tc>
      </w:tr>
      <w:tr>
        <w:tc>
          <w:tcPr>
            <w:tcW w:type="dxa" w:w="3456"/>
            <w:shd w:fill="FFFFFF" w:val="clear"/>
          </w:tcPr>
          <w:p>
            <w:pPr>
              <w:jc w:val="left"/>
            </w:pPr>
            <w:r/>
            <w:r>
              <w:rPr>
                <w:rFonts w:ascii="Calibri" w:hAnsi="Calibri"/>
                <w:b/>
                <w:color w:val="000000"/>
                <w:sz w:val="16"/>
              </w:rPr>
              <w:t>4</w:t>
            </w:r>
          </w:p>
        </w:tc>
        <w:tc>
          <w:tcPr>
            <w:tcW w:type="dxa" w:w="3456"/>
            <w:shd w:fill="FFFFFF" w:val="clear"/>
          </w:tcPr>
          <w:p>
            <w:pPr>
              <w:jc w:val="left"/>
            </w:pPr>
            <w:r/>
            <w:r>
              <w:rPr>
                <w:rFonts w:ascii="Calibri" w:hAnsi="Calibri"/>
                <w:b w:val="0"/>
                <w:color w:val="000000"/>
                <w:sz w:val="16"/>
              </w:rPr>
              <w:t>EU equity phase-in: time new equity investments to benefit</w:t>
            </w:r>
          </w:p>
        </w:tc>
        <w:tc>
          <w:tcPr>
            <w:tcW w:type="dxa" w:w="3456"/>
            <w:shd w:fill="FFFFFF" w:val="clear"/>
          </w:tcPr>
          <w:p>
            <w:pPr>
              <w:jc w:val="left"/>
            </w:pPr>
            <w:r/>
            <w:r>
              <w:rPr>
                <w:rFonts w:ascii="Calibri" w:hAnsi="Calibri"/>
                <w:b w:val="0"/>
                <w:color w:val="000000"/>
                <w:sz w:val="16"/>
              </w:rPr>
              <w:t>Up to 60% RW reduction vs full weight (2025-2030)</w:t>
            </w:r>
          </w:p>
        </w:tc>
        <w:tc>
          <w:tcPr>
            <w:tcW w:type="dxa" w:w="3456"/>
            <w:shd w:fill="FFFFFF" w:val="clear"/>
          </w:tcPr>
          <w:p>
            <w:pPr>
              <w:jc w:val="left"/>
            </w:pPr>
            <w:r/>
            <w:r>
              <w:rPr>
                <w:rFonts w:ascii="Calibri" w:hAnsi="Calibri"/>
                <w:b w:val="0"/>
                <w:color w:val="000000"/>
                <w:sz w:val="16"/>
              </w:rPr>
              <w:t>Immediate</w:t>
            </w:r>
          </w:p>
        </w:tc>
      </w:tr>
      <w:tr>
        <w:tc>
          <w:tcPr>
            <w:tcW w:type="dxa" w:w="3456"/>
            <w:shd w:fill="F2F2F2" w:val="clear"/>
          </w:tcPr>
          <w:p>
            <w:pPr>
              <w:jc w:val="left"/>
            </w:pPr>
            <w:r/>
            <w:r>
              <w:rPr>
                <w:rFonts w:ascii="Calibri" w:hAnsi="Calibri"/>
                <w:b/>
                <w:color w:val="000000"/>
                <w:sz w:val="16"/>
              </w:rPr>
              <w:t>5</w:t>
            </w:r>
          </w:p>
        </w:tc>
        <w:tc>
          <w:tcPr>
            <w:tcW w:type="dxa" w:w="3456"/>
            <w:shd w:fill="F2F2F2" w:val="clear"/>
          </w:tcPr>
          <w:p>
            <w:pPr>
              <w:jc w:val="left"/>
            </w:pPr>
            <w:r/>
            <w:r>
              <w:rPr>
                <w:rFonts w:ascii="Calibri" w:hAnsi="Calibri"/>
                <w:b w:val="0"/>
                <w:color w:val="000000"/>
                <w:sz w:val="16"/>
              </w:rPr>
              <w:t>BA-CVA hedge optimization: deploy single-name CDS in UK/EU</w:t>
            </w:r>
          </w:p>
        </w:tc>
        <w:tc>
          <w:tcPr>
            <w:tcW w:type="dxa" w:w="3456"/>
            <w:shd w:fill="F2F2F2" w:val="clear"/>
          </w:tcPr>
          <w:p>
            <w:pPr>
              <w:jc w:val="left"/>
            </w:pPr>
            <w:r/>
            <w:r>
              <w:rPr>
                <w:rFonts w:ascii="Calibri" w:hAnsi="Calibri"/>
                <w:b w:val="0"/>
                <w:color w:val="000000"/>
                <w:sz w:val="16"/>
              </w:rPr>
              <w:t>15-25% CVA capital reduction</w:t>
            </w:r>
          </w:p>
        </w:tc>
        <w:tc>
          <w:tcPr>
            <w:tcW w:type="dxa" w:w="3456"/>
            <w:shd w:fill="F2F2F2" w:val="clear"/>
          </w:tcPr>
          <w:p>
            <w:pPr>
              <w:jc w:val="left"/>
            </w:pPr>
            <w:r/>
            <w:r>
              <w:rPr>
                <w:rFonts w:ascii="Calibri" w:hAnsi="Calibri"/>
                <w:b w:val="0"/>
                <w:color w:val="000000"/>
                <w:sz w:val="16"/>
              </w:rPr>
              <w:t>Q2 2025</w:t>
            </w:r>
          </w:p>
        </w:tc>
      </w:tr>
    </w:tbl>
    <w:p>
      <w:r>
        <w:br w:type="page"/>
      </w:r>
    </w:p>
    <w:p>
      <w:r>
        <w:rPr>
          <w:rFonts w:ascii="Calibri" w:hAnsi="Calibri"/>
          <w:b/>
          <w:color w:val="C8962E"/>
          <w:sz w:val="28"/>
        </w:rPr>
        <w:t>SECTION A</w:t>
      </w:r>
    </w:p>
    <w:p>
      <w:r>
        <w:rPr>
          <w:rFonts w:ascii="Calibri" w:hAnsi="Calibri"/>
          <w:b/>
          <w:color w:val="002060"/>
          <w:sz w:val="32"/>
        </w:rPr>
        <w:t>Appendix: Regulatory Article Cross-Reference Index</w:t>
      </w:r>
    </w:p>
    <w:p>
      <w:r>
        <w:rPr>
          <w:color w:val="C8962E"/>
          <w:sz w:val="12"/>
        </w:rPr>
        <w:t>________________________________________________________________________________________________________________________</w:t>
      </w:r>
    </w:p>
    <w:p>
      <w:r>
        <w:rPr>
          <w:rFonts w:ascii="Calibri" w:hAnsi="Calibri"/>
          <w:color w:val="000000"/>
          <w:sz w:val="18"/>
        </w:rPr>
        <w:t>Quick-reference mapping of key regulatory provisions across jurisdictions.</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456"/>
            <w:shd w:fill="002060" w:val="clear"/>
            <w:tcW w:w="2880" w:type="dxa"/>
          </w:tcPr>
          <w:p>
            <w:pPr>
              <w:jc w:val="center"/>
            </w:pPr>
            <w:r/>
            <w:r>
              <w:rPr>
                <w:rFonts w:ascii="Calibri" w:hAnsi="Calibri"/>
                <w:b/>
                <w:color w:val="FFFFFF"/>
                <w:sz w:val="16"/>
              </w:rPr>
              <w:t>Topic</w:t>
            </w:r>
          </w:p>
        </w:tc>
        <w:tc>
          <w:tcPr>
            <w:tcW w:type="dxa" w:w="3456"/>
            <w:shd w:fill="002060" w:val="clear"/>
            <w:tcW w:w="3600" w:type="dxa"/>
          </w:tcPr>
          <w:p>
            <w:pPr>
              <w:jc w:val="center"/>
            </w:pPr>
            <w:r/>
            <w:r>
              <w:rPr>
                <w:rFonts w:ascii="Calibri" w:hAnsi="Calibri"/>
                <w:b/>
                <w:color w:val="FFFFFF"/>
                <w:sz w:val="16"/>
              </w:rPr>
              <w:t>US Reference</w:t>
            </w:r>
          </w:p>
        </w:tc>
        <w:tc>
          <w:tcPr>
            <w:tcW w:type="dxa" w:w="3456"/>
            <w:shd w:fill="002060" w:val="clear"/>
            <w:tcW w:w="3600" w:type="dxa"/>
          </w:tcPr>
          <w:p>
            <w:pPr>
              <w:jc w:val="center"/>
            </w:pPr>
            <w:r/>
            <w:r>
              <w:rPr>
                <w:rFonts w:ascii="Calibri" w:hAnsi="Calibri"/>
                <w:b/>
                <w:color w:val="FFFFFF"/>
                <w:sz w:val="16"/>
              </w:rPr>
              <w:t>UK Reference</w:t>
            </w:r>
          </w:p>
        </w:tc>
        <w:tc>
          <w:tcPr>
            <w:tcW w:type="dxa" w:w="3456"/>
            <w:shd w:fill="002060" w:val="clear"/>
            <w:tcW w:w="3600" w:type="dxa"/>
          </w:tcPr>
          <w:p>
            <w:pPr>
              <w:jc w:val="center"/>
            </w:pPr>
            <w:r/>
            <w:r>
              <w:rPr>
                <w:rFonts w:ascii="Calibri" w:hAnsi="Calibri"/>
                <w:b/>
                <w:color w:val="FFFFFF"/>
                <w:sz w:val="16"/>
              </w:rPr>
              <w:t>EU Reference</w:t>
            </w:r>
          </w:p>
        </w:tc>
      </w:tr>
      <w:tr>
        <w:tc>
          <w:tcPr>
            <w:tcW w:type="dxa" w:w="3456"/>
            <w:shd w:fill="F2F2F2" w:val="clear"/>
          </w:tcPr>
          <w:p>
            <w:pPr>
              <w:jc w:val="left"/>
            </w:pPr>
            <w:r/>
            <w:r>
              <w:rPr>
                <w:rFonts w:ascii="Calibri" w:hAnsi="Calibri"/>
                <w:b/>
                <w:color w:val="000000"/>
                <w:sz w:val="16"/>
              </w:rPr>
              <w:t>Capital Definition</w:t>
            </w:r>
          </w:p>
        </w:tc>
        <w:tc>
          <w:tcPr>
            <w:tcW w:type="dxa" w:w="3456"/>
            <w:shd w:fill="F2F2F2" w:val="clear"/>
          </w:tcPr>
          <w:p>
            <w:pPr>
              <w:jc w:val="left"/>
            </w:pPr>
            <w:r/>
            <w:r>
              <w:rPr>
                <w:rFonts w:ascii="Calibri" w:hAnsi="Calibri"/>
                <w:b w:val="0"/>
                <w:color w:val="000000"/>
                <w:sz w:val="16"/>
              </w:rPr>
              <w:t>12 CFR 217.20</w:t>
            </w:r>
          </w:p>
        </w:tc>
        <w:tc>
          <w:tcPr>
            <w:tcW w:type="dxa" w:w="3456"/>
            <w:shd w:fill="F2F2F2" w:val="clear"/>
          </w:tcPr>
          <w:p>
            <w:pPr>
              <w:jc w:val="left"/>
            </w:pPr>
            <w:r/>
            <w:r>
              <w:rPr>
                <w:rFonts w:ascii="Calibri" w:hAnsi="Calibri"/>
                <w:b w:val="0"/>
                <w:color w:val="000000"/>
                <w:sz w:val="16"/>
              </w:rPr>
              <w:t>PS1/26 SS34/15</w:t>
            </w:r>
          </w:p>
        </w:tc>
        <w:tc>
          <w:tcPr>
            <w:tcW w:type="dxa" w:w="3456"/>
            <w:shd w:fill="F2F2F2" w:val="clear"/>
          </w:tcPr>
          <w:p>
            <w:pPr>
              <w:jc w:val="left"/>
            </w:pPr>
            <w:r/>
            <w:r>
              <w:rPr>
                <w:rFonts w:ascii="Calibri" w:hAnsi="Calibri"/>
                <w:b w:val="0"/>
                <w:color w:val="000000"/>
                <w:sz w:val="16"/>
              </w:rPr>
              <w:t>CRR3 Art 25-91</w:t>
            </w:r>
          </w:p>
        </w:tc>
      </w:tr>
      <w:tr>
        <w:tc>
          <w:tcPr>
            <w:tcW w:type="dxa" w:w="3456"/>
            <w:shd w:fill="FFFFFF" w:val="clear"/>
          </w:tcPr>
          <w:p>
            <w:pPr>
              <w:jc w:val="left"/>
            </w:pPr>
            <w:r/>
            <w:r>
              <w:rPr>
                <w:rFonts w:ascii="Calibri" w:hAnsi="Calibri"/>
                <w:b/>
                <w:color w:val="000000"/>
                <w:sz w:val="16"/>
              </w:rPr>
              <w:t>SA Credit Risk</w:t>
            </w:r>
          </w:p>
        </w:tc>
        <w:tc>
          <w:tcPr>
            <w:tcW w:type="dxa" w:w="3456"/>
            <w:shd w:fill="FFFFFF" w:val="clear"/>
          </w:tcPr>
          <w:p>
            <w:pPr>
              <w:jc w:val="left"/>
            </w:pPr>
            <w:r/>
            <w:r>
              <w:rPr>
                <w:rFonts w:ascii="Calibri" w:hAnsi="Calibri"/>
                <w:b w:val="0"/>
                <w:color w:val="000000"/>
                <w:sz w:val="16"/>
              </w:rPr>
              <w:t>12 CFR 217.31-37</w:t>
            </w:r>
          </w:p>
        </w:tc>
        <w:tc>
          <w:tcPr>
            <w:tcW w:type="dxa" w:w="3456"/>
            <w:shd w:fill="FFFFFF" w:val="clear"/>
          </w:tcPr>
          <w:p>
            <w:pPr>
              <w:jc w:val="left"/>
            </w:pPr>
            <w:r/>
            <w:r>
              <w:rPr>
                <w:rFonts w:ascii="Calibri" w:hAnsi="Calibri"/>
                <w:b w:val="0"/>
                <w:color w:val="000000"/>
                <w:sz w:val="16"/>
              </w:rPr>
              <w:t>PS1/26 Ch.3-7</w:t>
            </w:r>
          </w:p>
        </w:tc>
        <w:tc>
          <w:tcPr>
            <w:tcW w:type="dxa" w:w="3456"/>
            <w:shd w:fill="FFFFFF" w:val="clear"/>
          </w:tcPr>
          <w:p>
            <w:pPr>
              <w:jc w:val="left"/>
            </w:pPr>
            <w:r/>
            <w:r>
              <w:rPr>
                <w:rFonts w:ascii="Calibri" w:hAnsi="Calibri"/>
                <w:b w:val="0"/>
                <w:color w:val="000000"/>
                <w:sz w:val="16"/>
              </w:rPr>
              <w:t>CRR3 Art 111-134</w:t>
            </w:r>
          </w:p>
        </w:tc>
      </w:tr>
      <w:tr>
        <w:tc>
          <w:tcPr>
            <w:tcW w:type="dxa" w:w="3456"/>
            <w:shd w:fill="F2F2F2" w:val="clear"/>
          </w:tcPr>
          <w:p>
            <w:pPr>
              <w:jc w:val="left"/>
            </w:pPr>
            <w:r/>
            <w:r>
              <w:rPr>
                <w:rFonts w:ascii="Calibri" w:hAnsi="Calibri"/>
                <w:b/>
                <w:color w:val="000000"/>
                <w:sz w:val="16"/>
              </w:rPr>
              <w:t>Real Estate</w:t>
            </w:r>
          </w:p>
        </w:tc>
        <w:tc>
          <w:tcPr>
            <w:tcW w:type="dxa" w:w="3456"/>
            <w:shd w:fill="F2F2F2" w:val="clear"/>
          </w:tcPr>
          <w:p>
            <w:pPr>
              <w:jc w:val="left"/>
            </w:pPr>
            <w:r/>
            <w:r>
              <w:rPr>
                <w:rFonts w:ascii="Calibri" w:hAnsi="Calibri"/>
                <w:b w:val="0"/>
                <w:color w:val="000000"/>
                <w:sz w:val="16"/>
              </w:rPr>
              <w:t>ERBA P.128-170</w:t>
            </w:r>
          </w:p>
        </w:tc>
        <w:tc>
          <w:tcPr>
            <w:tcW w:type="dxa" w:w="3456"/>
            <w:shd w:fill="F2F2F2" w:val="clear"/>
          </w:tcPr>
          <w:p>
            <w:pPr>
              <w:jc w:val="left"/>
            </w:pPr>
            <w:r/>
            <w:r>
              <w:rPr>
                <w:rFonts w:ascii="Calibri" w:hAnsi="Calibri"/>
                <w:b w:val="0"/>
                <w:color w:val="000000"/>
                <w:sz w:val="16"/>
              </w:rPr>
              <w:t>PS1/26 Ch.4</w:t>
            </w:r>
          </w:p>
        </w:tc>
        <w:tc>
          <w:tcPr>
            <w:tcW w:type="dxa" w:w="3456"/>
            <w:shd w:fill="F2F2F2" w:val="clear"/>
          </w:tcPr>
          <w:p>
            <w:pPr>
              <w:jc w:val="left"/>
            </w:pPr>
            <w:r/>
            <w:r>
              <w:rPr>
                <w:rFonts w:ascii="Calibri" w:hAnsi="Calibri"/>
                <w:b w:val="0"/>
                <w:color w:val="000000"/>
                <w:sz w:val="16"/>
              </w:rPr>
              <w:t>CRR3 Art 124-126</w:t>
            </w:r>
          </w:p>
        </w:tc>
      </w:tr>
      <w:tr>
        <w:tc>
          <w:tcPr>
            <w:tcW w:type="dxa" w:w="3456"/>
            <w:shd w:fill="FFFFFF" w:val="clear"/>
          </w:tcPr>
          <w:p>
            <w:pPr>
              <w:jc w:val="left"/>
            </w:pPr>
            <w:r/>
            <w:r>
              <w:rPr>
                <w:rFonts w:ascii="Calibri" w:hAnsi="Calibri"/>
                <w:b/>
                <w:color w:val="000000"/>
                <w:sz w:val="16"/>
              </w:rPr>
              <w:t>OBS CCF</w:t>
            </w:r>
          </w:p>
        </w:tc>
        <w:tc>
          <w:tcPr>
            <w:tcW w:type="dxa" w:w="3456"/>
            <w:shd w:fill="FFFFFF" w:val="clear"/>
          </w:tcPr>
          <w:p>
            <w:pPr>
              <w:jc w:val="left"/>
            </w:pPr>
            <w:r/>
            <w:r>
              <w:rPr>
                <w:rFonts w:ascii="Calibri" w:hAnsi="Calibri"/>
                <w:b w:val="0"/>
                <w:color w:val="000000"/>
                <w:sz w:val="16"/>
              </w:rPr>
              <w:t>ERBA P.206-214</w:t>
            </w:r>
          </w:p>
        </w:tc>
        <w:tc>
          <w:tcPr>
            <w:tcW w:type="dxa" w:w="3456"/>
            <w:shd w:fill="FFFFFF" w:val="clear"/>
          </w:tcPr>
          <w:p>
            <w:pPr>
              <w:jc w:val="left"/>
            </w:pPr>
            <w:r/>
            <w:r>
              <w:rPr>
                <w:rFonts w:ascii="Calibri" w:hAnsi="Calibri"/>
                <w:b w:val="0"/>
                <w:color w:val="000000"/>
                <w:sz w:val="16"/>
              </w:rPr>
              <w:t>PS1/26 Ch.5</w:t>
            </w:r>
          </w:p>
        </w:tc>
        <w:tc>
          <w:tcPr>
            <w:tcW w:type="dxa" w:w="3456"/>
            <w:shd w:fill="FFFFFF" w:val="clear"/>
          </w:tcPr>
          <w:p>
            <w:pPr>
              <w:jc w:val="left"/>
            </w:pPr>
            <w:r/>
            <w:r>
              <w:rPr>
                <w:rFonts w:ascii="Calibri" w:hAnsi="Calibri"/>
                <w:b w:val="0"/>
                <w:color w:val="000000"/>
                <w:sz w:val="16"/>
              </w:rPr>
              <w:t>CRR3 Art 111</w:t>
            </w:r>
          </w:p>
        </w:tc>
      </w:tr>
      <w:tr>
        <w:tc>
          <w:tcPr>
            <w:tcW w:type="dxa" w:w="3456"/>
            <w:shd w:fill="F2F2F2" w:val="clear"/>
          </w:tcPr>
          <w:p>
            <w:pPr>
              <w:jc w:val="left"/>
            </w:pPr>
            <w:r/>
            <w:r>
              <w:rPr>
                <w:rFonts w:ascii="Calibri" w:hAnsi="Calibri"/>
                <w:b/>
                <w:color w:val="000000"/>
                <w:sz w:val="16"/>
              </w:rPr>
              <w:t>CRM</w:t>
            </w:r>
          </w:p>
        </w:tc>
        <w:tc>
          <w:tcPr>
            <w:tcW w:type="dxa" w:w="3456"/>
            <w:shd w:fill="F2F2F2" w:val="clear"/>
          </w:tcPr>
          <w:p>
            <w:pPr>
              <w:jc w:val="left"/>
            </w:pPr>
            <w:r/>
            <w:r>
              <w:rPr>
                <w:rFonts w:ascii="Calibri" w:hAnsi="Calibri"/>
                <w:b w:val="0"/>
                <w:color w:val="000000"/>
                <w:sz w:val="16"/>
              </w:rPr>
              <w:t>12 CFR 217.35-37</w:t>
            </w:r>
          </w:p>
        </w:tc>
        <w:tc>
          <w:tcPr>
            <w:tcW w:type="dxa" w:w="3456"/>
            <w:shd w:fill="F2F2F2" w:val="clear"/>
          </w:tcPr>
          <w:p>
            <w:pPr>
              <w:jc w:val="left"/>
            </w:pPr>
            <w:r/>
            <w:r>
              <w:rPr>
                <w:rFonts w:ascii="Calibri" w:hAnsi="Calibri"/>
                <w:b w:val="0"/>
                <w:color w:val="000000"/>
                <w:sz w:val="16"/>
              </w:rPr>
              <w:t>PS1/26 Ch.6</w:t>
            </w:r>
          </w:p>
        </w:tc>
        <w:tc>
          <w:tcPr>
            <w:tcW w:type="dxa" w:w="3456"/>
            <w:shd w:fill="F2F2F2" w:val="clear"/>
          </w:tcPr>
          <w:p>
            <w:pPr>
              <w:jc w:val="left"/>
            </w:pPr>
            <w:r/>
            <w:r>
              <w:rPr>
                <w:rFonts w:ascii="Calibri" w:hAnsi="Calibri"/>
                <w:b w:val="0"/>
                <w:color w:val="000000"/>
                <w:sz w:val="16"/>
              </w:rPr>
              <w:t>CRR3 Art 192-241</w:t>
            </w:r>
          </w:p>
        </w:tc>
      </w:tr>
      <w:tr>
        <w:tc>
          <w:tcPr>
            <w:tcW w:type="dxa" w:w="3456"/>
            <w:shd w:fill="FFFFFF" w:val="clear"/>
          </w:tcPr>
          <w:p>
            <w:pPr>
              <w:jc w:val="left"/>
            </w:pPr>
            <w:r/>
            <w:r>
              <w:rPr>
                <w:rFonts w:ascii="Calibri" w:hAnsi="Calibri"/>
                <w:b/>
                <w:color w:val="000000"/>
                <w:sz w:val="16"/>
              </w:rPr>
              <w:t>SA-CCR</w:t>
            </w:r>
          </w:p>
        </w:tc>
        <w:tc>
          <w:tcPr>
            <w:tcW w:type="dxa" w:w="3456"/>
            <w:shd w:fill="FFFFFF" w:val="clear"/>
          </w:tcPr>
          <w:p>
            <w:pPr>
              <w:jc w:val="left"/>
            </w:pPr>
            <w:r/>
            <w:r>
              <w:rPr>
                <w:rFonts w:ascii="Calibri" w:hAnsi="Calibri"/>
                <w:b w:val="0"/>
                <w:color w:val="000000"/>
                <w:sz w:val="16"/>
              </w:rPr>
              <w:t>12 CFR 217.132</w:t>
            </w:r>
          </w:p>
        </w:tc>
        <w:tc>
          <w:tcPr>
            <w:tcW w:type="dxa" w:w="3456"/>
            <w:shd w:fill="FFFFFF" w:val="clear"/>
          </w:tcPr>
          <w:p>
            <w:pPr>
              <w:jc w:val="left"/>
            </w:pPr>
            <w:r/>
            <w:r>
              <w:rPr>
                <w:rFonts w:ascii="Calibri" w:hAnsi="Calibri"/>
                <w:b w:val="0"/>
                <w:color w:val="000000"/>
                <w:sz w:val="16"/>
              </w:rPr>
              <w:t>PS1/26 Ch.8</w:t>
            </w:r>
          </w:p>
        </w:tc>
        <w:tc>
          <w:tcPr>
            <w:tcW w:type="dxa" w:w="3456"/>
            <w:shd w:fill="FFFFFF" w:val="clear"/>
          </w:tcPr>
          <w:p>
            <w:pPr>
              <w:jc w:val="left"/>
            </w:pPr>
            <w:r/>
            <w:r>
              <w:rPr>
                <w:rFonts w:ascii="Calibri" w:hAnsi="Calibri"/>
                <w:b w:val="0"/>
                <w:color w:val="000000"/>
                <w:sz w:val="16"/>
              </w:rPr>
              <w:t>CRR3 Art 272-280f</w:t>
            </w:r>
          </w:p>
        </w:tc>
      </w:tr>
      <w:tr>
        <w:tc>
          <w:tcPr>
            <w:tcW w:type="dxa" w:w="3456"/>
            <w:shd w:fill="F2F2F2" w:val="clear"/>
          </w:tcPr>
          <w:p>
            <w:pPr>
              <w:jc w:val="left"/>
            </w:pPr>
            <w:r/>
            <w:r>
              <w:rPr>
                <w:rFonts w:ascii="Calibri" w:hAnsi="Calibri"/>
                <w:b/>
                <w:color w:val="000000"/>
                <w:sz w:val="16"/>
              </w:rPr>
              <w:t>CVA</w:t>
            </w:r>
          </w:p>
        </w:tc>
        <w:tc>
          <w:tcPr>
            <w:tcW w:type="dxa" w:w="3456"/>
            <w:shd w:fill="F2F2F2" w:val="clear"/>
          </w:tcPr>
          <w:p>
            <w:pPr>
              <w:jc w:val="left"/>
            </w:pPr>
            <w:r/>
            <w:r>
              <w:rPr>
                <w:rFonts w:ascii="Calibri" w:hAnsi="Calibri"/>
                <w:b w:val="0"/>
                <w:color w:val="000000"/>
                <w:sz w:val="16"/>
              </w:rPr>
              <w:t>ERBA P.520-550</w:t>
            </w:r>
          </w:p>
        </w:tc>
        <w:tc>
          <w:tcPr>
            <w:tcW w:type="dxa" w:w="3456"/>
            <w:shd w:fill="F2F2F2" w:val="clear"/>
          </w:tcPr>
          <w:p>
            <w:pPr>
              <w:jc w:val="left"/>
            </w:pPr>
            <w:r/>
            <w:r>
              <w:rPr>
                <w:rFonts w:ascii="Calibri" w:hAnsi="Calibri"/>
                <w:b w:val="0"/>
                <w:color w:val="000000"/>
                <w:sz w:val="16"/>
              </w:rPr>
              <w:t>PS1/26 Ch.9</w:t>
            </w:r>
          </w:p>
        </w:tc>
        <w:tc>
          <w:tcPr>
            <w:tcW w:type="dxa" w:w="3456"/>
            <w:shd w:fill="F2F2F2" w:val="clear"/>
          </w:tcPr>
          <w:p>
            <w:pPr>
              <w:jc w:val="left"/>
            </w:pPr>
            <w:r/>
            <w:r>
              <w:rPr>
                <w:rFonts w:ascii="Calibri" w:hAnsi="Calibri"/>
                <w:b w:val="0"/>
                <w:color w:val="000000"/>
                <w:sz w:val="16"/>
              </w:rPr>
              <w:t>CRR3 Art 381-386</w:t>
            </w:r>
          </w:p>
        </w:tc>
      </w:tr>
      <w:tr>
        <w:tc>
          <w:tcPr>
            <w:tcW w:type="dxa" w:w="3456"/>
            <w:shd w:fill="FFFFFF" w:val="clear"/>
          </w:tcPr>
          <w:p>
            <w:pPr>
              <w:jc w:val="left"/>
            </w:pPr>
            <w:r/>
            <w:r>
              <w:rPr>
                <w:rFonts w:ascii="Calibri" w:hAnsi="Calibri"/>
                <w:b/>
                <w:color w:val="000000"/>
                <w:sz w:val="16"/>
              </w:rPr>
              <w:t>Securitization</w:t>
            </w:r>
          </w:p>
        </w:tc>
        <w:tc>
          <w:tcPr>
            <w:tcW w:type="dxa" w:w="3456"/>
            <w:shd w:fill="FFFFFF" w:val="clear"/>
          </w:tcPr>
          <w:p>
            <w:pPr>
              <w:jc w:val="left"/>
            </w:pPr>
            <w:r/>
            <w:r>
              <w:rPr>
                <w:rFonts w:ascii="Calibri" w:hAnsi="Calibri"/>
                <w:b w:val="0"/>
                <w:color w:val="000000"/>
                <w:sz w:val="16"/>
              </w:rPr>
              <w:t>ERBA P.296-340</w:t>
            </w:r>
          </w:p>
        </w:tc>
        <w:tc>
          <w:tcPr>
            <w:tcW w:type="dxa" w:w="3456"/>
            <w:shd w:fill="FFFFFF" w:val="clear"/>
          </w:tcPr>
          <w:p>
            <w:pPr>
              <w:jc w:val="left"/>
            </w:pPr>
            <w:r/>
            <w:r>
              <w:rPr>
                <w:rFonts w:ascii="Calibri" w:hAnsi="Calibri"/>
                <w:b w:val="0"/>
                <w:color w:val="000000"/>
                <w:sz w:val="16"/>
              </w:rPr>
              <w:t>PS1/26 Ch.10</w:t>
            </w:r>
          </w:p>
        </w:tc>
        <w:tc>
          <w:tcPr>
            <w:tcW w:type="dxa" w:w="3456"/>
            <w:shd w:fill="FFFFFF" w:val="clear"/>
          </w:tcPr>
          <w:p>
            <w:pPr>
              <w:jc w:val="left"/>
            </w:pPr>
            <w:r/>
            <w:r>
              <w:rPr>
                <w:rFonts w:ascii="Calibri" w:hAnsi="Calibri"/>
                <w:b w:val="0"/>
                <w:color w:val="000000"/>
                <w:sz w:val="16"/>
              </w:rPr>
              <w:t>CRR3 Art 242-270</w:t>
            </w:r>
          </w:p>
        </w:tc>
      </w:tr>
      <w:tr>
        <w:tc>
          <w:tcPr>
            <w:tcW w:type="dxa" w:w="3456"/>
            <w:shd w:fill="F2F2F2" w:val="clear"/>
          </w:tcPr>
          <w:p>
            <w:pPr>
              <w:jc w:val="left"/>
            </w:pPr>
            <w:r/>
            <w:r>
              <w:rPr>
                <w:rFonts w:ascii="Calibri" w:hAnsi="Calibri"/>
                <w:b/>
                <w:color w:val="000000"/>
                <w:sz w:val="16"/>
              </w:rPr>
              <w:t>IRB</w:t>
            </w:r>
          </w:p>
        </w:tc>
        <w:tc>
          <w:tcPr>
            <w:tcW w:type="dxa" w:w="3456"/>
            <w:shd w:fill="F2F2F2" w:val="clear"/>
          </w:tcPr>
          <w:p>
            <w:pPr>
              <w:jc w:val="left"/>
            </w:pPr>
            <w:r/>
            <w:r>
              <w:rPr>
                <w:rFonts w:ascii="Calibri" w:hAnsi="Calibri"/>
                <w:b w:val="0"/>
                <w:color w:val="000000"/>
                <w:sz w:val="16"/>
              </w:rPr>
              <w:t>N/A (eliminated)</w:t>
            </w:r>
          </w:p>
        </w:tc>
        <w:tc>
          <w:tcPr>
            <w:tcW w:type="dxa" w:w="3456"/>
            <w:shd w:fill="F2F2F2" w:val="clear"/>
          </w:tcPr>
          <w:p>
            <w:pPr>
              <w:jc w:val="left"/>
            </w:pPr>
            <w:r/>
            <w:r>
              <w:rPr>
                <w:rFonts w:ascii="Calibri" w:hAnsi="Calibri"/>
                <w:b w:val="0"/>
                <w:color w:val="000000"/>
                <w:sz w:val="16"/>
              </w:rPr>
              <w:t>PS1/26 Ch.11</w:t>
            </w:r>
          </w:p>
        </w:tc>
        <w:tc>
          <w:tcPr>
            <w:tcW w:type="dxa" w:w="3456"/>
            <w:shd w:fill="F2F2F2" w:val="clear"/>
          </w:tcPr>
          <w:p>
            <w:pPr>
              <w:jc w:val="left"/>
            </w:pPr>
            <w:r/>
            <w:r>
              <w:rPr>
                <w:rFonts w:ascii="Calibri" w:hAnsi="Calibri"/>
                <w:b w:val="0"/>
                <w:color w:val="000000"/>
                <w:sz w:val="16"/>
              </w:rPr>
              <w:t>CRR3 Art 142-191</w:t>
            </w:r>
          </w:p>
        </w:tc>
      </w:tr>
      <w:tr>
        <w:tc>
          <w:tcPr>
            <w:tcW w:type="dxa" w:w="3456"/>
            <w:shd w:fill="FFFFFF" w:val="clear"/>
          </w:tcPr>
          <w:p>
            <w:pPr>
              <w:jc w:val="left"/>
            </w:pPr>
            <w:r/>
            <w:r>
              <w:rPr>
                <w:rFonts w:ascii="Calibri" w:hAnsi="Calibri"/>
                <w:b/>
                <w:color w:val="000000"/>
                <w:sz w:val="16"/>
              </w:rPr>
              <w:t>FRTB</w:t>
            </w:r>
          </w:p>
        </w:tc>
        <w:tc>
          <w:tcPr>
            <w:tcW w:type="dxa" w:w="3456"/>
            <w:shd w:fill="FFFFFF" w:val="clear"/>
          </w:tcPr>
          <w:p>
            <w:pPr>
              <w:jc w:val="left"/>
            </w:pPr>
            <w:r/>
            <w:r>
              <w:rPr>
                <w:rFonts w:ascii="Calibri" w:hAnsi="Calibri"/>
                <w:b w:val="0"/>
                <w:color w:val="000000"/>
                <w:sz w:val="16"/>
              </w:rPr>
              <w:t>ERBA P.1080-1130</w:t>
            </w:r>
          </w:p>
        </w:tc>
        <w:tc>
          <w:tcPr>
            <w:tcW w:type="dxa" w:w="3456"/>
            <w:shd w:fill="FFFFFF" w:val="clear"/>
          </w:tcPr>
          <w:p>
            <w:pPr>
              <w:jc w:val="left"/>
            </w:pPr>
            <w:r/>
            <w:r>
              <w:rPr>
                <w:rFonts w:ascii="Calibri" w:hAnsi="Calibri"/>
                <w:b w:val="0"/>
                <w:color w:val="000000"/>
                <w:sz w:val="16"/>
              </w:rPr>
              <w:t>PS1/26 Ch.16</w:t>
            </w:r>
          </w:p>
        </w:tc>
        <w:tc>
          <w:tcPr>
            <w:tcW w:type="dxa" w:w="3456"/>
            <w:shd w:fill="FFFFFF" w:val="clear"/>
          </w:tcPr>
          <w:p>
            <w:pPr>
              <w:jc w:val="left"/>
            </w:pPr>
            <w:r/>
            <w:r>
              <w:rPr>
                <w:rFonts w:ascii="Calibri" w:hAnsi="Calibri"/>
                <w:b w:val="0"/>
                <w:color w:val="000000"/>
                <w:sz w:val="16"/>
              </w:rPr>
              <w:t>CRR3 Art 325-325bp</w:t>
            </w:r>
          </w:p>
        </w:tc>
      </w:tr>
      <w:tr>
        <w:tc>
          <w:tcPr>
            <w:tcW w:type="dxa" w:w="3456"/>
            <w:shd w:fill="F2F2F2" w:val="clear"/>
          </w:tcPr>
          <w:p>
            <w:pPr>
              <w:jc w:val="left"/>
            </w:pPr>
            <w:r/>
            <w:r>
              <w:rPr>
                <w:rFonts w:ascii="Calibri" w:hAnsi="Calibri"/>
                <w:b/>
                <w:color w:val="000000"/>
                <w:sz w:val="16"/>
              </w:rPr>
              <w:t>Operational Risk</w:t>
            </w:r>
          </w:p>
        </w:tc>
        <w:tc>
          <w:tcPr>
            <w:tcW w:type="dxa" w:w="3456"/>
            <w:shd w:fill="F2F2F2" w:val="clear"/>
          </w:tcPr>
          <w:p>
            <w:pPr>
              <w:jc w:val="left"/>
            </w:pPr>
            <w:r/>
            <w:r>
              <w:rPr>
                <w:rFonts w:ascii="Calibri" w:hAnsi="Calibri"/>
                <w:b w:val="0"/>
                <w:color w:val="000000"/>
                <w:sz w:val="16"/>
              </w:rPr>
              <w:t>ERBA P.948-970</w:t>
            </w:r>
          </w:p>
        </w:tc>
        <w:tc>
          <w:tcPr>
            <w:tcW w:type="dxa" w:w="3456"/>
            <w:shd w:fill="F2F2F2" w:val="clear"/>
          </w:tcPr>
          <w:p>
            <w:pPr>
              <w:jc w:val="left"/>
            </w:pPr>
            <w:r/>
            <w:r>
              <w:rPr>
                <w:rFonts w:ascii="Calibri" w:hAnsi="Calibri"/>
                <w:b w:val="0"/>
                <w:color w:val="000000"/>
                <w:sz w:val="16"/>
              </w:rPr>
              <w:t>PS1/26 Ch.14</w:t>
            </w:r>
          </w:p>
        </w:tc>
        <w:tc>
          <w:tcPr>
            <w:tcW w:type="dxa" w:w="3456"/>
            <w:shd w:fill="F2F2F2" w:val="clear"/>
          </w:tcPr>
          <w:p>
            <w:pPr>
              <w:jc w:val="left"/>
            </w:pPr>
            <w:r/>
            <w:r>
              <w:rPr>
                <w:rFonts w:ascii="Calibri" w:hAnsi="Calibri"/>
                <w:b w:val="0"/>
                <w:color w:val="000000"/>
                <w:sz w:val="16"/>
              </w:rPr>
              <w:t>CRR3 Art 312-324</w:t>
            </w:r>
          </w:p>
        </w:tc>
      </w:tr>
      <w:tr>
        <w:tc>
          <w:tcPr>
            <w:tcW w:type="dxa" w:w="3456"/>
            <w:shd w:fill="FFFFFF" w:val="clear"/>
          </w:tcPr>
          <w:p>
            <w:pPr>
              <w:jc w:val="left"/>
            </w:pPr>
            <w:r/>
            <w:r>
              <w:rPr>
                <w:rFonts w:ascii="Calibri" w:hAnsi="Calibri"/>
                <w:b/>
                <w:color w:val="000000"/>
                <w:sz w:val="16"/>
              </w:rPr>
              <w:t>Large Exposures</w:t>
            </w:r>
          </w:p>
        </w:tc>
        <w:tc>
          <w:tcPr>
            <w:tcW w:type="dxa" w:w="3456"/>
            <w:shd w:fill="FFFFFF" w:val="clear"/>
          </w:tcPr>
          <w:p>
            <w:pPr>
              <w:jc w:val="left"/>
            </w:pPr>
            <w:r/>
            <w:r>
              <w:rPr>
                <w:rFonts w:ascii="Calibri" w:hAnsi="Calibri"/>
                <w:b w:val="0"/>
                <w:color w:val="000000"/>
                <w:sz w:val="16"/>
              </w:rPr>
              <w:t>12 CFR 252.70-78</w:t>
            </w:r>
          </w:p>
        </w:tc>
        <w:tc>
          <w:tcPr>
            <w:tcW w:type="dxa" w:w="3456"/>
            <w:shd w:fill="FFFFFF" w:val="clear"/>
          </w:tcPr>
          <w:p>
            <w:pPr>
              <w:jc w:val="left"/>
            </w:pPr>
            <w:r/>
            <w:r>
              <w:rPr>
                <w:rFonts w:ascii="Calibri" w:hAnsi="Calibri"/>
                <w:b w:val="0"/>
                <w:color w:val="000000"/>
                <w:sz w:val="16"/>
              </w:rPr>
              <w:t>PS1/26 Ch.13</w:t>
            </w:r>
          </w:p>
        </w:tc>
        <w:tc>
          <w:tcPr>
            <w:tcW w:type="dxa" w:w="3456"/>
            <w:shd w:fill="FFFFFF" w:val="clear"/>
          </w:tcPr>
          <w:p>
            <w:pPr>
              <w:jc w:val="left"/>
            </w:pPr>
            <w:r/>
            <w:r>
              <w:rPr>
                <w:rFonts w:ascii="Calibri" w:hAnsi="Calibri"/>
                <w:b w:val="0"/>
                <w:color w:val="000000"/>
                <w:sz w:val="16"/>
              </w:rPr>
              <w:t>CRR3 Art 387-403</w:t>
            </w:r>
          </w:p>
        </w:tc>
      </w:tr>
      <w:tr>
        <w:tc>
          <w:tcPr>
            <w:tcW w:type="dxa" w:w="3456"/>
            <w:shd w:fill="F2F2F2" w:val="clear"/>
          </w:tcPr>
          <w:p>
            <w:pPr>
              <w:jc w:val="left"/>
            </w:pPr>
            <w:r/>
            <w:r>
              <w:rPr>
                <w:rFonts w:ascii="Calibri" w:hAnsi="Calibri"/>
                <w:b/>
                <w:color w:val="000000"/>
                <w:sz w:val="16"/>
              </w:rPr>
              <w:t>Leverage Ratio</w:t>
            </w:r>
          </w:p>
        </w:tc>
        <w:tc>
          <w:tcPr>
            <w:tcW w:type="dxa" w:w="3456"/>
            <w:shd w:fill="F2F2F2" w:val="clear"/>
          </w:tcPr>
          <w:p>
            <w:pPr>
              <w:jc w:val="left"/>
            </w:pPr>
            <w:r/>
            <w:r>
              <w:rPr>
                <w:rFonts w:ascii="Calibri" w:hAnsi="Calibri"/>
                <w:b w:val="0"/>
                <w:color w:val="000000"/>
                <w:sz w:val="16"/>
              </w:rPr>
              <w:t>12 CFR 217.10(a)(5)</w:t>
            </w:r>
          </w:p>
        </w:tc>
        <w:tc>
          <w:tcPr>
            <w:tcW w:type="dxa" w:w="3456"/>
            <w:shd w:fill="F2F2F2" w:val="clear"/>
          </w:tcPr>
          <w:p>
            <w:pPr>
              <w:jc w:val="left"/>
            </w:pPr>
            <w:r/>
            <w:r>
              <w:rPr>
                <w:rFonts w:ascii="Calibri" w:hAnsi="Calibri"/>
                <w:b w:val="0"/>
                <w:color w:val="000000"/>
                <w:sz w:val="16"/>
              </w:rPr>
              <w:t>PS1/26 Ch.17</w:t>
            </w:r>
          </w:p>
        </w:tc>
        <w:tc>
          <w:tcPr>
            <w:tcW w:type="dxa" w:w="3456"/>
            <w:shd w:fill="F2F2F2" w:val="clear"/>
          </w:tcPr>
          <w:p>
            <w:pPr>
              <w:jc w:val="left"/>
            </w:pPr>
            <w:r/>
            <w:r>
              <w:rPr>
                <w:rFonts w:ascii="Calibri" w:hAnsi="Calibri"/>
                <w:b w:val="0"/>
                <w:color w:val="000000"/>
                <w:sz w:val="16"/>
              </w:rPr>
              <w:t>CRR3 Art 429-429g</w:t>
            </w:r>
          </w:p>
        </w:tc>
      </w:tr>
      <w:tr>
        <w:tc>
          <w:tcPr>
            <w:tcW w:type="dxa" w:w="3456"/>
            <w:shd w:fill="FFFFFF" w:val="clear"/>
          </w:tcPr>
          <w:p>
            <w:pPr>
              <w:jc w:val="left"/>
            </w:pPr>
            <w:r/>
            <w:r>
              <w:rPr>
                <w:rFonts w:ascii="Calibri" w:hAnsi="Calibri"/>
                <w:b/>
                <w:color w:val="000000"/>
                <w:sz w:val="16"/>
              </w:rPr>
              <w:t>G-SIB</w:t>
            </w:r>
          </w:p>
        </w:tc>
        <w:tc>
          <w:tcPr>
            <w:tcW w:type="dxa" w:w="3456"/>
            <w:shd w:fill="FFFFFF" w:val="clear"/>
          </w:tcPr>
          <w:p>
            <w:pPr>
              <w:jc w:val="left"/>
            </w:pPr>
            <w:r/>
            <w:r>
              <w:rPr>
                <w:rFonts w:ascii="Calibri" w:hAnsi="Calibri"/>
                <w:b w:val="0"/>
                <w:color w:val="000000"/>
                <w:sz w:val="16"/>
              </w:rPr>
              <w:t>12 CFR 217.400-405</w:t>
            </w:r>
          </w:p>
        </w:tc>
        <w:tc>
          <w:tcPr>
            <w:tcW w:type="dxa" w:w="3456"/>
            <w:shd w:fill="FFFFFF" w:val="clear"/>
          </w:tcPr>
          <w:p>
            <w:pPr>
              <w:jc w:val="left"/>
            </w:pPr>
            <w:r/>
            <w:r>
              <w:rPr>
                <w:rFonts w:ascii="Calibri" w:hAnsi="Calibri"/>
                <w:b w:val="0"/>
                <w:color w:val="000000"/>
                <w:sz w:val="16"/>
              </w:rPr>
              <w:t>PS1/26 Ch.17</w:t>
            </w:r>
          </w:p>
        </w:tc>
        <w:tc>
          <w:tcPr>
            <w:tcW w:type="dxa" w:w="3456"/>
            <w:shd w:fill="FFFFFF" w:val="clear"/>
          </w:tcPr>
          <w:p>
            <w:pPr>
              <w:jc w:val="left"/>
            </w:pPr>
            <w:r/>
            <w:r>
              <w:rPr>
                <w:rFonts w:ascii="Calibri" w:hAnsi="Calibri"/>
                <w:b w:val="0"/>
                <w:color w:val="000000"/>
                <w:sz w:val="16"/>
              </w:rPr>
              <w:t>CRD6 Art 131</w:t>
            </w:r>
          </w:p>
        </w:tc>
      </w:tr>
      <w:tr>
        <w:tc>
          <w:tcPr>
            <w:tcW w:type="dxa" w:w="3456"/>
            <w:shd w:fill="F2F2F2" w:val="clear"/>
          </w:tcPr>
          <w:p>
            <w:pPr>
              <w:jc w:val="left"/>
            </w:pPr>
            <w:r/>
            <w:r>
              <w:rPr>
                <w:rFonts w:ascii="Calibri" w:hAnsi="Calibri"/>
                <w:b/>
                <w:color w:val="000000"/>
                <w:sz w:val="16"/>
              </w:rPr>
              <w:t>Pillar 3</w:t>
            </w:r>
          </w:p>
        </w:tc>
        <w:tc>
          <w:tcPr>
            <w:tcW w:type="dxa" w:w="3456"/>
            <w:shd w:fill="F2F2F2" w:val="clear"/>
          </w:tcPr>
          <w:p>
            <w:pPr>
              <w:jc w:val="left"/>
            </w:pPr>
            <w:r/>
            <w:r>
              <w:rPr>
                <w:rFonts w:ascii="Calibri" w:hAnsi="Calibri"/>
                <w:b w:val="0"/>
                <w:color w:val="000000"/>
                <w:sz w:val="16"/>
              </w:rPr>
              <w:t>ERBA P.1196-1210</w:t>
            </w:r>
          </w:p>
        </w:tc>
        <w:tc>
          <w:tcPr>
            <w:tcW w:type="dxa" w:w="3456"/>
            <w:shd w:fill="F2F2F2" w:val="clear"/>
          </w:tcPr>
          <w:p>
            <w:pPr>
              <w:jc w:val="left"/>
            </w:pPr>
            <w:r/>
            <w:r>
              <w:rPr>
                <w:rFonts w:ascii="Calibri" w:hAnsi="Calibri"/>
                <w:b w:val="0"/>
                <w:color w:val="000000"/>
                <w:sz w:val="16"/>
              </w:rPr>
              <w:t>PS1/26 Ch.18</w:t>
            </w:r>
          </w:p>
        </w:tc>
        <w:tc>
          <w:tcPr>
            <w:tcW w:type="dxa" w:w="3456"/>
            <w:shd w:fill="F2F2F2" w:val="clear"/>
          </w:tcPr>
          <w:p>
            <w:pPr>
              <w:jc w:val="left"/>
            </w:pPr>
            <w:r/>
            <w:r>
              <w:rPr>
                <w:rFonts w:ascii="Calibri" w:hAnsi="Calibri"/>
                <w:b w:val="0"/>
                <w:color w:val="000000"/>
                <w:sz w:val="16"/>
              </w:rPr>
              <w:t>CRR3 Art 431-455</w:t>
            </w:r>
          </w:p>
        </w:tc>
      </w:tr>
      <w:tr>
        <w:tc>
          <w:tcPr>
            <w:tcW w:type="dxa" w:w="3456"/>
            <w:shd w:fill="FFFFFF" w:val="clear"/>
          </w:tcPr>
          <w:p>
            <w:pPr>
              <w:jc w:val="left"/>
            </w:pPr>
            <w:r/>
            <w:r>
              <w:rPr>
                <w:rFonts w:ascii="Calibri" w:hAnsi="Calibri"/>
                <w:b/>
                <w:color w:val="000000"/>
                <w:sz w:val="16"/>
              </w:rPr>
              <w:t>LCR</w:t>
            </w:r>
          </w:p>
        </w:tc>
        <w:tc>
          <w:tcPr>
            <w:tcW w:type="dxa" w:w="3456"/>
            <w:shd w:fill="FFFFFF" w:val="clear"/>
          </w:tcPr>
          <w:p>
            <w:pPr>
              <w:jc w:val="left"/>
            </w:pPr>
            <w:r/>
            <w:r>
              <w:rPr>
                <w:rFonts w:ascii="Calibri" w:hAnsi="Calibri"/>
                <w:b w:val="0"/>
                <w:color w:val="000000"/>
                <w:sz w:val="16"/>
              </w:rPr>
              <w:t>12 CFR 249</w:t>
            </w:r>
          </w:p>
        </w:tc>
        <w:tc>
          <w:tcPr>
            <w:tcW w:type="dxa" w:w="3456"/>
            <w:shd w:fill="FFFFFF" w:val="clear"/>
          </w:tcPr>
          <w:p>
            <w:pPr>
              <w:jc w:val="left"/>
            </w:pPr>
            <w:r/>
            <w:r>
              <w:rPr>
                <w:rFonts w:ascii="Calibri" w:hAnsi="Calibri"/>
                <w:b w:val="0"/>
                <w:color w:val="000000"/>
                <w:sz w:val="16"/>
              </w:rPr>
              <w:t>PRA PS2/18</w:t>
            </w:r>
          </w:p>
        </w:tc>
        <w:tc>
          <w:tcPr>
            <w:tcW w:type="dxa" w:w="3456"/>
            <w:shd w:fill="FFFFFF" w:val="clear"/>
          </w:tcPr>
          <w:p>
            <w:pPr>
              <w:jc w:val="left"/>
            </w:pPr>
            <w:r/>
            <w:r>
              <w:rPr>
                <w:rFonts w:ascii="Calibri" w:hAnsi="Calibri"/>
                <w:b w:val="0"/>
                <w:color w:val="000000"/>
                <w:sz w:val="16"/>
              </w:rPr>
              <w:t>LCR Del. Act 2015/61</w:t>
            </w:r>
          </w:p>
        </w:tc>
      </w:tr>
      <w:tr>
        <w:tc>
          <w:tcPr>
            <w:tcW w:type="dxa" w:w="3456"/>
            <w:shd w:fill="F2F2F2" w:val="clear"/>
          </w:tcPr>
          <w:p>
            <w:pPr>
              <w:jc w:val="left"/>
            </w:pPr>
            <w:r/>
            <w:r>
              <w:rPr>
                <w:rFonts w:ascii="Calibri" w:hAnsi="Calibri"/>
                <w:b/>
                <w:color w:val="000000"/>
                <w:sz w:val="16"/>
              </w:rPr>
              <w:t>NSFR</w:t>
            </w:r>
          </w:p>
        </w:tc>
        <w:tc>
          <w:tcPr>
            <w:tcW w:type="dxa" w:w="3456"/>
            <w:shd w:fill="F2F2F2" w:val="clear"/>
          </w:tcPr>
          <w:p>
            <w:pPr>
              <w:jc w:val="left"/>
            </w:pPr>
            <w:r/>
            <w:r>
              <w:rPr>
                <w:rFonts w:ascii="Calibri" w:hAnsi="Calibri"/>
                <w:b w:val="0"/>
                <w:color w:val="000000"/>
                <w:sz w:val="16"/>
              </w:rPr>
              <w:t>12 CFR 249.100+</w:t>
            </w:r>
          </w:p>
        </w:tc>
        <w:tc>
          <w:tcPr>
            <w:tcW w:type="dxa" w:w="3456"/>
            <w:shd w:fill="F2F2F2" w:val="clear"/>
          </w:tcPr>
          <w:p>
            <w:pPr>
              <w:jc w:val="left"/>
            </w:pPr>
            <w:r/>
            <w:r>
              <w:rPr>
                <w:rFonts w:ascii="Calibri" w:hAnsi="Calibri"/>
                <w:b w:val="0"/>
                <w:color w:val="000000"/>
                <w:sz w:val="16"/>
              </w:rPr>
              <w:t>PRA PS22/21</w:t>
            </w:r>
          </w:p>
        </w:tc>
        <w:tc>
          <w:tcPr>
            <w:tcW w:type="dxa" w:w="3456"/>
            <w:shd w:fill="F2F2F2" w:val="clear"/>
          </w:tcPr>
          <w:p>
            <w:pPr>
              <w:jc w:val="left"/>
            </w:pPr>
            <w:r/>
            <w:r>
              <w:rPr>
                <w:rFonts w:ascii="Calibri" w:hAnsi="Calibri"/>
                <w:b w:val="0"/>
                <w:color w:val="000000"/>
                <w:sz w:val="16"/>
              </w:rPr>
              <w:t>CRR3 Art 413-428</w:t>
            </w:r>
          </w:p>
        </w:tc>
      </w:tr>
      <w:tr>
        <w:tc>
          <w:tcPr>
            <w:tcW w:type="dxa" w:w="3456"/>
            <w:shd w:fill="FFFFFF" w:val="clear"/>
          </w:tcPr>
          <w:p>
            <w:pPr>
              <w:jc w:val="left"/>
            </w:pPr>
            <w:r/>
            <w:r>
              <w:rPr>
                <w:rFonts w:ascii="Calibri" w:hAnsi="Calibri"/>
                <w:b/>
                <w:color w:val="000000"/>
                <w:sz w:val="16"/>
              </w:rPr>
              <w:t>ICAAP/Pillar 2</w:t>
            </w:r>
          </w:p>
        </w:tc>
        <w:tc>
          <w:tcPr>
            <w:tcW w:type="dxa" w:w="3456"/>
            <w:shd w:fill="FFFFFF" w:val="clear"/>
          </w:tcPr>
          <w:p>
            <w:pPr>
              <w:jc w:val="left"/>
            </w:pPr>
            <w:r/>
            <w:r>
              <w:rPr>
                <w:rFonts w:ascii="Calibri" w:hAnsi="Calibri"/>
                <w:b w:val="0"/>
                <w:color w:val="000000"/>
                <w:sz w:val="16"/>
              </w:rPr>
              <w:t>12 CFR 252.56 (CCAR)</w:t>
            </w:r>
          </w:p>
        </w:tc>
        <w:tc>
          <w:tcPr>
            <w:tcW w:type="dxa" w:w="3456"/>
            <w:shd w:fill="FFFFFF" w:val="clear"/>
          </w:tcPr>
          <w:p>
            <w:pPr>
              <w:jc w:val="left"/>
            </w:pPr>
            <w:r/>
            <w:r>
              <w:rPr>
                <w:rFonts w:ascii="Calibri" w:hAnsi="Calibri"/>
                <w:b w:val="0"/>
                <w:color w:val="000000"/>
                <w:sz w:val="16"/>
              </w:rPr>
              <w:t>PRA SS31/15</w:t>
            </w:r>
          </w:p>
        </w:tc>
        <w:tc>
          <w:tcPr>
            <w:tcW w:type="dxa" w:w="3456"/>
            <w:shd w:fill="FFFFFF" w:val="clear"/>
          </w:tcPr>
          <w:p>
            <w:pPr>
              <w:jc w:val="left"/>
            </w:pPr>
            <w:r/>
            <w:r>
              <w:rPr>
                <w:rFonts w:ascii="Calibri" w:hAnsi="Calibri"/>
                <w:b w:val="0"/>
                <w:color w:val="000000"/>
                <w:sz w:val="16"/>
              </w:rPr>
              <w:t>CRD6 Art 73-98</w:t>
            </w:r>
          </w:p>
        </w:tc>
      </w:tr>
      <w:tr>
        <w:tc>
          <w:tcPr>
            <w:tcW w:type="dxa" w:w="3456"/>
            <w:shd w:fill="F2F2F2" w:val="clear"/>
          </w:tcPr>
          <w:p>
            <w:pPr>
              <w:jc w:val="left"/>
            </w:pPr>
            <w:r/>
            <w:r>
              <w:rPr>
                <w:rFonts w:ascii="Calibri" w:hAnsi="Calibri"/>
                <w:b/>
                <w:color w:val="000000"/>
                <w:sz w:val="16"/>
              </w:rPr>
              <w:t>Reporting</w:t>
            </w:r>
          </w:p>
        </w:tc>
        <w:tc>
          <w:tcPr>
            <w:tcW w:type="dxa" w:w="3456"/>
            <w:shd w:fill="F2F2F2" w:val="clear"/>
          </w:tcPr>
          <w:p>
            <w:pPr>
              <w:jc w:val="left"/>
            </w:pPr>
            <w:r/>
            <w:r>
              <w:rPr>
                <w:rFonts w:ascii="Calibri" w:hAnsi="Calibri"/>
                <w:b w:val="0"/>
                <w:color w:val="000000"/>
                <w:sz w:val="16"/>
              </w:rPr>
              <w:t>FR Y-9C/Y-14A/Y-15</w:t>
            </w:r>
          </w:p>
        </w:tc>
        <w:tc>
          <w:tcPr>
            <w:tcW w:type="dxa" w:w="3456"/>
            <w:shd w:fill="F2F2F2" w:val="clear"/>
          </w:tcPr>
          <w:p>
            <w:pPr>
              <w:jc w:val="left"/>
            </w:pPr>
            <w:r/>
            <w:r>
              <w:rPr>
                <w:rFonts w:ascii="Calibri" w:hAnsi="Calibri"/>
                <w:b w:val="0"/>
                <w:color w:val="000000"/>
                <w:sz w:val="16"/>
              </w:rPr>
              <w:t>BoE stat returns</w:t>
            </w:r>
          </w:p>
        </w:tc>
        <w:tc>
          <w:tcPr>
            <w:tcW w:type="dxa" w:w="3456"/>
            <w:shd w:fill="F2F2F2" w:val="clear"/>
          </w:tcPr>
          <w:p>
            <w:pPr>
              <w:jc w:val="left"/>
            </w:pPr>
            <w:r/>
            <w:r>
              <w:rPr>
                <w:rFonts w:ascii="Calibri" w:hAnsi="Calibri"/>
                <w:b w:val="0"/>
                <w:color w:val="000000"/>
                <w:sz w:val="16"/>
              </w:rPr>
              <w:t>COREP/FINREP</w:t>
            </w:r>
          </w:p>
        </w:tc>
      </w:tr>
      <w:tr>
        <w:tc>
          <w:tcPr>
            <w:tcW w:type="dxa" w:w="3456"/>
            <w:shd w:fill="FFFFFF" w:val="clear"/>
          </w:tcPr>
          <w:p>
            <w:pPr>
              <w:jc w:val="left"/>
            </w:pPr>
            <w:r/>
            <w:r>
              <w:rPr>
                <w:rFonts w:ascii="Calibri" w:hAnsi="Calibri"/>
                <w:b/>
                <w:color w:val="000000"/>
                <w:sz w:val="16"/>
              </w:rPr>
              <w:t>Crypto-Assets</w:t>
            </w:r>
          </w:p>
        </w:tc>
        <w:tc>
          <w:tcPr>
            <w:tcW w:type="dxa" w:w="3456"/>
            <w:shd w:fill="FFFFFF" w:val="clear"/>
          </w:tcPr>
          <w:p>
            <w:pPr>
              <w:jc w:val="left"/>
            </w:pPr>
            <w:r/>
            <w:r>
              <w:rPr>
                <w:rFonts w:ascii="Calibri" w:hAnsi="Calibri"/>
                <w:b w:val="0"/>
                <w:color w:val="000000"/>
                <w:sz w:val="16"/>
              </w:rPr>
              <w:t>Interagency guidance 2023</w:t>
            </w:r>
          </w:p>
        </w:tc>
        <w:tc>
          <w:tcPr>
            <w:tcW w:type="dxa" w:w="3456"/>
            <w:shd w:fill="FFFFFF" w:val="clear"/>
          </w:tcPr>
          <w:p>
            <w:pPr>
              <w:jc w:val="left"/>
            </w:pPr>
            <w:r/>
            <w:r>
              <w:rPr>
                <w:rFonts w:ascii="Calibri" w:hAnsi="Calibri"/>
                <w:b w:val="0"/>
                <w:color w:val="000000"/>
                <w:sz w:val="16"/>
              </w:rPr>
              <w:t>PRA Dear CEO 2022</w:t>
            </w:r>
          </w:p>
        </w:tc>
        <w:tc>
          <w:tcPr>
            <w:tcW w:type="dxa" w:w="3456"/>
            <w:shd w:fill="FFFFFF" w:val="clear"/>
          </w:tcPr>
          <w:p>
            <w:pPr>
              <w:jc w:val="left"/>
            </w:pPr>
            <w:r/>
            <w:r>
              <w:rPr>
                <w:rFonts w:ascii="Calibri" w:hAnsi="Calibri"/>
                <w:b w:val="0"/>
                <w:color w:val="000000"/>
                <w:sz w:val="16"/>
              </w:rPr>
              <w:t>CRR3 Art 501c</w:t>
            </w:r>
          </w:p>
        </w:tc>
      </w:tr>
      <w:tr>
        <w:tc>
          <w:tcPr>
            <w:tcW w:type="dxa" w:w="3456"/>
            <w:shd w:fill="F2F2F2" w:val="clear"/>
          </w:tcPr>
          <w:p>
            <w:pPr>
              <w:jc w:val="left"/>
            </w:pPr>
            <w:r/>
            <w:r>
              <w:rPr>
                <w:rFonts w:ascii="Calibri" w:hAnsi="Calibri"/>
                <w:b/>
                <w:color w:val="000000"/>
                <w:sz w:val="16"/>
              </w:rPr>
              <w:t>ESG</w:t>
            </w:r>
          </w:p>
        </w:tc>
        <w:tc>
          <w:tcPr>
            <w:tcW w:type="dxa" w:w="3456"/>
            <w:shd w:fill="F2F2F2" w:val="clear"/>
          </w:tcPr>
          <w:p>
            <w:pPr>
              <w:jc w:val="left"/>
            </w:pPr>
            <w:r/>
            <w:r>
              <w:rPr>
                <w:rFonts w:ascii="Calibri" w:hAnsi="Calibri"/>
                <w:b w:val="0"/>
                <w:color w:val="000000"/>
                <w:sz w:val="16"/>
              </w:rPr>
              <w:t>OCC guidance / SR pending</w:t>
            </w:r>
          </w:p>
        </w:tc>
        <w:tc>
          <w:tcPr>
            <w:tcW w:type="dxa" w:w="3456"/>
            <w:shd w:fill="F2F2F2" w:val="clear"/>
          </w:tcPr>
          <w:p>
            <w:pPr>
              <w:jc w:val="left"/>
            </w:pPr>
            <w:r/>
            <w:r>
              <w:rPr>
                <w:rFonts w:ascii="Calibri" w:hAnsi="Calibri"/>
                <w:b w:val="0"/>
                <w:color w:val="000000"/>
                <w:sz w:val="16"/>
              </w:rPr>
              <w:t>PRA SS3/19</w:t>
            </w:r>
          </w:p>
        </w:tc>
        <w:tc>
          <w:tcPr>
            <w:tcW w:type="dxa" w:w="3456"/>
            <w:shd w:fill="F2F2F2" w:val="clear"/>
          </w:tcPr>
          <w:p>
            <w:pPr>
              <w:jc w:val="left"/>
            </w:pPr>
            <w:r/>
            <w:r>
              <w:rPr>
                <w:rFonts w:ascii="Calibri" w:hAnsi="Calibri"/>
                <w:b w:val="0"/>
                <w:color w:val="000000"/>
                <w:sz w:val="16"/>
              </w:rPr>
              <w:t>CRD6 Art 73(3), CRR3 Art 449a</w:t>
            </w:r>
          </w:p>
        </w:tc>
      </w:tr>
      <w:tr>
        <w:tc>
          <w:tcPr>
            <w:tcW w:type="dxa" w:w="3456"/>
            <w:shd w:fill="FFFFFF" w:val="clear"/>
          </w:tcPr>
          <w:p>
            <w:pPr>
              <w:jc w:val="left"/>
            </w:pPr>
            <w:r/>
            <w:r>
              <w:rPr>
                <w:rFonts w:ascii="Calibri" w:hAnsi="Calibri"/>
                <w:b/>
                <w:color w:val="000000"/>
                <w:sz w:val="16"/>
              </w:rPr>
              <w:t>Output Floor</w:t>
            </w:r>
          </w:p>
        </w:tc>
        <w:tc>
          <w:tcPr>
            <w:tcW w:type="dxa" w:w="3456"/>
            <w:shd w:fill="FFFFFF" w:val="clear"/>
          </w:tcPr>
          <w:p>
            <w:pPr>
              <w:jc w:val="left"/>
            </w:pPr>
            <w:r/>
            <w:r>
              <w:rPr>
                <w:rFonts w:ascii="Calibri" w:hAnsi="Calibri"/>
                <w:b w:val="0"/>
                <w:color w:val="000000"/>
                <w:sz w:val="16"/>
              </w:rPr>
              <w:t>N/A (no IRB)</w:t>
            </w:r>
          </w:p>
        </w:tc>
        <w:tc>
          <w:tcPr>
            <w:tcW w:type="dxa" w:w="3456"/>
            <w:shd w:fill="FFFFFF" w:val="clear"/>
          </w:tcPr>
          <w:p>
            <w:pPr>
              <w:jc w:val="left"/>
            </w:pPr>
            <w:r/>
            <w:r>
              <w:rPr>
                <w:rFonts w:ascii="Calibri" w:hAnsi="Calibri"/>
                <w:b w:val="0"/>
                <w:color w:val="000000"/>
                <w:sz w:val="16"/>
              </w:rPr>
              <w:t>PS1/26 Ch.11.3</w:t>
            </w:r>
          </w:p>
        </w:tc>
        <w:tc>
          <w:tcPr>
            <w:tcW w:type="dxa" w:w="3456"/>
            <w:shd w:fill="FFFFFF" w:val="clear"/>
          </w:tcPr>
          <w:p>
            <w:pPr>
              <w:jc w:val="left"/>
            </w:pPr>
            <w:r/>
            <w:r>
              <w:rPr>
                <w:rFonts w:ascii="Calibri" w:hAnsi="Calibri"/>
                <w:b w:val="0"/>
                <w:color w:val="000000"/>
                <w:sz w:val="16"/>
              </w:rPr>
              <w:t>CRR3 Art 92a</w:t>
            </w:r>
          </w:p>
        </w:tc>
      </w:tr>
      <w:tr>
        <w:tc>
          <w:tcPr>
            <w:tcW w:type="dxa" w:w="3456"/>
            <w:shd w:fill="F2F2F2" w:val="clear"/>
          </w:tcPr>
          <w:p>
            <w:pPr>
              <w:jc w:val="left"/>
            </w:pPr>
            <w:r/>
            <w:r>
              <w:rPr>
                <w:rFonts w:ascii="Calibri" w:hAnsi="Calibri"/>
                <w:b/>
                <w:color w:val="000000"/>
                <w:sz w:val="16"/>
              </w:rPr>
              <w:t>SCB/CCB/CCyB</w:t>
            </w:r>
          </w:p>
        </w:tc>
        <w:tc>
          <w:tcPr>
            <w:tcW w:type="dxa" w:w="3456"/>
            <w:shd w:fill="F2F2F2" w:val="clear"/>
          </w:tcPr>
          <w:p>
            <w:pPr>
              <w:jc w:val="left"/>
            </w:pPr>
            <w:r/>
            <w:r>
              <w:rPr>
                <w:rFonts w:ascii="Calibri" w:hAnsi="Calibri"/>
                <w:b w:val="0"/>
                <w:color w:val="000000"/>
                <w:sz w:val="16"/>
              </w:rPr>
              <w:t>12 CFR 225.8(d) / 217.11</w:t>
            </w:r>
          </w:p>
        </w:tc>
        <w:tc>
          <w:tcPr>
            <w:tcW w:type="dxa" w:w="3456"/>
            <w:shd w:fill="F2F2F2" w:val="clear"/>
          </w:tcPr>
          <w:p>
            <w:pPr>
              <w:jc w:val="left"/>
            </w:pPr>
            <w:r/>
            <w:r>
              <w:rPr>
                <w:rFonts w:ascii="Calibri" w:hAnsi="Calibri"/>
                <w:b w:val="0"/>
                <w:color w:val="000000"/>
                <w:sz w:val="16"/>
              </w:rPr>
              <w:t>CRD equiv + FPC</w:t>
            </w:r>
          </w:p>
        </w:tc>
        <w:tc>
          <w:tcPr>
            <w:tcW w:type="dxa" w:w="3456"/>
            <w:shd w:fill="F2F2F2" w:val="clear"/>
          </w:tcPr>
          <w:p>
            <w:pPr>
              <w:jc w:val="left"/>
            </w:pPr>
            <w:r/>
            <w:r>
              <w:rPr>
                <w:rFonts w:ascii="Calibri" w:hAnsi="Calibri"/>
                <w:b w:val="0"/>
                <w:color w:val="000000"/>
                <w:sz w:val="16"/>
              </w:rPr>
              <w:t>CRD6 Art 128-140</w:t>
            </w:r>
          </w:p>
        </w:tc>
      </w:tr>
    </w:tbl>
    <w:p>
      <w:r>
        <w:br w:type="page"/>
      </w:r>
    </w:p>
    <w:p>
      <w:r>
        <w:rPr>
          <w:rFonts w:ascii="Calibri" w:hAnsi="Calibri"/>
          <w:b/>
          <w:color w:val="C8962E"/>
          <w:sz w:val="28"/>
        </w:rPr>
        <w:t>SECTION B</w:t>
      </w:r>
    </w:p>
    <w:p>
      <w:r>
        <w:rPr>
          <w:rFonts w:ascii="Calibri" w:hAnsi="Calibri"/>
          <w:b/>
          <w:color w:val="002060"/>
          <w:sz w:val="32"/>
        </w:rPr>
        <w:t>Appendix: Abbreviations &amp; Glossary</w:t>
      </w:r>
    </w:p>
    <w:p>
      <w:r>
        <w:rPr>
          <w:color w:val="C8962E"/>
          <w:sz w:val="12"/>
        </w:rPr>
        <w:t>________________________________________________________________________________________________________________________</w:t>
      </w:r>
    </w:p>
    <w:tbl>
      <w:tblPr>
        <w:tblW w:type="auto" w:w="0"/>
        <w:jc w:val="center"/>
        <w:tblLayout w:type="fixed"/>
        <w:tblLook w:firstColumn="1" w:firstRow="1" w:lastColumn="0" w:lastRow="0" w:noHBand="0" w:noVBand="1" w:val="04A0"/>
      </w:tblPr>
      <w:tblGrid>
        <w:gridCol w:w="6912"/>
        <w:gridCol w:w="6912"/>
      </w:tblGrid>
      <w:tr>
        <w:tc>
          <w:tcPr>
            <w:tcW w:type="dxa" w:w="6912"/>
            <w:shd w:fill="002060" w:val="clear"/>
            <w:tcW w:w="4320" w:type="dxa"/>
          </w:tcPr>
          <w:p>
            <w:pPr>
              <w:jc w:val="center"/>
            </w:pPr>
            <w:r/>
            <w:r>
              <w:rPr>
                <w:rFonts w:ascii="Calibri" w:hAnsi="Calibri"/>
                <w:b/>
                <w:color w:val="FFFFFF"/>
                <w:sz w:val="16"/>
              </w:rPr>
              <w:t>Abbreviation</w:t>
            </w:r>
          </w:p>
        </w:tc>
        <w:tc>
          <w:tcPr>
            <w:tcW w:type="dxa" w:w="6912"/>
            <w:shd w:fill="002060" w:val="clear"/>
            <w:tcW w:w="9360" w:type="dxa"/>
          </w:tcPr>
          <w:p>
            <w:pPr>
              <w:jc w:val="center"/>
            </w:pPr>
            <w:r/>
            <w:r>
              <w:rPr>
                <w:rFonts w:ascii="Calibri" w:hAnsi="Calibri"/>
                <w:b/>
                <w:color w:val="FFFFFF"/>
                <w:sz w:val="16"/>
              </w:rPr>
              <w:t>Full Term</w:t>
            </w:r>
          </w:p>
        </w:tc>
      </w:tr>
      <w:tr>
        <w:tc>
          <w:tcPr>
            <w:tcW w:type="dxa" w:w="6912"/>
            <w:shd w:fill="F2F2F2" w:val="clear"/>
          </w:tcPr>
          <w:p>
            <w:pPr>
              <w:jc w:val="left"/>
            </w:pPr>
            <w:r/>
            <w:r>
              <w:rPr>
                <w:rFonts w:ascii="Calibri" w:hAnsi="Calibri"/>
                <w:b/>
                <w:color w:val="000000"/>
                <w:sz w:val="16"/>
              </w:rPr>
              <w:t>ADC</w:t>
            </w:r>
          </w:p>
        </w:tc>
        <w:tc>
          <w:tcPr>
            <w:tcW w:type="dxa" w:w="6912"/>
            <w:shd w:fill="F2F2F2" w:val="clear"/>
          </w:tcPr>
          <w:p>
            <w:pPr>
              <w:jc w:val="left"/>
            </w:pPr>
            <w:r/>
            <w:r>
              <w:rPr>
                <w:rFonts w:ascii="Calibri" w:hAnsi="Calibri"/>
                <w:b w:val="0"/>
                <w:color w:val="000000"/>
                <w:sz w:val="16"/>
              </w:rPr>
              <w:t>Acquisition, Development &amp; Construction</w:t>
            </w:r>
          </w:p>
        </w:tc>
      </w:tr>
      <w:tr>
        <w:tc>
          <w:tcPr>
            <w:tcW w:type="dxa" w:w="6912"/>
            <w:shd w:fill="FFFFFF" w:val="clear"/>
          </w:tcPr>
          <w:p>
            <w:pPr>
              <w:jc w:val="left"/>
            </w:pPr>
            <w:r/>
            <w:r>
              <w:rPr>
                <w:rFonts w:ascii="Calibri" w:hAnsi="Calibri"/>
                <w:b/>
                <w:color w:val="000000"/>
                <w:sz w:val="16"/>
              </w:rPr>
              <w:t>AT1</w:t>
            </w:r>
          </w:p>
        </w:tc>
        <w:tc>
          <w:tcPr>
            <w:tcW w:type="dxa" w:w="6912"/>
            <w:shd w:fill="FFFFFF" w:val="clear"/>
          </w:tcPr>
          <w:p>
            <w:pPr>
              <w:jc w:val="left"/>
            </w:pPr>
            <w:r/>
            <w:r>
              <w:rPr>
                <w:rFonts w:ascii="Calibri" w:hAnsi="Calibri"/>
                <w:b w:val="0"/>
                <w:color w:val="000000"/>
                <w:sz w:val="16"/>
              </w:rPr>
              <w:t>Additional Tier 1 Capital</w:t>
            </w:r>
          </w:p>
        </w:tc>
      </w:tr>
      <w:tr>
        <w:tc>
          <w:tcPr>
            <w:tcW w:type="dxa" w:w="6912"/>
            <w:shd w:fill="F2F2F2" w:val="clear"/>
          </w:tcPr>
          <w:p>
            <w:pPr>
              <w:jc w:val="left"/>
            </w:pPr>
            <w:r/>
            <w:r>
              <w:rPr>
                <w:rFonts w:ascii="Calibri" w:hAnsi="Calibri"/>
                <w:b/>
                <w:color w:val="000000"/>
                <w:sz w:val="16"/>
              </w:rPr>
              <w:t>AOCI</w:t>
            </w:r>
          </w:p>
        </w:tc>
        <w:tc>
          <w:tcPr>
            <w:tcW w:type="dxa" w:w="6912"/>
            <w:shd w:fill="F2F2F2" w:val="clear"/>
          </w:tcPr>
          <w:p>
            <w:pPr>
              <w:jc w:val="left"/>
            </w:pPr>
            <w:r/>
            <w:r>
              <w:rPr>
                <w:rFonts w:ascii="Calibri" w:hAnsi="Calibri"/>
                <w:b w:val="0"/>
                <w:color w:val="000000"/>
                <w:sz w:val="16"/>
              </w:rPr>
              <w:t>Accumulated Other Comprehensive Income</w:t>
            </w:r>
          </w:p>
        </w:tc>
      </w:tr>
      <w:tr>
        <w:tc>
          <w:tcPr>
            <w:tcW w:type="dxa" w:w="6912"/>
            <w:shd w:fill="FFFFFF" w:val="clear"/>
          </w:tcPr>
          <w:p>
            <w:pPr>
              <w:jc w:val="left"/>
            </w:pPr>
            <w:r/>
            <w:r>
              <w:rPr>
                <w:rFonts w:ascii="Calibri" w:hAnsi="Calibri"/>
                <w:b/>
                <w:color w:val="000000"/>
                <w:sz w:val="16"/>
              </w:rPr>
              <w:t>BA-CVA</w:t>
            </w:r>
          </w:p>
        </w:tc>
        <w:tc>
          <w:tcPr>
            <w:tcW w:type="dxa" w:w="6912"/>
            <w:shd w:fill="FFFFFF" w:val="clear"/>
          </w:tcPr>
          <w:p>
            <w:pPr>
              <w:jc w:val="left"/>
            </w:pPr>
            <w:r/>
            <w:r>
              <w:rPr>
                <w:rFonts w:ascii="Calibri" w:hAnsi="Calibri"/>
                <w:b w:val="0"/>
                <w:color w:val="000000"/>
                <w:sz w:val="16"/>
              </w:rPr>
              <w:t>Basic Approach for CVA Risk</w:t>
            </w:r>
          </w:p>
        </w:tc>
      </w:tr>
      <w:tr>
        <w:tc>
          <w:tcPr>
            <w:tcW w:type="dxa" w:w="6912"/>
            <w:shd w:fill="F2F2F2" w:val="clear"/>
          </w:tcPr>
          <w:p>
            <w:pPr>
              <w:jc w:val="left"/>
            </w:pPr>
            <w:r/>
            <w:r>
              <w:rPr>
                <w:rFonts w:ascii="Calibri" w:hAnsi="Calibri"/>
                <w:b/>
                <w:color w:val="000000"/>
                <w:sz w:val="16"/>
              </w:rPr>
              <w:t>BCBS</w:t>
            </w:r>
          </w:p>
        </w:tc>
        <w:tc>
          <w:tcPr>
            <w:tcW w:type="dxa" w:w="6912"/>
            <w:shd w:fill="F2F2F2" w:val="clear"/>
          </w:tcPr>
          <w:p>
            <w:pPr>
              <w:jc w:val="left"/>
            </w:pPr>
            <w:r/>
            <w:r>
              <w:rPr>
                <w:rFonts w:ascii="Calibri" w:hAnsi="Calibri"/>
                <w:b w:val="0"/>
                <w:color w:val="000000"/>
                <w:sz w:val="16"/>
              </w:rPr>
              <w:t>Basel Committee on Banking Supervision</w:t>
            </w:r>
          </w:p>
        </w:tc>
      </w:tr>
      <w:tr>
        <w:tc>
          <w:tcPr>
            <w:tcW w:type="dxa" w:w="6912"/>
            <w:shd w:fill="FFFFFF" w:val="clear"/>
          </w:tcPr>
          <w:p>
            <w:pPr>
              <w:jc w:val="left"/>
            </w:pPr>
            <w:r/>
            <w:r>
              <w:rPr>
                <w:rFonts w:ascii="Calibri" w:hAnsi="Calibri"/>
                <w:b/>
                <w:color w:val="000000"/>
                <w:sz w:val="16"/>
              </w:rPr>
              <w:t>BI</w:t>
            </w:r>
          </w:p>
        </w:tc>
        <w:tc>
          <w:tcPr>
            <w:tcW w:type="dxa" w:w="6912"/>
            <w:shd w:fill="FFFFFF" w:val="clear"/>
          </w:tcPr>
          <w:p>
            <w:pPr>
              <w:jc w:val="left"/>
            </w:pPr>
            <w:r/>
            <w:r>
              <w:rPr>
                <w:rFonts w:ascii="Calibri" w:hAnsi="Calibri"/>
                <w:b w:val="0"/>
                <w:color w:val="000000"/>
                <w:sz w:val="16"/>
              </w:rPr>
              <w:t>Business Indicator (Operational Risk)</w:t>
            </w:r>
          </w:p>
        </w:tc>
      </w:tr>
      <w:tr>
        <w:tc>
          <w:tcPr>
            <w:tcW w:type="dxa" w:w="6912"/>
            <w:shd w:fill="F2F2F2" w:val="clear"/>
          </w:tcPr>
          <w:p>
            <w:pPr>
              <w:jc w:val="left"/>
            </w:pPr>
            <w:r/>
            <w:r>
              <w:rPr>
                <w:rFonts w:ascii="Calibri" w:hAnsi="Calibri"/>
                <w:b/>
                <w:color w:val="000000"/>
                <w:sz w:val="16"/>
              </w:rPr>
              <w:t>BIC</w:t>
            </w:r>
          </w:p>
        </w:tc>
        <w:tc>
          <w:tcPr>
            <w:tcW w:type="dxa" w:w="6912"/>
            <w:shd w:fill="F2F2F2" w:val="clear"/>
          </w:tcPr>
          <w:p>
            <w:pPr>
              <w:jc w:val="left"/>
            </w:pPr>
            <w:r/>
            <w:r>
              <w:rPr>
                <w:rFonts w:ascii="Calibri" w:hAnsi="Calibri"/>
                <w:b w:val="0"/>
                <w:color w:val="000000"/>
                <w:sz w:val="16"/>
              </w:rPr>
              <w:t>Business Indicator Component</w:t>
            </w:r>
          </w:p>
        </w:tc>
      </w:tr>
      <w:tr>
        <w:tc>
          <w:tcPr>
            <w:tcW w:type="dxa" w:w="6912"/>
            <w:shd w:fill="FFFFFF" w:val="clear"/>
          </w:tcPr>
          <w:p>
            <w:pPr>
              <w:jc w:val="left"/>
            </w:pPr>
            <w:r/>
            <w:r>
              <w:rPr>
                <w:rFonts w:ascii="Calibri" w:hAnsi="Calibri"/>
                <w:b/>
                <w:color w:val="000000"/>
                <w:sz w:val="16"/>
              </w:rPr>
              <w:t>CCAR</w:t>
            </w:r>
          </w:p>
        </w:tc>
        <w:tc>
          <w:tcPr>
            <w:tcW w:type="dxa" w:w="6912"/>
            <w:shd w:fill="FFFFFF" w:val="clear"/>
          </w:tcPr>
          <w:p>
            <w:pPr>
              <w:jc w:val="left"/>
            </w:pPr>
            <w:r/>
            <w:r>
              <w:rPr>
                <w:rFonts w:ascii="Calibri" w:hAnsi="Calibri"/>
                <w:b w:val="0"/>
                <w:color w:val="000000"/>
                <w:sz w:val="16"/>
              </w:rPr>
              <w:t>Comprehensive Capital Analysis and Review</w:t>
            </w:r>
          </w:p>
        </w:tc>
      </w:tr>
      <w:tr>
        <w:tc>
          <w:tcPr>
            <w:tcW w:type="dxa" w:w="6912"/>
            <w:shd w:fill="F2F2F2" w:val="clear"/>
          </w:tcPr>
          <w:p>
            <w:pPr>
              <w:jc w:val="left"/>
            </w:pPr>
            <w:r/>
            <w:r>
              <w:rPr>
                <w:rFonts w:ascii="Calibri" w:hAnsi="Calibri"/>
                <w:b/>
                <w:color w:val="000000"/>
                <w:sz w:val="16"/>
              </w:rPr>
              <w:t>CCB</w:t>
            </w:r>
          </w:p>
        </w:tc>
        <w:tc>
          <w:tcPr>
            <w:tcW w:type="dxa" w:w="6912"/>
            <w:shd w:fill="F2F2F2" w:val="clear"/>
          </w:tcPr>
          <w:p>
            <w:pPr>
              <w:jc w:val="left"/>
            </w:pPr>
            <w:r/>
            <w:r>
              <w:rPr>
                <w:rFonts w:ascii="Calibri" w:hAnsi="Calibri"/>
                <w:b w:val="0"/>
                <w:color w:val="000000"/>
                <w:sz w:val="16"/>
              </w:rPr>
              <w:t>Capital Conservation Buffer</w:t>
            </w:r>
          </w:p>
        </w:tc>
      </w:tr>
      <w:tr>
        <w:tc>
          <w:tcPr>
            <w:tcW w:type="dxa" w:w="6912"/>
            <w:shd w:fill="FFFFFF" w:val="clear"/>
          </w:tcPr>
          <w:p>
            <w:pPr>
              <w:jc w:val="left"/>
            </w:pPr>
            <w:r/>
            <w:r>
              <w:rPr>
                <w:rFonts w:ascii="Calibri" w:hAnsi="Calibri"/>
                <w:b/>
                <w:color w:val="000000"/>
                <w:sz w:val="16"/>
              </w:rPr>
              <w:t>CCF</w:t>
            </w:r>
          </w:p>
        </w:tc>
        <w:tc>
          <w:tcPr>
            <w:tcW w:type="dxa" w:w="6912"/>
            <w:shd w:fill="FFFFFF" w:val="clear"/>
          </w:tcPr>
          <w:p>
            <w:pPr>
              <w:jc w:val="left"/>
            </w:pPr>
            <w:r/>
            <w:r>
              <w:rPr>
                <w:rFonts w:ascii="Calibri" w:hAnsi="Calibri"/>
                <w:b w:val="0"/>
                <w:color w:val="000000"/>
                <w:sz w:val="16"/>
              </w:rPr>
              <w:t>Credit Conversion Factor</w:t>
            </w:r>
          </w:p>
        </w:tc>
      </w:tr>
      <w:tr>
        <w:tc>
          <w:tcPr>
            <w:tcW w:type="dxa" w:w="6912"/>
            <w:shd w:fill="F2F2F2" w:val="clear"/>
          </w:tcPr>
          <w:p>
            <w:pPr>
              <w:jc w:val="left"/>
            </w:pPr>
            <w:r/>
            <w:r>
              <w:rPr>
                <w:rFonts w:ascii="Calibri" w:hAnsi="Calibri"/>
                <w:b/>
                <w:color w:val="000000"/>
                <w:sz w:val="16"/>
              </w:rPr>
              <w:t>CCyB</w:t>
            </w:r>
          </w:p>
        </w:tc>
        <w:tc>
          <w:tcPr>
            <w:tcW w:type="dxa" w:w="6912"/>
            <w:shd w:fill="F2F2F2" w:val="clear"/>
          </w:tcPr>
          <w:p>
            <w:pPr>
              <w:jc w:val="left"/>
            </w:pPr>
            <w:r/>
            <w:r>
              <w:rPr>
                <w:rFonts w:ascii="Calibri" w:hAnsi="Calibri"/>
                <w:b w:val="0"/>
                <w:color w:val="000000"/>
                <w:sz w:val="16"/>
              </w:rPr>
              <w:t>Countercyclical Capital Buffer</w:t>
            </w:r>
          </w:p>
        </w:tc>
      </w:tr>
      <w:tr>
        <w:tc>
          <w:tcPr>
            <w:tcW w:type="dxa" w:w="6912"/>
            <w:shd w:fill="FFFFFF" w:val="clear"/>
          </w:tcPr>
          <w:p>
            <w:pPr>
              <w:jc w:val="left"/>
            </w:pPr>
            <w:r/>
            <w:r>
              <w:rPr>
                <w:rFonts w:ascii="Calibri" w:hAnsi="Calibri"/>
                <w:b/>
                <w:color w:val="000000"/>
                <w:sz w:val="16"/>
              </w:rPr>
              <w:t>CET1</w:t>
            </w:r>
          </w:p>
        </w:tc>
        <w:tc>
          <w:tcPr>
            <w:tcW w:type="dxa" w:w="6912"/>
            <w:shd w:fill="FFFFFF" w:val="clear"/>
          </w:tcPr>
          <w:p>
            <w:pPr>
              <w:jc w:val="left"/>
            </w:pPr>
            <w:r/>
            <w:r>
              <w:rPr>
                <w:rFonts w:ascii="Calibri" w:hAnsi="Calibri"/>
                <w:b w:val="0"/>
                <w:color w:val="000000"/>
                <w:sz w:val="16"/>
              </w:rPr>
              <w:t>Common Equity Tier 1</w:t>
            </w:r>
          </w:p>
        </w:tc>
      </w:tr>
      <w:tr>
        <w:tc>
          <w:tcPr>
            <w:tcW w:type="dxa" w:w="6912"/>
            <w:shd w:fill="F2F2F2" w:val="clear"/>
          </w:tcPr>
          <w:p>
            <w:pPr>
              <w:jc w:val="left"/>
            </w:pPr>
            <w:r/>
            <w:r>
              <w:rPr>
                <w:rFonts w:ascii="Calibri" w:hAnsi="Calibri"/>
                <w:b/>
                <w:color w:val="000000"/>
                <w:sz w:val="16"/>
              </w:rPr>
              <w:t>CF</w:t>
            </w:r>
          </w:p>
        </w:tc>
        <w:tc>
          <w:tcPr>
            <w:tcW w:type="dxa" w:w="6912"/>
            <w:shd w:fill="F2F2F2" w:val="clear"/>
          </w:tcPr>
          <w:p>
            <w:pPr>
              <w:jc w:val="left"/>
            </w:pPr>
            <w:r/>
            <w:r>
              <w:rPr>
                <w:rFonts w:ascii="Calibri" w:hAnsi="Calibri"/>
                <w:b w:val="0"/>
                <w:color w:val="000000"/>
                <w:sz w:val="16"/>
              </w:rPr>
              <w:t>Cash-Flow (dependent)</w:t>
            </w:r>
          </w:p>
        </w:tc>
      </w:tr>
      <w:tr>
        <w:tc>
          <w:tcPr>
            <w:tcW w:type="dxa" w:w="6912"/>
            <w:shd w:fill="FFFFFF" w:val="clear"/>
          </w:tcPr>
          <w:p>
            <w:pPr>
              <w:jc w:val="left"/>
            </w:pPr>
            <w:r/>
            <w:r>
              <w:rPr>
                <w:rFonts w:ascii="Calibri" w:hAnsi="Calibri"/>
                <w:b/>
                <w:color w:val="000000"/>
                <w:sz w:val="16"/>
              </w:rPr>
              <w:t>CQS</w:t>
            </w:r>
          </w:p>
        </w:tc>
        <w:tc>
          <w:tcPr>
            <w:tcW w:type="dxa" w:w="6912"/>
            <w:shd w:fill="FFFFFF" w:val="clear"/>
          </w:tcPr>
          <w:p>
            <w:pPr>
              <w:jc w:val="left"/>
            </w:pPr>
            <w:r/>
            <w:r>
              <w:rPr>
                <w:rFonts w:ascii="Calibri" w:hAnsi="Calibri"/>
                <w:b w:val="0"/>
                <w:color w:val="000000"/>
                <w:sz w:val="16"/>
              </w:rPr>
              <w:t>Credit Quality Step (EU/UK rating mapping)</w:t>
            </w:r>
          </w:p>
        </w:tc>
      </w:tr>
      <w:tr>
        <w:tc>
          <w:tcPr>
            <w:tcW w:type="dxa" w:w="6912"/>
            <w:shd w:fill="F2F2F2" w:val="clear"/>
          </w:tcPr>
          <w:p>
            <w:pPr>
              <w:jc w:val="left"/>
            </w:pPr>
            <w:r/>
            <w:r>
              <w:rPr>
                <w:rFonts w:ascii="Calibri" w:hAnsi="Calibri"/>
                <w:b/>
                <w:color w:val="000000"/>
                <w:sz w:val="16"/>
              </w:rPr>
              <w:t>CRC</w:t>
            </w:r>
          </w:p>
        </w:tc>
        <w:tc>
          <w:tcPr>
            <w:tcW w:type="dxa" w:w="6912"/>
            <w:shd w:fill="F2F2F2" w:val="clear"/>
          </w:tcPr>
          <w:p>
            <w:pPr>
              <w:jc w:val="left"/>
            </w:pPr>
            <w:r/>
            <w:r>
              <w:rPr>
                <w:rFonts w:ascii="Calibri" w:hAnsi="Calibri"/>
                <w:b w:val="0"/>
                <w:color w:val="000000"/>
                <w:sz w:val="16"/>
              </w:rPr>
              <w:t>Country Risk Classification (OECD)</w:t>
            </w:r>
          </w:p>
        </w:tc>
      </w:tr>
      <w:tr>
        <w:tc>
          <w:tcPr>
            <w:tcW w:type="dxa" w:w="6912"/>
            <w:shd w:fill="FFFFFF" w:val="clear"/>
          </w:tcPr>
          <w:p>
            <w:pPr>
              <w:jc w:val="left"/>
            </w:pPr>
            <w:r/>
            <w:r>
              <w:rPr>
                <w:rFonts w:ascii="Calibri" w:hAnsi="Calibri"/>
                <w:b/>
                <w:color w:val="000000"/>
                <w:sz w:val="16"/>
              </w:rPr>
              <w:t>CRD6</w:t>
            </w:r>
          </w:p>
        </w:tc>
        <w:tc>
          <w:tcPr>
            <w:tcW w:type="dxa" w:w="6912"/>
            <w:shd w:fill="FFFFFF" w:val="clear"/>
          </w:tcPr>
          <w:p>
            <w:pPr>
              <w:jc w:val="left"/>
            </w:pPr>
            <w:r/>
            <w:r>
              <w:rPr>
                <w:rFonts w:ascii="Calibri" w:hAnsi="Calibri"/>
                <w:b w:val="0"/>
                <w:color w:val="000000"/>
                <w:sz w:val="16"/>
              </w:rPr>
              <w:t>Capital Requirements Directive VI (EU)</w:t>
            </w:r>
          </w:p>
        </w:tc>
      </w:tr>
      <w:tr>
        <w:tc>
          <w:tcPr>
            <w:tcW w:type="dxa" w:w="6912"/>
            <w:shd w:fill="F2F2F2" w:val="clear"/>
          </w:tcPr>
          <w:p>
            <w:pPr>
              <w:jc w:val="left"/>
            </w:pPr>
            <w:r/>
            <w:r>
              <w:rPr>
                <w:rFonts w:ascii="Calibri" w:hAnsi="Calibri"/>
                <w:b/>
                <w:color w:val="000000"/>
                <w:sz w:val="16"/>
              </w:rPr>
              <w:t>CRM</w:t>
            </w:r>
          </w:p>
        </w:tc>
        <w:tc>
          <w:tcPr>
            <w:tcW w:type="dxa" w:w="6912"/>
            <w:shd w:fill="F2F2F2" w:val="clear"/>
          </w:tcPr>
          <w:p>
            <w:pPr>
              <w:jc w:val="left"/>
            </w:pPr>
            <w:r/>
            <w:r>
              <w:rPr>
                <w:rFonts w:ascii="Calibri" w:hAnsi="Calibri"/>
                <w:b w:val="0"/>
                <w:color w:val="000000"/>
                <w:sz w:val="16"/>
              </w:rPr>
              <w:t>Credit Risk Mitigation</w:t>
            </w:r>
          </w:p>
        </w:tc>
      </w:tr>
      <w:tr>
        <w:tc>
          <w:tcPr>
            <w:tcW w:type="dxa" w:w="6912"/>
            <w:shd w:fill="FFFFFF" w:val="clear"/>
          </w:tcPr>
          <w:p>
            <w:pPr>
              <w:jc w:val="left"/>
            </w:pPr>
            <w:r/>
            <w:r>
              <w:rPr>
                <w:rFonts w:ascii="Calibri" w:hAnsi="Calibri"/>
                <w:b/>
                <w:color w:val="000000"/>
                <w:sz w:val="16"/>
              </w:rPr>
              <w:t>CRR3</w:t>
            </w:r>
          </w:p>
        </w:tc>
        <w:tc>
          <w:tcPr>
            <w:tcW w:type="dxa" w:w="6912"/>
            <w:shd w:fill="FFFFFF" w:val="clear"/>
          </w:tcPr>
          <w:p>
            <w:pPr>
              <w:jc w:val="left"/>
            </w:pPr>
            <w:r/>
            <w:r>
              <w:rPr>
                <w:rFonts w:ascii="Calibri" w:hAnsi="Calibri"/>
                <w:b w:val="0"/>
                <w:color w:val="000000"/>
                <w:sz w:val="16"/>
              </w:rPr>
              <w:t>Capital Requirements Regulation III (EU)</w:t>
            </w:r>
          </w:p>
        </w:tc>
      </w:tr>
      <w:tr>
        <w:tc>
          <w:tcPr>
            <w:tcW w:type="dxa" w:w="6912"/>
            <w:shd w:fill="F2F2F2" w:val="clear"/>
          </w:tcPr>
          <w:p>
            <w:pPr>
              <w:jc w:val="left"/>
            </w:pPr>
            <w:r/>
            <w:r>
              <w:rPr>
                <w:rFonts w:ascii="Calibri" w:hAnsi="Calibri"/>
                <w:b/>
                <w:color w:val="000000"/>
                <w:sz w:val="16"/>
              </w:rPr>
              <w:t>CVA</w:t>
            </w:r>
          </w:p>
        </w:tc>
        <w:tc>
          <w:tcPr>
            <w:tcW w:type="dxa" w:w="6912"/>
            <w:shd w:fill="F2F2F2" w:val="clear"/>
          </w:tcPr>
          <w:p>
            <w:pPr>
              <w:jc w:val="left"/>
            </w:pPr>
            <w:r/>
            <w:r>
              <w:rPr>
                <w:rFonts w:ascii="Calibri" w:hAnsi="Calibri"/>
                <w:b w:val="0"/>
                <w:color w:val="000000"/>
                <w:sz w:val="16"/>
              </w:rPr>
              <w:t>Credit Valuation Adjustment</w:t>
            </w:r>
          </w:p>
        </w:tc>
      </w:tr>
      <w:tr>
        <w:tc>
          <w:tcPr>
            <w:tcW w:type="dxa" w:w="6912"/>
            <w:shd w:fill="FFFFFF" w:val="clear"/>
          </w:tcPr>
          <w:p>
            <w:pPr>
              <w:jc w:val="left"/>
            </w:pPr>
            <w:r/>
            <w:r>
              <w:rPr>
                <w:rFonts w:ascii="Calibri" w:hAnsi="Calibri"/>
                <w:b/>
                <w:color w:val="000000"/>
                <w:sz w:val="16"/>
              </w:rPr>
              <w:t>DRC</w:t>
            </w:r>
          </w:p>
        </w:tc>
        <w:tc>
          <w:tcPr>
            <w:tcW w:type="dxa" w:w="6912"/>
            <w:shd w:fill="FFFFFF" w:val="clear"/>
          </w:tcPr>
          <w:p>
            <w:pPr>
              <w:jc w:val="left"/>
            </w:pPr>
            <w:r/>
            <w:r>
              <w:rPr>
                <w:rFonts w:ascii="Calibri" w:hAnsi="Calibri"/>
                <w:b w:val="0"/>
                <w:color w:val="000000"/>
                <w:sz w:val="16"/>
              </w:rPr>
              <w:t>Default Risk Charge (FRTB)</w:t>
            </w:r>
          </w:p>
        </w:tc>
      </w:tr>
      <w:tr>
        <w:tc>
          <w:tcPr>
            <w:tcW w:type="dxa" w:w="6912"/>
            <w:shd w:fill="F2F2F2" w:val="clear"/>
          </w:tcPr>
          <w:p>
            <w:pPr>
              <w:jc w:val="left"/>
            </w:pPr>
            <w:r/>
            <w:r>
              <w:rPr>
                <w:rFonts w:ascii="Calibri" w:hAnsi="Calibri"/>
                <w:b/>
                <w:color w:val="000000"/>
                <w:sz w:val="16"/>
              </w:rPr>
              <w:t>DTA</w:t>
            </w:r>
          </w:p>
        </w:tc>
        <w:tc>
          <w:tcPr>
            <w:tcW w:type="dxa" w:w="6912"/>
            <w:shd w:fill="F2F2F2" w:val="clear"/>
          </w:tcPr>
          <w:p>
            <w:pPr>
              <w:jc w:val="left"/>
            </w:pPr>
            <w:r/>
            <w:r>
              <w:rPr>
                <w:rFonts w:ascii="Calibri" w:hAnsi="Calibri"/>
                <w:b w:val="0"/>
                <w:color w:val="000000"/>
                <w:sz w:val="16"/>
              </w:rPr>
              <w:t>Deferred Tax Assets</w:t>
            </w:r>
          </w:p>
        </w:tc>
      </w:tr>
      <w:tr>
        <w:tc>
          <w:tcPr>
            <w:tcW w:type="dxa" w:w="6912"/>
            <w:shd w:fill="FFFFFF" w:val="clear"/>
          </w:tcPr>
          <w:p>
            <w:pPr>
              <w:jc w:val="left"/>
            </w:pPr>
            <w:r/>
            <w:r>
              <w:rPr>
                <w:rFonts w:ascii="Calibri" w:hAnsi="Calibri"/>
                <w:b/>
                <w:color w:val="000000"/>
                <w:sz w:val="16"/>
              </w:rPr>
              <w:t>DTL</w:t>
            </w:r>
          </w:p>
        </w:tc>
        <w:tc>
          <w:tcPr>
            <w:tcW w:type="dxa" w:w="6912"/>
            <w:shd w:fill="FFFFFF" w:val="clear"/>
          </w:tcPr>
          <w:p>
            <w:pPr>
              <w:jc w:val="left"/>
            </w:pPr>
            <w:r/>
            <w:r>
              <w:rPr>
                <w:rFonts w:ascii="Calibri" w:hAnsi="Calibri"/>
                <w:b w:val="0"/>
                <w:color w:val="000000"/>
                <w:sz w:val="16"/>
              </w:rPr>
              <w:t>Deferred Tax Liabilities</w:t>
            </w:r>
          </w:p>
        </w:tc>
      </w:tr>
      <w:tr>
        <w:tc>
          <w:tcPr>
            <w:tcW w:type="dxa" w:w="6912"/>
            <w:shd w:fill="F2F2F2" w:val="clear"/>
          </w:tcPr>
          <w:p>
            <w:pPr>
              <w:jc w:val="left"/>
            </w:pPr>
            <w:r/>
            <w:r>
              <w:rPr>
                <w:rFonts w:ascii="Calibri" w:hAnsi="Calibri"/>
                <w:b/>
                <w:color w:val="000000"/>
                <w:sz w:val="16"/>
              </w:rPr>
              <w:t>EAD</w:t>
            </w:r>
          </w:p>
        </w:tc>
        <w:tc>
          <w:tcPr>
            <w:tcW w:type="dxa" w:w="6912"/>
            <w:shd w:fill="F2F2F2" w:val="clear"/>
          </w:tcPr>
          <w:p>
            <w:pPr>
              <w:jc w:val="left"/>
            </w:pPr>
            <w:r/>
            <w:r>
              <w:rPr>
                <w:rFonts w:ascii="Calibri" w:hAnsi="Calibri"/>
                <w:b w:val="0"/>
                <w:color w:val="000000"/>
                <w:sz w:val="16"/>
              </w:rPr>
              <w:t>Exposure at Default</w:t>
            </w:r>
          </w:p>
        </w:tc>
      </w:tr>
      <w:tr>
        <w:tc>
          <w:tcPr>
            <w:tcW w:type="dxa" w:w="6912"/>
            <w:shd w:fill="FFFFFF" w:val="clear"/>
          </w:tcPr>
          <w:p>
            <w:pPr>
              <w:jc w:val="left"/>
            </w:pPr>
            <w:r/>
            <w:r>
              <w:rPr>
                <w:rFonts w:ascii="Calibri" w:hAnsi="Calibri"/>
                <w:b/>
                <w:color w:val="000000"/>
                <w:sz w:val="16"/>
              </w:rPr>
              <w:t>EBA</w:t>
            </w:r>
          </w:p>
        </w:tc>
        <w:tc>
          <w:tcPr>
            <w:tcW w:type="dxa" w:w="6912"/>
            <w:shd w:fill="FFFFFF" w:val="clear"/>
          </w:tcPr>
          <w:p>
            <w:pPr>
              <w:jc w:val="left"/>
            </w:pPr>
            <w:r/>
            <w:r>
              <w:rPr>
                <w:rFonts w:ascii="Calibri" w:hAnsi="Calibri"/>
                <w:b w:val="0"/>
                <w:color w:val="000000"/>
                <w:sz w:val="16"/>
              </w:rPr>
              <w:t>European Banking Authority</w:t>
            </w:r>
          </w:p>
        </w:tc>
      </w:tr>
      <w:tr>
        <w:tc>
          <w:tcPr>
            <w:tcW w:type="dxa" w:w="6912"/>
            <w:shd w:fill="F2F2F2" w:val="clear"/>
          </w:tcPr>
          <w:p>
            <w:pPr>
              <w:jc w:val="left"/>
            </w:pPr>
            <w:r/>
            <w:r>
              <w:rPr>
                <w:rFonts w:ascii="Calibri" w:hAnsi="Calibri"/>
                <w:b/>
                <w:color w:val="000000"/>
                <w:sz w:val="16"/>
              </w:rPr>
              <w:t>ECL</w:t>
            </w:r>
          </w:p>
        </w:tc>
        <w:tc>
          <w:tcPr>
            <w:tcW w:type="dxa" w:w="6912"/>
            <w:shd w:fill="F2F2F2" w:val="clear"/>
          </w:tcPr>
          <w:p>
            <w:pPr>
              <w:jc w:val="left"/>
            </w:pPr>
            <w:r/>
            <w:r>
              <w:rPr>
                <w:rFonts w:ascii="Calibri" w:hAnsi="Calibri"/>
                <w:b w:val="0"/>
                <w:color w:val="000000"/>
                <w:sz w:val="16"/>
              </w:rPr>
              <w:t>Expected Credit Losses</w:t>
            </w:r>
          </w:p>
        </w:tc>
      </w:tr>
      <w:tr>
        <w:tc>
          <w:tcPr>
            <w:tcW w:type="dxa" w:w="6912"/>
            <w:shd w:fill="FFFFFF" w:val="clear"/>
          </w:tcPr>
          <w:p>
            <w:pPr>
              <w:jc w:val="left"/>
            </w:pPr>
            <w:r/>
            <w:r>
              <w:rPr>
                <w:rFonts w:ascii="Calibri" w:hAnsi="Calibri"/>
                <w:b/>
                <w:color w:val="000000"/>
                <w:sz w:val="16"/>
              </w:rPr>
              <w:t>ERBA</w:t>
            </w:r>
          </w:p>
        </w:tc>
        <w:tc>
          <w:tcPr>
            <w:tcW w:type="dxa" w:w="6912"/>
            <w:shd w:fill="FFFFFF" w:val="clear"/>
          </w:tcPr>
          <w:p>
            <w:pPr>
              <w:jc w:val="left"/>
            </w:pPr>
            <w:r/>
            <w:r>
              <w:rPr>
                <w:rFonts w:ascii="Calibri" w:hAnsi="Calibri"/>
                <w:b w:val="0"/>
                <w:color w:val="000000"/>
                <w:sz w:val="16"/>
              </w:rPr>
              <w:t>Expanded Risk-Based Approach (US)</w:t>
            </w:r>
          </w:p>
        </w:tc>
      </w:tr>
      <w:tr>
        <w:tc>
          <w:tcPr>
            <w:tcW w:type="dxa" w:w="6912"/>
            <w:shd w:fill="F2F2F2" w:val="clear"/>
          </w:tcPr>
          <w:p>
            <w:pPr>
              <w:jc w:val="left"/>
            </w:pPr>
            <w:r/>
            <w:r>
              <w:rPr>
                <w:rFonts w:ascii="Calibri" w:hAnsi="Calibri"/>
                <w:b/>
                <w:color w:val="000000"/>
                <w:sz w:val="16"/>
              </w:rPr>
              <w:t>ES</w:t>
            </w:r>
          </w:p>
        </w:tc>
        <w:tc>
          <w:tcPr>
            <w:tcW w:type="dxa" w:w="6912"/>
            <w:shd w:fill="F2F2F2" w:val="clear"/>
          </w:tcPr>
          <w:p>
            <w:pPr>
              <w:jc w:val="left"/>
            </w:pPr>
            <w:r/>
            <w:r>
              <w:rPr>
                <w:rFonts w:ascii="Calibri" w:hAnsi="Calibri"/>
                <w:b w:val="0"/>
                <w:color w:val="000000"/>
                <w:sz w:val="16"/>
              </w:rPr>
              <w:t>Expected Shortfall (Market Risk IMA)</w:t>
            </w:r>
          </w:p>
        </w:tc>
      </w:tr>
      <w:tr>
        <w:tc>
          <w:tcPr>
            <w:tcW w:type="dxa" w:w="6912"/>
            <w:shd w:fill="FFFFFF" w:val="clear"/>
          </w:tcPr>
          <w:p>
            <w:pPr>
              <w:jc w:val="left"/>
            </w:pPr>
            <w:r/>
            <w:r>
              <w:rPr>
                <w:rFonts w:ascii="Calibri" w:hAnsi="Calibri"/>
                <w:b/>
                <w:color w:val="000000"/>
                <w:sz w:val="16"/>
              </w:rPr>
              <w:t>eSLR</w:t>
            </w:r>
          </w:p>
        </w:tc>
        <w:tc>
          <w:tcPr>
            <w:tcW w:type="dxa" w:w="6912"/>
            <w:shd w:fill="FFFFFF" w:val="clear"/>
          </w:tcPr>
          <w:p>
            <w:pPr>
              <w:jc w:val="left"/>
            </w:pPr>
            <w:r/>
            <w:r>
              <w:rPr>
                <w:rFonts w:ascii="Calibri" w:hAnsi="Calibri"/>
                <w:b w:val="0"/>
                <w:color w:val="000000"/>
                <w:sz w:val="16"/>
              </w:rPr>
              <w:t>Enhanced Supplementary Leverage Ratio</w:t>
            </w:r>
          </w:p>
        </w:tc>
      </w:tr>
      <w:tr>
        <w:tc>
          <w:tcPr>
            <w:tcW w:type="dxa" w:w="6912"/>
            <w:shd w:fill="F2F2F2" w:val="clear"/>
          </w:tcPr>
          <w:p>
            <w:pPr>
              <w:jc w:val="left"/>
            </w:pPr>
            <w:r/>
            <w:r>
              <w:rPr>
                <w:rFonts w:ascii="Calibri" w:hAnsi="Calibri"/>
                <w:b/>
                <w:color w:val="000000"/>
                <w:sz w:val="16"/>
              </w:rPr>
              <w:t>FPC</w:t>
            </w:r>
          </w:p>
        </w:tc>
        <w:tc>
          <w:tcPr>
            <w:tcW w:type="dxa" w:w="6912"/>
            <w:shd w:fill="F2F2F2" w:val="clear"/>
          </w:tcPr>
          <w:p>
            <w:pPr>
              <w:jc w:val="left"/>
            </w:pPr>
            <w:r/>
            <w:r>
              <w:rPr>
                <w:rFonts w:ascii="Calibri" w:hAnsi="Calibri"/>
                <w:b w:val="0"/>
                <w:color w:val="000000"/>
                <w:sz w:val="16"/>
              </w:rPr>
              <w:t>Financial Policy Committee (UK)</w:t>
            </w:r>
          </w:p>
        </w:tc>
      </w:tr>
      <w:tr>
        <w:tc>
          <w:tcPr>
            <w:tcW w:type="dxa" w:w="6912"/>
            <w:shd w:fill="FFFFFF" w:val="clear"/>
          </w:tcPr>
          <w:p>
            <w:pPr>
              <w:jc w:val="left"/>
            </w:pPr>
            <w:r/>
            <w:r>
              <w:rPr>
                <w:rFonts w:ascii="Calibri" w:hAnsi="Calibri"/>
                <w:b/>
                <w:color w:val="000000"/>
                <w:sz w:val="16"/>
              </w:rPr>
              <w:t>FRTB</w:t>
            </w:r>
          </w:p>
        </w:tc>
        <w:tc>
          <w:tcPr>
            <w:tcW w:type="dxa" w:w="6912"/>
            <w:shd w:fill="FFFFFF" w:val="clear"/>
          </w:tcPr>
          <w:p>
            <w:pPr>
              <w:jc w:val="left"/>
            </w:pPr>
            <w:r/>
            <w:r>
              <w:rPr>
                <w:rFonts w:ascii="Calibri" w:hAnsi="Calibri"/>
                <w:b w:val="0"/>
                <w:color w:val="000000"/>
                <w:sz w:val="16"/>
              </w:rPr>
              <w:t>Fundamental Review of the Trading Book</w:t>
            </w:r>
          </w:p>
        </w:tc>
      </w:tr>
      <w:tr>
        <w:tc>
          <w:tcPr>
            <w:tcW w:type="dxa" w:w="6912"/>
            <w:shd w:fill="F2F2F2" w:val="clear"/>
          </w:tcPr>
          <w:p>
            <w:pPr>
              <w:jc w:val="left"/>
            </w:pPr>
            <w:r/>
            <w:r>
              <w:rPr>
                <w:rFonts w:ascii="Calibri" w:hAnsi="Calibri"/>
                <w:b/>
                <w:color w:val="000000"/>
                <w:sz w:val="16"/>
              </w:rPr>
              <w:t>G-SIB</w:t>
            </w:r>
          </w:p>
        </w:tc>
        <w:tc>
          <w:tcPr>
            <w:tcW w:type="dxa" w:w="6912"/>
            <w:shd w:fill="F2F2F2" w:val="clear"/>
          </w:tcPr>
          <w:p>
            <w:pPr>
              <w:jc w:val="left"/>
            </w:pPr>
            <w:r/>
            <w:r>
              <w:rPr>
                <w:rFonts w:ascii="Calibri" w:hAnsi="Calibri"/>
                <w:b w:val="0"/>
                <w:color w:val="000000"/>
                <w:sz w:val="16"/>
              </w:rPr>
              <w:t>Global Systemically Important Bank</w:t>
            </w:r>
          </w:p>
        </w:tc>
      </w:tr>
      <w:tr>
        <w:tc>
          <w:tcPr>
            <w:tcW w:type="dxa" w:w="6912"/>
            <w:shd w:fill="FFFFFF" w:val="clear"/>
          </w:tcPr>
          <w:p>
            <w:pPr>
              <w:jc w:val="left"/>
            </w:pPr>
            <w:r/>
            <w:r>
              <w:rPr>
                <w:rFonts w:ascii="Calibri" w:hAnsi="Calibri"/>
                <w:b/>
                <w:color w:val="000000"/>
                <w:sz w:val="16"/>
              </w:rPr>
              <w:t>GIRR</w:t>
            </w:r>
          </w:p>
        </w:tc>
        <w:tc>
          <w:tcPr>
            <w:tcW w:type="dxa" w:w="6912"/>
            <w:shd w:fill="FFFFFF" w:val="clear"/>
          </w:tcPr>
          <w:p>
            <w:pPr>
              <w:jc w:val="left"/>
            </w:pPr>
            <w:r/>
            <w:r>
              <w:rPr>
                <w:rFonts w:ascii="Calibri" w:hAnsi="Calibri"/>
                <w:b w:val="0"/>
                <w:color w:val="000000"/>
                <w:sz w:val="16"/>
              </w:rPr>
              <w:t>General Interest Rate Risk</w:t>
            </w:r>
          </w:p>
        </w:tc>
      </w:tr>
      <w:tr>
        <w:tc>
          <w:tcPr>
            <w:tcW w:type="dxa" w:w="6912"/>
            <w:shd w:fill="F2F2F2" w:val="clear"/>
          </w:tcPr>
          <w:p>
            <w:pPr>
              <w:jc w:val="left"/>
            </w:pPr>
            <w:r/>
            <w:r>
              <w:rPr>
                <w:rFonts w:ascii="Calibri" w:hAnsi="Calibri"/>
                <w:b/>
                <w:color w:val="000000"/>
                <w:sz w:val="16"/>
              </w:rPr>
              <w:t>HQLA</w:t>
            </w:r>
          </w:p>
        </w:tc>
        <w:tc>
          <w:tcPr>
            <w:tcW w:type="dxa" w:w="6912"/>
            <w:shd w:fill="F2F2F2" w:val="clear"/>
          </w:tcPr>
          <w:p>
            <w:pPr>
              <w:jc w:val="left"/>
            </w:pPr>
            <w:r/>
            <w:r>
              <w:rPr>
                <w:rFonts w:ascii="Calibri" w:hAnsi="Calibri"/>
                <w:b w:val="0"/>
                <w:color w:val="000000"/>
                <w:sz w:val="16"/>
              </w:rPr>
              <w:t>High Quality Liquid Assets</w:t>
            </w:r>
          </w:p>
        </w:tc>
      </w:tr>
      <w:tr>
        <w:tc>
          <w:tcPr>
            <w:tcW w:type="dxa" w:w="6912"/>
            <w:shd w:fill="FFFFFF" w:val="clear"/>
          </w:tcPr>
          <w:p>
            <w:pPr>
              <w:jc w:val="left"/>
            </w:pPr>
            <w:r/>
            <w:r>
              <w:rPr>
                <w:rFonts w:ascii="Calibri" w:hAnsi="Calibri"/>
                <w:b/>
                <w:color w:val="000000"/>
                <w:sz w:val="16"/>
              </w:rPr>
              <w:t>ICAAP</w:t>
            </w:r>
          </w:p>
        </w:tc>
        <w:tc>
          <w:tcPr>
            <w:tcW w:type="dxa" w:w="6912"/>
            <w:shd w:fill="FFFFFF" w:val="clear"/>
          </w:tcPr>
          <w:p>
            <w:pPr>
              <w:jc w:val="left"/>
            </w:pPr>
            <w:r/>
            <w:r>
              <w:rPr>
                <w:rFonts w:ascii="Calibri" w:hAnsi="Calibri"/>
                <w:b w:val="0"/>
                <w:color w:val="000000"/>
                <w:sz w:val="16"/>
              </w:rPr>
              <w:t>Internal Capital Adequacy Assessment Process</w:t>
            </w:r>
          </w:p>
        </w:tc>
      </w:tr>
      <w:tr>
        <w:tc>
          <w:tcPr>
            <w:tcW w:type="dxa" w:w="6912"/>
            <w:shd w:fill="F2F2F2" w:val="clear"/>
          </w:tcPr>
          <w:p>
            <w:pPr>
              <w:jc w:val="left"/>
            </w:pPr>
            <w:r/>
            <w:r>
              <w:rPr>
                <w:rFonts w:ascii="Calibri" w:hAnsi="Calibri"/>
                <w:b/>
                <w:color w:val="000000"/>
                <w:sz w:val="16"/>
              </w:rPr>
              <w:t>ILM</w:t>
            </w:r>
          </w:p>
        </w:tc>
        <w:tc>
          <w:tcPr>
            <w:tcW w:type="dxa" w:w="6912"/>
            <w:shd w:fill="F2F2F2" w:val="clear"/>
          </w:tcPr>
          <w:p>
            <w:pPr>
              <w:jc w:val="left"/>
            </w:pPr>
            <w:r/>
            <w:r>
              <w:rPr>
                <w:rFonts w:ascii="Calibri" w:hAnsi="Calibri"/>
                <w:b w:val="0"/>
                <w:color w:val="000000"/>
                <w:sz w:val="16"/>
              </w:rPr>
              <w:t>Internal Loss Multiplier</w:t>
            </w:r>
          </w:p>
        </w:tc>
      </w:tr>
      <w:tr>
        <w:tc>
          <w:tcPr>
            <w:tcW w:type="dxa" w:w="6912"/>
            <w:shd w:fill="FFFFFF" w:val="clear"/>
          </w:tcPr>
          <w:p>
            <w:pPr>
              <w:jc w:val="left"/>
            </w:pPr>
            <w:r/>
            <w:r>
              <w:rPr>
                <w:rFonts w:ascii="Calibri" w:hAnsi="Calibri"/>
                <w:b/>
                <w:color w:val="000000"/>
                <w:sz w:val="16"/>
              </w:rPr>
              <w:t>IMA</w:t>
            </w:r>
          </w:p>
        </w:tc>
        <w:tc>
          <w:tcPr>
            <w:tcW w:type="dxa" w:w="6912"/>
            <w:shd w:fill="FFFFFF" w:val="clear"/>
          </w:tcPr>
          <w:p>
            <w:pPr>
              <w:jc w:val="left"/>
            </w:pPr>
            <w:r/>
            <w:r>
              <w:rPr>
                <w:rFonts w:ascii="Calibri" w:hAnsi="Calibri"/>
                <w:b w:val="0"/>
                <w:color w:val="000000"/>
                <w:sz w:val="16"/>
              </w:rPr>
              <w:t>Internal Models Approach</w:t>
            </w:r>
          </w:p>
        </w:tc>
      </w:tr>
      <w:tr>
        <w:tc>
          <w:tcPr>
            <w:tcW w:type="dxa" w:w="6912"/>
            <w:shd w:fill="F2F2F2" w:val="clear"/>
          </w:tcPr>
          <w:p>
            <w:pPr>
              <w:jc w:val="left"/>
            </w:pPr>
            <w:r/>
            <w:r>
              <w:rPr>
                <w:rFonts w:ascii="Calibri" w:hAnsi="Calibri"/>
                <w:b/>
                <w:color w:val="000000"/>
                <w:sz w:val="16"/>
              </w:rPr>
              <w:t>IRB</w:t>
            </w:r>
          </w:p>
        </w:tc>
        <w:tc>
          <w:tcPr>
            <w:tcW w:type="dxa" w:w="6912"/>
            <w:shd w:fill="F2F2F2" w:val="clear"/>
          </w:tcPr>
          <w:p>
            <w:pPr>
              <w:jc w:val="left"/>
            </w:pPr>
            <w:r/>
            <w:r>
              <w:rPr>
                <w:rFonts w:ascii="Calibri" w:hAnsi="Calibri"/>
                <w:b w:val="0"/>
                <w:color w:val="000000"/>
                <w:sz w:val="16"/>
              </w:rPr>
              <w:t>Internal Ratings-Based Approach</w:t>
            </w:r>
          </w:p>
        </w:tc>
      </w:tr>
      <w:tr>
        <w:tc>
          <w:tcPr>
            <w:tcW w:type="dxa" w:w="6912"/>
            <w:shd w:fill="FFFFFF" w:val="clear"/>
          </w:tcPr>
          <w:p>
            <w:pPr>
              <w:jc w:val="left"/>
            </w:pPr>
            <w:r/>
            <w:r>
              <w:rPr>
                <w:rFonts w:ascii="Calibri" w:hAnsi="Calibri"/>
                <w:b/>
                <w:color w:val="000000"/>
                <w:sz w:val="16"/>
              </w:rPr>
              <w:t>IRRBB</w:t>
            </w:r>
          </w:p>
        </w:tc>
        <w:tc>
          <w:tcPr>
            <w:tcW w:type="dxa" w:w="6912"/>
            <w:shd w:fill="FFFFFF" w:val="clear"/>
          </w:tcPr>
          <w:p>
            <w:pPr>
              <w:jc w:val="left"/>
            </w:pPr>
            <w:r/>
            <w:r>
              <w:rPr>
                <w:rFonts w:ascii="Calibri" w:hAnsi="Calibri"/>
                <w:b w:val="0"/>
                <w:color w:val="000000"/>
                <w:sz w:val="16"/>
              </w:rPr>
              <w:t>Interest Rate Risk in the Banking Book</w:t>
            </w:r>
          </w:p>
        </w:tc>
      </w:tr>
      <w:tr>
        <w:tc>
          <w:tcPr>
            <w:tcW w:type="dxa" w:w="6912"/>
            <w:shd w:fill="F2F2F2" w:val="clear"/>
          </w:tcPr>
          <w:p>
            <w:pPr>
              <w:jc w:val="left"/>
            </w:pPr>
            <w:r/>
            <w:r>
              <w:rPr>
                <w:rFonts w:ascii="Calibri" w:hAnsi="Calibri"/>
                <w:b/>
                <w:color w:val="000000"/>
                <w:sz w:val="16"/>
              </w:rPr>
              <w:t>LCR</w:t>
            </w:r>
          </w:p>
        </w:tc>
        <w:tc>
          <w:tcPr>
            <w:tcW w:type="dxa" w:w="6912"/>
            <w:shd w:fill="F2F2F2" w:val="clear"/>
          </w:tcPr>
          <w:p>
            <w:pPr>
              <w:jc w:val="left"/>
            </w:pPr>
            <w:r/>
            <w:r>
              <w:rPr>
                <w:rFonts w:ascii="Calibri" w:hAnsi="Calibri"/>
                <w:b w:val="0"/>
                <w:color w:val="000000"/>
                <w:sz w:val="16"/>
              </w:rPr>
              <w:t>Liquidity Coverage Ratio</w:t>
            </w:r>
          </w:p>
        </w:tc>
      </w:tr>
      <w:tr>
        <w:tc>
          <w:tcPr>
            <w:tcW w:type="dxa" w:w="6912"/>
            <w:shd w:fill="FFFFFF" w:val="clear"/>
          </w:tcPr>
          <w:p>
            <w:pPr>
              <w:jc w:val="left"/>
            </w:pPr>
            <w:r/>
            <w:r>
              <w:rPr>
                <w:rFonts w:ascii="Calibri" w:hAnsi="Calibri"/>
                <w:b/>
                <w:color w:val="000000"/>
                <w:sz w:val="16"/>
              </w:rPr>
              <w:t>LGD</w:t>
            </w:r>
          </w:p>
        </w:tc>
        <w:tc>
          <w:tcPr>
            <w:tcW w:type="dxa" w:w="6912"/>
            <w:shd w:fill="FFFFFF" w:val="clear"/>
          </w:tcPr>
          <w:p>
            <w:pPr>
              <w:jc w:val="left"/>
            </w:pPr>
            <w:r/>
            <w:r>
              <w:rPr>
                <w:rFonts w:ascii="Calibri" w:hAnsi="Calibri"/>
                <w:b w:val="0"/>
                <w:color w:val="000000"/>
                <w:sz w:val="16"/>
              </w:rPr>
              <w:t>Loss Given Default</w:t>
            </w:r>
          </w:p>
        </w:tc>
      </w:tr>
      <w:tr>
        <w:tc>
          <w:tcPr>
            <w:tcW w:type="dxa" w:w="6912"/>
            <w:shd w:fill="F2F2F2" w:val="clear"/>
          </w:tcPr>
          <w:p>
            <w:pPr>
              <w:jc w:val="left"/>
            </w:pPr>
            <w:r/>
            <w:r>
              <w:rPr>
                <w:rFonts w:ascii="Calibri" w:hAnsi="Calibri"/>
                <w:b/>
                <w:color w:val="000000"/>
                <w:sz w:val="16"/>
              </w:rPr>
              <w:t>LTV</w:t>
            </w:r>
          </w:p>
        </w:tc>
        <w:tc>
          <w:tcPr>
            <w:tcW w:type="dxa" w:w="6912"/>
            <w:shd w:fill="F2F2F2" w:val="clear"/>
          </w:tcPr>
          <w:p>
            <w:pPr>
              <w:jc w:val="left"/>
            </w:pPr>
            <w:r/>
            <w:r>
              <w:rPr>
                <w:rFonts w:ascii="Calibri" w:hAnsi="Calibri"/>
                <w:b w:val="0"/>
                <w:color w:val="000000"/>
                <w:sz w:val="16"/>
              </w:rPr>
              <w:t>Loan-to-Value Ratio</w:t>
            </w:r>
          </w:p>
        </w:tc>
      </w:tr>
      <w:tr>
        <w:tc>
          <w:tcPr>
            <w:tcW w:type="dxa" w:w="6912"/>
            <w:shd w:fill="FFFFFF" w:val="clear"/>
          </w:tcPr>
          <w:p>
            <w:pPr>
              <w:jc w:val="left"/>
            </w:pPr>
            <w:r/>
            <w:r>
              <w:rPr>
                <w:rFonts w:ascii="Calibri" w:hAnsi="Calibri"/>
                <w:b/>
                <w:color w:val="000000"/>
                <w:sz w:val="16"/>
              </w:rPr>
              <w:t>MDA</w:t>
            </w:r>
          </w:p>
        </w:tc>
        <w:tc>
          <w:tcPr>
            <w:tcW w:type="dxa" w:w="6912"/>
            <w:shd w:fill="FFFFFF" w:val="clear"/>
          </w:tcPr>
          <w:p>
            <w:pPr>
              <w:jc w:val="left"/>
            </w:pPr>
            <w:r/>
            <w:r>
              <w:rPr>
                <w:rFonts w:ascii="Calibri" w:hAnsi="Calibri"/>
                <w:b w:val="0"/>
                <w:color w:val="000000"/>
                <w:sz w:val="16"/>
              </w:rPr>
              <w:t>Maximum Distributable Amount</w:t>
            </w:r>
          </w:p>
        </w:tc>
      </w:tr>
      <w:tr>
        <w:tc>
          <w:tcPr>
            <w:tcW w:type="dxa" w:w="6912"/>
            <w:shd w:fill="F2F2F2" w:val="clear"/>
          </w:tcPr>
          <w:p>
            <w:pPr>
              <w:jc w:val="left"/>
            </w:pPr>
            <w:r/>
            <w:r>
              <w:rPr>
                <w:rFonts w:ascii="Calibri" w:hAnsi="Calibri"/>
                <w:b/>
                <w:color w:val="000000"/>
                <w:sz w:val="16"/>
              </w:rPr>
              <w:t>MDB</w:t>
            </w:r>
          </w:p>
        </w:tc>
        <w:tc>
          <w:tcPr>
            <w:tcW w:type="dxa" w:w="6912"/>
            <w:shd w:fill="F2F2F2" w:val="clear"/>
          </w:tcPr>
          <w:p>
            <w:pPr>
              <w:jc w:val="left"/>
            </w:pPr>
            <w:r/>
            <w:r>
              <w:rPr>
                <w:rFonts w:ascii="Calibri" w:hAnsi="Calibri"/>
                <w:b w:val="0"/>
                <w:color w:val="000000"/>
                <w:sz w:val="16"/>
              </w:rPr>
              <w:t>Multilateral Development Bank</w:t>
            </w:r>
          </w:p>
        </w:tc>
      </w:tr>
      <w:tr>
        <w:tc>
          <w:tcPr>
            <w:tcW w:type="dxa" w:w="6912"/>
            <w:shd w:fill="FFFFFF" w:val="clear"/>
          </w:tcPr>
          <w:p>
            <w:pPr>
              <w:jc w:val="left"/>
            </w:pPr>
            <w:r/>
            <w:r>
              <w:rPr>
                <w:rFonts w:ascii="Calibri" w:hAnsi="Calibri"/>
                <w:b/>
                <w:color w:val="000000"/>
                <w:sz w:val="16"/>
              </w:rPr>
              <w:t>MPOR</w:t>
            </w:r>
          </w:p>
        </w:tc>
        <w:tc>
          <w:tcPr>
            <w:tcW w:type="dxa" w:w="6912"/>
            <w:shd w:fill="FFFFFF" w:val="clear"/>
          </w:tcPr>
          <w:p>
            <w:pPr>
              <w:jc w:val="left"/>
            </w:pPr>
            <w:r/>
            <w:r>
              <w:rPr>
                <w:rFonts w:ascii="Calibri" w:hAnsi="Calibri"/>
                <w:b w:val="0"/>
                <w:color w:val="000000"/>
                <w:sz w:val="16"/>
              </w:rPr>
              <w:t>Margin Period of Risk</w:t>
            </w:r>
          </w:p>
        </w:tc>
      </w:tr>
      <w:tr>
        <w:tc>
          <w:tcPr>
            <w:tcW w:type="dxa" w:w="6912"/>
            <w:shd w:fill="F2F2F2" w:val="clear"/>
          </w:tcPr>
          <w:p>
            <w:pPr>
              <w:jc w:val="left"/>
            </w:pPr>
            <w:r/>
            <w:r>
              <w:rPr>
                <w:rFonts w:ascii="Calibri" w:hAnsi="Calibri"/>
                <w:b/>
                <w:color w:val="000000"/>
                <w:sz w:val="16"/>
              </w:rPr>
              <w:t>MREL</w:t>
            </w:r>
          </w:p>
        </w:tc>
        <w:tc>
          <w:tcPr>
            <w:tcW w:type="dxa" w:w="6912"/>
            <w:shd w:fill="F2F2F2" w:val="clear"/>
          </w:tcPr>
          <w:p>
            <w:pPr>
              <w:jc w:val="left"/>
            </w:pPr>
            <w:r/>
            <w:r>
              <w:rPr>
                <w:rFonts w:ascii="Calibri" w:hAnsi="Calibri"/>
                <w:b w:val="0"/>
                <w:color w:val="000000"/>
                <w:sz w:val="16"/>
              </w:rPr>
              <w:t>Minimum Requirement for Own Funds and Eligible Liabilities</w:t>
            </w:r>
          </w:p>
        </w:tc>
      </w:tr>
      <w:tr>
        <w:tc>
          <w:tcPr>
            <w:tcW w:type="dxa" w:w="6912"/>
            <w:shd w:fill="FFFFFF" w:val="clear"/>
          </w:tcPr>
          <w:p>
            <w:pPr>
              <w:jc w:val="left"/>
            </w:pPr>
            <w:r/>
            <w:r>
              <w:rPr>
                <w:rFonts w:ascii="Calibri" w:hAnsi="Calibri"/>
                <w:b/>
                <w:color w:val="000000"/>
                <w:sz w:val="16"/>
              </w:rPr>
              <w:t>MSA</w:t>
            </w:r>
          </w:p>
        </w:tc>
        <w:tc>
          <w:tcPr>
            <w:tcW w:type="dxa" w:w="6912"/>
            <w:shd w:fill="FFFFFF" w:val="clear"/>
          </w:tcPr>
          <w:p>
            <w:pPr>
              <w:jc w:val="left"/>
            </w:pPr>
            <w:r/>
            <w:r>
              <w:rPr>
                <w:rFonts w:ascii="Calibri" w:hAnsi="Calibri"/>
                <w:b w:val="0"/>
                <w:color w:val="000000"/>
                <w:sz w:val="16"/>
              </w:rPr>
              <w:t>Mortgage Servicing Assets</w:t>
            </w:r>
          </w:p>
        </w:tc>
      </w:tr>
      <w:tr>
        <w:tc>
          <w:tcPr>
            <w:tcW w:type="dxa" w:w="6912"/>
            <w:shd w:fill="F2F2F2" w:val="clear"/>
          </w:tcPr>
          <w:p>
            <w:pPr>
              <w:jc w:val="left"/>
            </w:pPr>
            <w:r/>
            <w:r>
              <w:rPr>
                <w:rFonts w:ascii="Calibri" w:hAnsi="Calibri"/>
                <w:b/>
                <w:color w:val="000000"/>
                <w:sz w:val="16"/>
              </w:rPr>
              <w:t>NCA</w:t>
            </w:r>
          </w:p>
        </w:tc>
        <w:tc>
          <w:tcPr>
            <w:tcW w:type="dxa" w:w="6912"/>
            <w:shd w:fill="F2F2F2" w:val="clear"/>
          </w:tcPr>
          <w:p>
            <w:pPr>
              <w:jc w:val="left"/>
            </w:pPr>
            <w:r/>
            <w:r>
              <w:rPr>
                <w:rFonts w:ascii="Calibri" w:hAnsi="Calibri"/>
                <w:b w:val="0"/>
                <w:color w:val="000000"/>
                <w:sz w:val="16"/>
              </w:rPr>
              <w:t>National Competent Authority (EU)</w:t>
            </w:r>
          </w:p>
        </w:tc>
      </w:tr>
      <w:tr>
        <w:tc>
          <w:tcPr>
            <w:tcW w:type="dxa" w:w="6912"/>
            <w:shd w:fill="FFFFFF" w:val="clear"/>
          </w:tcPr>
          <w:p>
            <w:pPr>
              <w:jc w:val="left"/>
            </w:pPr>
            <w:r/>
            <w:r>
              <w:rPr>
                <w:rFonts w:ascii="Calibri" w:hAnsi="Calibri"/>
                <w:b/>
                <w:color w:val="000000"/>
                <w:sz w:val="16"/>
              </w:rPr>
              <w:t>NIC</w:t>
            </w:r>
          </w:p>
        </w:tc>
        <w:tc>
          <w:tcPr>
            <w:tcW w:type="dxa" w:w="6912"/>
            <w:shd w:fill="FFFFFF" w:val="clear"/>
          </w:tcPr>
          <w:p>
            <w:pPr>
              <w:jc w:val="left"/>
            </w:pPr>
            <w:r/>
            <w:r>
              <w:rPr>
                <w:rFonts w:ascii="Calibri" w:hAnsi="Calibri"/>
                <w:b w:val="0"/>
                <w:color w:val="000000"/>
                <w:sz w:val="16"/>
              </w:rPr>
              <w:t>Net Interest Component</w:t>
            </w:r>
          </w:p>
        </w:tc>
      </w:tr>
      <w:tr>
        <w:tc>
          <w:tcPr>
            <w:tcW w:type="dxa" w:w="6912"/>
            <w:shd w:fill="F2F2F2" w:val="clear"/>
          </w:tcPr>
          <w:p>
            <w:pPr>
              <w:jc w:val="left"/>
            </w:pPr>
            <w:r/>
            <w:r>
              <w:rPr>
                <w:rFonts w:ascii="Calibri" w:hAnsi="Calibri"/>
                <w:b/>
                <w:color w:val="000000"/>
                <w:sz w:val="16"/>
              </w:rPr>
              <w:t>NMRF</w:t>
            </w:r>
          </w:p>
        </w:tc>
        <w:tc>
          <w:tcPr>
            <w:tcW w:type="dxa" w:w="6912"/>
            <w:shd w:fill="F2F2F2" w:val="clear"/>
          </w:tcPr>
          <w:p>
            <w:pPr>
              <w:jc w:val="left"/>
            </w:pPr>
            <w:r/>
            <w:r>
              <w:rPr>
                <w:rFonts w:ascii="Calibri" w:hAnsi="Calibri"/>
                <w:b w:val="0"/>
                <w:color w:val="000000"/>
                <w:sz w:val="16"/>
              </w:rPr>
              <w:t>Non-Modellable Risk Factors</w:t>
            </w:r>
          </w:p>
        </w:tc>
      </w:tr>
      <w:tr>
        <w:tc>
          <w:tcPr>
            <w:tcW w:type="dxa" w:w="6912"/>
            <w:shd w:fill="FFFFFF" w:val="clear"/>
          </w:tcPr>
          <w:p>
            <w:pPr>
              <w:jc w:val="left"/>
            </w:pPr>
            <w:r/>
            <w:r>
              <w:rPr>
                <w:rFonts w:ascii="Calibri" w:hAnsi="Calibri"/>
                <w:b/>
                <w:color w:val="000000"/>
                <w:sz w:val="16"/>
              </w:rPr>
              <w:t>NPR</w:t>
            </w:r>
          </w:p>
        </w:tc>
        <w:tc>
          <w:tcPr>
            <w:tcW w:type="dxa" w:w="6912"/>
            <w:shd w:fill="FFFFFF" w:val="clear"/>
          </w:tcPr>
          <w:p>
            <w:pPr>
              <w:jc w:val="left"/>
            </w:pPr>
            <w:r/>
            <w:r>
              <w:rPr>
                <w:rFonts w:ascii="Calibri" w:hAnsi="Calibri"/>
                <w:b w:val="0"/>
                <w:color w:val="000000"/>
                <w:sz w:val="16"/>
              </w:rPr>
              <w:t>Notice of Proposed Rulemaking</w:t>
            </w:r>
          </w:p>
        </w:tc>
      </w:tr>
      <w:tr>
        <w:tc>
          <w:tcPr>
            <w:tcW w:type="dxa" w:w="6912"/>
            <w:shd w:fill="F2F2F2" w:val="clear"/>
          </w:tcPr>
          <w:p>
            <w:pPr>
              <w:jc w:val="left"/>
            </w:pPr>
            <w:r/>
            <w:r>
              <w:rPr>
                <w:rFonts w:ascii="Calibri" w:hAnsi="Calibri"/>
                <w:b/>
                <w:color w:val="000000"/>
                <w:sz w:val="16"/>
              </w:rPr>
              <w:t>NSFR</w:t>
            </w:r>
          </w:p>
        </w:tc>
        <w:tc>
          <w:tcPr>
            <w:tcW w:type="dxa" w:w="6912"/>
            <w:shd w:fill="F2F2F2" w:val="clear"/>
          </w:tcPr>
          <w:p>
            <w:pPr>
              <w:jc w:val="left"/>
            </w:pPr>
            <w:r/>
            <w:r>
              <w:rPr>
                <w:rFonts w:ascii="Calibri" w:hAnsi="Calibri"/>
                <w:b w:val="0"/>
                <w:color w:val="000000"/>
                <w:sz w:val="16"/>
              </w:rPr>
              <w:t>Net Stable Funding Ratio</w:t>
            </w:r>
          </w:p>
        </w:tc>
      </w:tr>
      <w:tr>
        <w:tc>
          <w:tcPr>
            <w:tcW w:type="dxa" w:w="6912"/>
            <w:shd w:fill="FFFFFF" w:val="clear"/>
          </w:tcPr>
          <w:p>
            <w:pPr>
              <w:jc w:val="left"/>
            </w:pPr>
            <w:r/>
            <w:r>
              <w:rPr>
                <w:rFonts w:ascii="Calibri" w:hAnsi="Calibri"/>
                <w:b/>
                <w:color w:val="000000"/>
                <w:sz w:val="16"/>
              </w:rPr>
              <w:t>OBS</w:t>
            </w:r>
          </w:p>
        </w:tc>
        <w:tc>
          <w:tcPr>
            <w:tcW w:type="dxa" w:w="6912"/>
            <w:shd w:fill="FFFFFF" w:val="clear"/>
          </w:tcPr>
          <w:p>
            <w:pPr>
              <w:jc w:val="left"/>
            </w:pPr>
            <w:r/>
            <w:r>
              <w:rPr>
                <w:rFonts w:ascii="Calibri" w:hAnsi="Calibri"/>
                <w:b w:val="0"/>
                <w:color w:val="000000"/>
                <w:sz w:val="16"/>
              </w:rPr>
              <w:t>Off-Balance Sheet</w:t>
            </w:r>
          </w:p>
        </w:tc>
      </w:tr>
      <w:tr>
        <w:tc>
          <w:tcPr>
            <w:tcW w:type="dxa" w:w="6912"/>
            <w:shd w:fill="F2F2F2" w:val="clear"/>
          </w:tcPr>
          <w:p>
            <w:pPr>
              <w:jc w:val="left"/>
            </w:pPr>
            <w:r/>
            <w:r>
              <w:rPr>
                <w:rFonts w:ascii="Calibri" w:hAnsi="Calibri"/>
                <w:b/>
                <w:color w:val="000000"/>
                <w:sz w:val="16"/>
              </w:rPr>
              <w:t>P2A</w:t>
            </w:r>
          </w:p>
        </w:tc>
        <w:tc>
          <w:tcPr>
            <w:tcW w:type="dxa" w:w="6912"/>
            <w:shd w:fill="F2F2F2" w:val="clear"/>
          </w:tcPr>
          <w:p>
            <w:pPr>
              <w:jc w:val="left"/>
            </w:pPr>
            <w:r/>
            <w:r>
              <w:rPr>
                <w:rFonts w:ascii="Calibri" w:hAnsi="Calibri"/>
                <w:b w:val="0"/>
                <w:color w:val="000000"/>
                <w:sz w:val="16"/>
              </w:rPr>
              <w:t>Pillar 2A (PRA add-on)</w:t>
            </w:r>
          </w:p>
        </w:tc>
      </w:tr>
      <w:tr>
        <w:tc>
          <w:tcPr>
            <w:tcW w:type="dxa" w:w="6912"/>
            <w:shd w:fill="FFFFFF" w:val="clear"/>
          </w:tcPr>
          <w:p>
            <w:pPr>
              <w:jc w:val="left"/>
            </w:pPr>
            <w:r/>
            <w:r>
              <w:rPr>
                <w:rFonts w:ascii="Calibri" w:hAnsi="Calibri"/>
                <w:b/>
                <w:color w:val="000000"/>
                <w:sz w:val="16"/>
              </w:rPr>
              <w:t>P2G</w:t>
            </w:r>
          </w:p>
        </w:tc>
        <w:tc>
          <w:tcPr>
            <w:tcW w:type="dxa" w:w="6912"/>
            <w:shd w:fill="FFFFFF" w:val="clear"/>
          </w:tcPr>
          <w:p>
            <w:pPr>
              <w:jc w:val="left"/>
            </w:pPr>
            <w:r/>
            <w:r>
              <w:rPr>
                <w:rFonts w:ascii="Calibri" w:hAnsi="Calibri"/>
                <w:b w:val="0"/>
                <w:color w:val="000000"/>
                <w:sz w:val="16"/>
              </w:rPr>
              <w:t>Pillar 2 Guidance (EU)</w:t>
            </w:r>
          </w:p>
        </w:tc>
      </w:tr>
      <w:tr>
        <w:tc>
          <w:tcPr>
            <w:tcW w:type="dxa" w:w="6912"/>
            <w:shd w:fill="F2F2F2" w:val="clear"/>
          </w:tcPr>
          <w:p>
            <w:pPr>
              <w:jc w:val="left"/>
            </w:pPr>
            <w:r/>
            <w:r>
              <w:rPr>
                <w:rFonts w:ascii="Calibri" w:hAnsi="Calibri"/>
                <w:b/>
                <w:color w:val="000000"/>
                <w:sz w:val="16"/>
              </w:rPr>
              <w:t>P2R</w:t>
            </w:r>
          </w:p>
        </w:tc>
        <w:tc>
          <w:tcPr>
            <w:tcW w:type="dxa" w:w="6912"/>
            <w:shd w:fill="F2F2F2" w:val="clear"/>
          </w:tcPr>
          <w:p>
            <w:pPr>
              <w:jc w:val="left"/>
            </w:pPr>
            <w:r/>
            <w:r>
              <w:rPr>
                <w:rFonts w:ascii="Calibri" w:hAnsi="Calibri"/>
                <w:b w:val="0"/>
                <w:color w:val="000000"/>
                <w:sz w:val="16"/>
              </w:rPr>
              <w:t>Pillar 2 Requirement (EU)</w:t>
            </w:r>
          </w:p>
        </w:tc>
      </w:tr>
      <w:tr>
        <w:tc>
          <w:tcPr>
            <w:tcW w:type="dxa" w:w="6912"/>
            <w:shd w:fill="FFFFFF" w:val="clear"/>
          </w:tcPr>
          <w:p>
            <w:pPr>
              <w:jc w:val="left"/>
            </w:pPr>
            <w:r/>
            <w:r>
              <w:rPr>
                <w:rFonts w:ascii="Calibri" w:hAnsi="Calibri"/>
                <w:b/>
                <w:color w:val="000000"/>
                <w:sz w:val="16"/>
              </w:rPr>
              <w:t>PD</w:t>
            </w:r>
          </w:p>
        </w:tc>
        <w:tc>
          <w:tcPr>
            <w:tcW w:type="dxa" w:w="6912"/>
            <w:shd w:fill="FFFFFF" w:val="clear"/>
          </w:tcPr>
          <w:p>
            <w:pPr>
              <w:jc w:val="left"/>
            </w:pPr>
            <w:r/>
            <w:r>
              <w:rPr>
                <w:rFonts w:ascii="Calibri" w:hAnsi="Calibri"/>
                <w:b w:val="0"/>
                <w:color w:val="000000"/>
                <w:sz w:val="16"/>
              </w:rPr>
              <w:t>Probability of Default</w:t>
            </w:r>
          </w:p>
        </w:tc>
      </w:tr>
      <w:tr>
        <w:tc>
          <w:tcPr>
            <w:tcW w:type="dxa" w:w="6912"/>
            <w:shd w:fill="F2F2F2" w:val="clear"/>
          </w:tcPr>
          <w:p>
            <w:pPr>
              <w:jc w:val="left"/>
            </w:pPr>
            <w:r/>
            <w:r>
              <w:rPr>
                <w:rFonts w:ascii="Calibri" w:hAnsi="Calibri"/>
                <w:b/>
                <w:color w:val="000000"/>
                <w:sz w:val="16"/>
              </w:rPr>
              <w:t>PFE</w:t>
            </w:r>
          </w:p>
        </w:tc>
        <w:tc>
          <w:tcPr>
            <w:tcW w:type="dxa" w:w="6912"/>
            <w:shd w:fill="F2F2F2" w:val="clear"/>
          </w:tcPr>
          <w:p>
            <w:pPr>
              <w:jc w:val="left"/>
            </w:pPr>
            <w:r/>
            <w:r>
              <w:rPr>
                <w:rFonts w:ascii="Calibri" w:hAnsi="Calibri"/>
                <w:b w:val="0"/>
                <w:color w:val="000000"/>
                <w:sz w:val="16"/>
              </w:rPr>
              <w:t>Potential Future Exposure</w:t>
            </w:r>
          </w:p>
        </w:tc>
      </w:tr>
      <w:tr>
        <w:tc>
          <w:tcPr>
            <w:tcW w:type="dxa" w:w="6912"/>
            <w:shd w:fill="FFFFFF" w:val="clear"/>
          </w:tcPr>
          <w:p>
            <w:pPr>
              <w:jc w:val="left"/>
            </w:pPr>
            <w:r/>
            <w:r>
              <w:rPr>
                <w:rFonts w:ascii="Calibri" w:hAnsi="Calibri"/>
                <w:b/>
                <w:color w:val="000000"/>
                <w:sz w:val="16"/>
              </w:rPr>
              <w:t>PLA</w:t>
            </w:r>
          </w:p>
        </w:tc>
        <w:tc>
          <w:tcPr>
            <w:tcW w:type="dxa" w:w="6912"/>
            <w:shd w:fill="FFFFFF" w:val="clear"/>
          </w:tcPr>
          <w:p>
            <w:pPr>
              <w:jc w:val="left"/>
            </w:pPr>
            <w:r/>
            <w:r>
              <w:rPr>
                <w:rFonts w:ascii="Calibri" w:hAnsi="Calibri"/>
                <w:b w:val="0"/>
                <w:color w:val="000000"/>
                <w:sz w:val="16"/>
              </w:rPr>
              <w:t>Profit and Loss Attribution (IMA test)</w:t>
            </w:r>
          </w:p>
        </w:tc>
      </w:tr>
      <w:tr>
        <w:tc>
          <w:tcPr>
            <w:tcW w:type="dxa" w:w="6912"/>
            <w:shd w:fill="F2F2F2" w:val="clear"/>
          </w:tcPr>
          <w:p>
            <w:pPr>
              <w:jc w:val="left"/>
            </w:pPr>
            <w:r/>
            <w:r>
              <w:rPr>
                <w:rFonts w:ascii="Calibri" w:hAnsi="Calibri"/>
                <w:b/>
                <w:color w:val="000000"/>
                <w:sz w:val="16"/>
              </w:rPr>
              <w:t>PMI</w:t>
            </w:r>
          </w:p>
        </w:tc>
        <w:tc>
          <w:tcPr>
            <w:tcW w:type="dxa" w:w="6912"/>
            <w:shd w:fill="F2F2F2" w:val="clear"/>
          </w:tcPr>
          <w:p>
            <w:pPr>
              <w:jc w:val="left"/>
            </w:pPr>
            <w:r/>
            <w:r>
              <w:rPr>
                <w:rFonts w:ascii="Calibri" w:hAnsi="Calibri"/>
                <w:b w:val="0"/>
                <w:color w:val="000000"/>
                <w:sz w:val="16"/>
              </w:rPr>
              <w:t>Private Mortgage Insurance</w:t>
            </w:r>
          </w:p>
        </w:tc>
      </w:tr>
      <w:tr>
        <w:tc>
          <w:tcPr>
            <w:tcW w:type="dxa" w:w="6912"/>
            <w:shd w:fill="FFFFFF" w:val="clear"/>
          </w:tcPr>
          <w:p>
            <w:pPr>
              <w:jc w:val="left"/>
            </w:pPr>
            <w:r/>
            <w:r>
              <w:rPr>
                <w:rFonts w:ascii="Calibri" w:hAnsi="Calibri"/>
                <w:b/>
                <w:color w:val="000000"/>
                <w:sz w:val="16"/>
              </w:rPr>
              <w:t>PRA</w:t>
            </w:r>
          </w:p>
        </w:tc>
        <w:tc>
          <w:tcPr>
            <w:tcW w:type="dxa" w:w="6912"/>
            <w:shd w:fill="FFFFFF" w:val="clear"/>
          </w:tcPr>
          <w:p>
            <w:pPr>
              <w:jc w:val="left"/>
            </w:pPr>
            <w:r/>
            <w:r>
              <w:rPr>
                <w:rFonts w:ascii="Calibri" w:hAnsi="Calibri"/>
                <w:b w:val="0"/>
                <w:color w:val="000000"/>
                <w:sz w:val="16"/>
              </w:rPr>
              <w:t>Prudential Regulation Authority (UK)</w:t>
            </w:r>
          </w:p>
        </w:tc>
      </w:tr>
      <w:tr>
        <w:tc>
          <w:tcPr>
            <w:tcW w:type="dxa" w:w="6912"/>
            <w:shd w:fill="F2F2F2" w:val="clear"/>
          </w:tcPr>
          <w:p>
            <w:pPr>
              <w:jc w:val="left"/>
            </w:pPr>
            <w:r/>
            <w:r>
              <w:rPr>
                <w:rFonts w:ascii="Calibri" w:hAnsi="Calibri"/>
                <w:b/>
                <w:color w:val="000000"/>
                <w:sz w:val="16"/>
              </w:rPr>
              <w:t>PSE</w:t>
            </w:r>
          </w:p>
        </w:tc>
        <w:tc>
          <w:tcPr>
            <w:tcW w:type="dxa" w:w="6912"/>
            <w:shd w:fill="F2F2F2" w:val="clear"/>
          </w:tcPr>
          <w:p>
            <w:pPr>
              <w:jc w:val="left"/>
            </w:pPr>
            <w:r/>
            <w:r>
              <w:rPr>
                <w:rFonts w:ascii="Calibri" w:hAnsi="Calibri"/>
                <w:b w:val="0"/>
                <w:color w:val="000000"/>
                <w:sz w:val="16"/>
              </w:rPr>
              <w:t>Public Sector Entity</w:t>
            </w:r>
          </w:p>
        </w:tc>
      </w:tr>
      <w:tr>
        <w:tc>
          <w:tcPr>
            <w:tcW w:type="dxa" w:w="6912"/>
            <w:shd w:fill="FFFFFF" w:val="clear"/>
          </w:tcPr>
          <w:p>
            <w:pPr>
              <w:jc w:val="left"/>
            </w:pPr>
            <w:r/>
            <w:r>
              <w:rPr>
                <w:rFonts w:ascii="Calibri" w:hAnsi="Calibri"/>
                <w:b/>
                <w:color w:val="000000"/>
                <w:sz w:val="16"/>
              </w:rPr>
              <w:t>RC</w:t>
            </w:r>
          </w:p>
        </w:tc>
        <w:tc>
          <w:tcPr>
            <w:tcW w:type="dxa" w:w="6912"/>
            <w:shd w:fill="FFFFFF" w:val="clear"/>
          </w:tcPr>
          <w:p>
            <w:pPr>
              <w:jc w:val="left"/>
            </w:pPr>
            <w:r/>
            <w:r>
              <w:rPr>
                <w:rFonts w:ascii="Calibri" w:hAnsi="Calibri"/>
                <w:b w:val="0"/>
                <w:color w:val="000000"/>
                <w:sz w:val="16"/>
              </w:rPr>
              <w:t>Replacement Cost (SA-CCR)</w:t>
            </w:r>
          </w:p>
        </w:tc>
      </w:tr>
      <w:tr>
        <w:tc>
          <w:tcPr>
            <w:tcW w:type="dxa" w:w="6912"/>
            <w:shd w:fill="F2F2F2" w:val="clear"/>
          </w:tcPr>
          <w:p>
            <w:pPr>
              <w:jc w:val="left"/>
            </w:pPr>
            <w:r/>
            <w:r>
              <w:rPr>
                <w:rFonts w:ascii="Calibri" w:hAnsi="Calibri"/>
                <w:b/>
                <w:color w:val="000000"/>
                <w:sz w:val="16"/>
              </w:rPr>
              <w:t>RRAO</w:t>
            </w:r>
          </w:p>
        </w:tc>
        <w:tc>
          <w:tcPr>
            <w:tcW w:type="dxa" w:w="6912"/>
            <w:shd w:fill="F2F2F2" w:val="clear"/>
          </w:tcPr>
          <w:p>
            <w:pPr>
              <w:jc w:val="left"/>
            </w:pPr>
            <w:r/>
            <w:r>
              <w:rPr>
                <w:rFonts w:ascii="Calibri" w:hAnsi="Calibri"/>
                <w:b w:val="0"/>
                <w:color w:val="000000"/>
                <w:sz w:val="16"/>
              </w:rPr>
              <w:t>Residual Risk Add-On</w:t>
            </w:r>
          </w:p>
        </w:tc>
      </w:tr>
      <w:tr>
        <w:tc>
          <w:tcPr>
            <w:tcW w:type="dxa" w:w="6912"/>
            <w:shd w:fill="FFFFFF" w:val="clear"/>
          </w:tcPr>
          <w:p>
            <w:pPr>
              <w:jc w:val="left"/>
            </w:pPr>
            <w:r/>
            <w:r>
              <w:rPr>
                <w:rFonts w:ascii="Calibri" w:hAnsi="Calibri"/>
                <w:b/>
                <w:color w:val="000000"/>
                <w:sz w:val="16"/>
              </w:rPr>
              <w:t>RW</w:t>
            </w:r>
          </w:p>
        </w:tc>
        <w:tc>
          <w:tcPr>
            <w:tcW w:type="dxa" w:w="6912"/>
            <w:shd w:fill="FFFFFF" w:val="clear"/>
          </w:tcPr>
          <w:p>
            <w:pPr>
              <w:jc w:val="left"/>
            </w:pPr>
            <w:r/>
            <w:r>
              <w:rPr>
                <w:rFonts w:ascii="Calibri" w:hAnsi="Calibri"/>
                <w:b w:val="0"/>
                <w:color w:val="000000"/>
                <w:sz w:val="16"/>
              </w:rPr>
              <w:t>Risk Weight</w:t>
            </w:r>
          </w:p>
        </w:tc>
      </w:tr>
      <w:tr>
        <w:tc>
          <w:tcPr>
            <w:tcW w:type="dxa" w:w="6912"/>
            <w:shd w:fill="F2F2F2" w:val="clear"/>
          </w:tcPr>
          <w:p>
            <w:pPr>
              <w:jc w:val="left"/>
            </w:pPr>
            <w:r/>
            <w:r>
              <w:rPr>
                <w:rFonts w:ascii="Calibri" w:hAnsi="Calibri"/>
                <w:b/>
                <w:color w:val="000000"/>
                <w:sz w:val="16"/>
              </w:rPr>
              <w:t>RWA</w:t>
            </w:r>
          </w:p>
        </w:tc>
        <w:tc>
          <w:tcPr>
            <w:tcW w:type="dxa" w:w="6912"/>
            <w:shd w:fill="F2F2F2" w:val="clear"/>
          </w:tcPr>
          <w:p>
            <w:pPr>
              <w:jc w:val="left"/>
            </w:pPr>
            <w:r/>
            <w:r>
              <w:rPr>
                <w:rFonts w:ascii="Calibri" w:hAnsi="Calibri"/>
                <w:b w:val="0"/>
                <w:color w:val="000000"/>
                <w:sz w:val="16"/>
              </w:rPr>
              <w:t>Risk-Weighted Assets</w:t>
            </w:r>
          </w:p>
        </w:tc>
      </w:tr>
      <w:tr>
        <w:tc>
          <w:tcPr>
            <w:tcW w:type="dxa" w:w="6912"/>
            <w:shd w:fill="FFFFFF" w:val="clear"/>
          </w:tcPr>
          <w:p>
            <w:pPr>
              <w:jc w:val="left"/>
            </w:pPr>
            <w:r/>
            <w:r>
              <w:rPr>
                <w:rFonts w:ascii="Calibri" w:hAnsi="Calibri"/>
                <w:b/>
                <w:color w:val="000000"/>
                <w:sz w:val="16"/>
              </w:rPr>
              <w:t>SA-CCR</w:t>
            </w:r>
          </w:p>
        </w:tc>
        <w:tc>
          <w:tcPr>
            <w:tcW w:type="dxa" w:w="6912"/>
            <w:shd w:fill="FFFFFF" w:val="clear"/>
          </w:tcPr>
          <w:p>
            <w:pPr>
              <w:jc w:val="left"/>
            </w:pPr>
            <w:r/>
            <w:r>
              <w:rPr>
                <w:rFonts w:ascii="Calibri" w:hAnsi="Calibri"/>
                <w:b w:val="0"/>
                <w:color w:val="000000"/>
                <w:sz w:val="16"/>
              </w:rPr>
              <w:t>Standardized Approach for Counterparty Credit Risk</w:t>
            </w:r>
          </w:p>
        </w:tc>
      </w:tr>
      <w:tr>
        <w:tc>
          <w:tcPr>
            <w:tcW w:type="dxa" w:w="6912"/>
            <w:shd w:fill="F2F2F2" w:val="clear"/>
          </w:tcPr>
          <w:p>
            <w:pPr>
              <w:jc w:val="left"/>
            </w:pPr>
            <w:r/>
            <w:r>
              <w:rPr>
                <w:rFonts w:ascii="Calibri" w:hAnsi="Calibri"/>
                <w:b/>
                <w:color w:val="000000"/>
                <w:sz w:val="16"/>
              </w:rPr>
              <w:t>SA-CR</w:t>
            </w:r>
          </w:p>
        </w:tc>
        <w:tc>
          <w:tcPr>
            <w:tcW w:type="dxa" w:w="6912"/>
            <w:shd w:fill="F2F2F2" w:val="clear"/>
          </w:tcPr>
          <w:p>
            <w:pPr>
              <w:jc w:val="left"/>
            </w:pPr>
            <w:r/>
            <w:r>
              <w:rPr>
                <w:rFonts w:ascii="Calibri" w:hAnsi="Calibri"/>
                <w:b w:val="0"/>
                <w:color w:val="000000"/>
                <w:sz w:val="16"/>
              </w:rPr>
              <w:t>Standardized Approach for Credit Risk</w:t>
            </w:r>
          </w:p>
        </w:tc>
      </w:tr>
      <w:tr>
        <w:tc>
          <w:tcPr>
            <w:tcW w:type="dxa" w:w="6912"/>
            <w:shd w:fill="FFFFFF" w:val="clear"/>
          </w:tcPr>
          <w:p>
            <w:pPr>
              <w:jc w:val="left"/>
            </w:pPr>
            <w:r/>
            <w:r>
              <w:rPr>
                <w:rFonts w:ascii="Calibri" w:hAnsi="Calibri"/>
                <w:b/>
                <w:color w:val="000000"/>
                <w:sz w:val="16"/>
              </w:rPr>
              <w:t>SA-CVA</w:t>
            </w:r>
          </w:p>
        </w:tc>
        <w:tc>
          <w:tcPr>
            <w:tcW w:type="dxa" w:w="6912"/>
            <w:shd w:fill="FFFFFF" w:val="clear"/>
          </w:tcPr>
          <w:p>
            <w:pPr>
              <w:jc w:val="left"/>
            </w:pPr>
            <w:r/>
            <w:r>
              <w:rPr>
                <w:rFonts w:ascii="Calibri" w:hAnsi="Calibri"/>
                <w:b w:val="0"/>
                <w:color w:val="000000"/>
                <w:sz w:val="16"/>
              </w:rPr>
              <w:t>Standardized Approach for CVA Risk</w:t>
            </w:r>
          </w:p>
        </w:tc>
      </w:tr>
      <w:tr>
        <w:tc>
          <w:tcPr>
            <w:tcW w:type="dxa" w:w="6912"/>
            <w:shd w:fill="F2F2F2" w:val="clear"/>
          </w:tcPr>
          <w:p>
            <w:pPr>
              <w:jc w:val="left"/>
            </w:pPr>
            <w:r/>
            <w:r>
              <w:rPr>
                <w:rFonts w:ascii="Calibri" w:hAnsi="Calibri"/>
                <w:b/>
                <w:color w:val="000000"/>
                <w:sz w:val="16"/>
              </w:rPr>
              <w:t>SBM</w:t>
            </w:r>
          </w:p>
        </w:tc>
        <w:tc>
          <w:tcPr>
            <w:tcW w:type="dxa" w:w="6912"/>
            <w:shd w:fill="F2F2F2" w:val="clear"/>
          </w:tcPr>
          <w:p>
            <w:pPr>
              <w:jc w:val="left"/>
            </w:pPr>
            <w:r/>
            <w:r>
              <w:rPr>
                <w:rFonts w:ascii="Calibri" w:hAnsi="Calibri"/>
                <w:b w:val="0"/>
                <w:color w:val="000000"/>
                <w:sz w:val="16"/>
              </w:rPr>
              <w:t>Sensitivities-Based Method (FRTB)</w:t>
            </w:r>
          </w:p>
        </w:tc>
      </w:tr>
      <w:tr>
        <w:tc>
          <w:tcPr>
            <w:tcW w:type="dxa" w:w="6912"/>
            <w:shd w:fill="FFFFFF" w:val="clear"/>
          </w:tcPr>
          <w:p>
            <w:pPr>
              <w:jc w:val="left"/>
            </w:pPr>
            <w:r/>
            <w:r>
              <w:rPr>
                <w:rFonts w:ascii="Calibri" w:hAnsi="Calibri"/>
                <w:b/>
                <w:color w:val="000000"/>
                <w:sz w:val="16"/>
              </w:rPr>
              <w:t>SCB</w:t>
            </w:r>
          </w:p>
        </w:tc>
        <w:tc>
          <w:tcPr>
            <w:tcW w:type="dxa" w:w="6912"/>
            <w:shd w:fill="FFFFFF" w:val="clear"/>
          </w:tcPr>
          <w:p>
            <w:pPr>
              <w:jc w:val="left"/>
            </w:pPr>
            <w:r/>
            <w:r>
              <w:rPr>
                <w:rFonts w:ascii="Calibri" w:hAnsi="Calibri"/>
                <w:b w:val="0"/>
                <w:color w:val="000000"/>
                <w:sz w:val="16"/>
              </w:rPr>
              <w:t>Stress Capital Buffer (US)</w:t>
            </w:r>
          </w:p>
        </w:tc>
      </w:tr>
      <w:tr>
        <w:tc>
          <w:tcPr>
            <w:tcW w:type="dxa" w:w="6912"/>
            <w:shd w:fill="F2F2F2" w:val="clear"/>
          </w:tcPr>
          <w:p>
            <w:pPr>
              <w:jc w:val="left"/>
            </w:pPr>
            <w:r/>
            <w:r>
              <w:rPr>
                <w:rFonts w:ascii="Calibri" w:hAnsi="Calibri"/>
                <w:b/>
                <w:color w:val="000000"/>
                <w:sz w:val="16"/>
              </w:rPr>
              <w:t>SCRA</w:t>
            </w:r>
          </w:p>
        </w:tc>
        <w:tc>
          <w:tcPr>
            <w:tcW w:type="dxa" w:w="6912"/>
            <w:shd w:fill="F2F2F2" w:val="clear"/>
          </w:tcPr>
          <w:p>
            <w:pPr>
              <w:jc w:val="left"/>
            </w:pPr>
            <w:r/>
            <w:r>
              <w:rPr>
                <w:rFonts w:ascii="Calibri" w:hAnsi="Calibri"/>
                <w:b w:val="0"/>
                <w:color w:val="000000"/>
                <w:sz w:val="16"/>
              </w:rPr>
              <w:t>Standardized Credit Risk Assessment (for unrated banks)</w:t>
            </w:r>
          </w:p>
        </w:tc>
      </w:tr>
      <w:tr>
        <w:tc>
          <w:tcPr>
            <w:tcW w:type="dxa" w:w="6912"/>
            <w:shd w:fill="FFFFFF" w:val="clear"/>
          </w:tcPr>
          <w:p>
            <w:pPr>
              <w:jc w:val="left"/>
            </w:pPr>
            <w:r/>
            <w:r>
              <w:rPr>
                <w:rFonts w:ascii="Calibri" w:hAnsi="Calibri"/>
                <w:b/>
                <w:color w:val="000000"/>
                <w:sz w:val="16"/>
              </w:rPr>
              <w:t>SEC-ERBA</w:t>
            </w:r>
          </w:p>
        </w:tc>
        <w:tc>
          <w:tcPr>
            <w:tcW w:type="dxa" w:w="6912"/>
            <w:shd w:fill="FFFFFF" w:val="clear"/>
          </w:tcPr>
          <w:p>
            <w:pPr>
              <w:jc w:val="left"/>
            </w:pPr>
            <w:r/>
            <w:r>
              <w:rPr>
                <w:rFonts w:ascii="Calibri" w:hAnsi="Calibri"/>
                <w:b w:val="0"/>
                <w:color w:val="000000"/>
                <w:sz w:val="16"/>
              </w:rPr>
              <w:t>Securitization External Ratings-Based Approach</w:t>
            </w:r>
          </w:p>
        </w:tc>
      </w:tr>
      <w:tr>
        <w:tc>
          <w:tcPr>
            <w:tcW w:type="dxa" w:w="6912"/>
            <w:shd w:fill="F2F2F2" w:val="clear"/>
          </w:tcPr>
          <w:p>
            <w:pPr>
              <w:jc w:val="left"/>
            </w:pPr>
            <w:r/>
            <w:r>
              <w:rPr>
                <w:rFonts w:ascii="Calibri" w:hAnsi="Calibri"/>
                <w:b/>
                <w:color w:val="000000"/>
                <w:sz w:val="16"/>
              </w:rPr>
              <w:t>SEC-IRBA</w:t>
            </w:r>
          </w:p>
        </w:tc>
        <w:tc>
          <w:tcPr>
            <w:tcW w:type="dxa" w:w="6912"/>
            <w:shd w:fill="F2F2F2" w:val="clear"/>
          </w:tcPr>
          <w:p>
            <w:pPr>
              <w:jc w:val="left"/>
            </w:pPr>
            <w:r/>
            <w:r>
              <w:rPr>
                <w:rFonts w:ascii="Calibri" w:hAnsi="Calibri"/>
                <w:b w:val="0"/>
                <w:color w:val="000000"/>
                <w:sz w:val="16"/>
              </w:rPr>
              <w:t>Securitization Internal Ratings-Based Approach</w:t>
            </w:r>
          </w:p>
        </w:tc>
      </w:tr>
      <w:tr>
        <w:tc>
          <w:tcPr>
            <w:tcW w:type="dxa" w:w="6912"/>
            <w:shd w:fill="FFFFFF" w:val="clear"/>
          </w:tcPr>
          <w:p>
            <w:pPr>
              <w:jc w:val="left"/>
            </w:pPr>
            <w:r/>
            <w:r>
              <w:rPr>
                <w:rFonts w:ascii="Calibri" w:hAnsi="Calibri"/>
                <w:b/>
                <w:color w:val="000000"/>
                <w:sz w:val="16"/>
              </w:rPr>
              <w:t>SEC-SA</w:t>
            </w:r>
          </w:p>
        </w:tc>
        <w:tc>
          <w:tcPr>
            <w:tcW w:type="dxa" w:w="6912"/>
            <w:shd w:fill="FFFFFF" w:val="clear"/>
          </w:tcPr>
          <w:p>
            <w:pPr>
              <w:jc w:val="left"/>
            </w:pPr>
            <w:r/>
            <w:r>
              <w:rPr>
                <w:rFonts w:ascii="Calibri" w:hAnsi="Calibri"/>
                <w:b w:val="0"/>
                <w:color w:val="000000"/>
                <w:sz w:val="16"/>
              </w:rPr>
              <w:t>Securitization Standardized Approach</w:t>
            </w:r>
          </w:p>
        </w:tc>
      </w:tr>
      <w:tr>
        <w:tc>
          <w:tcPr>
            <w:tcW w:type="dxa" w:w="6912"/>
            <w:shd w:fill="F2F2F2" w:val="clear"/>
          </w:tcPr>
          <w:p>
            <w:pPr>
              <w:jc w:val="left"/>
            </w:pPr>
            <w:r/>
            <w:r>
              <w:rPr>
                <w:rFonts w:ascii="Calibri" w:hAnsi="Calibri"/>
                <w:b/>
                <w:color w:val="000000"/>
                <w:sz w:val="16"/>
              </w:rPr>
              <w:t>SFT</w:t>
            </w:r>
          </w:p>
        </w:tc>
        <w:tc>
          <w:tcPr>
            <w:tcW w:type="dxa" w:w="6912"/>
            <w:shd w:fill="F2F2F2" w:val="clear"/>
          </w:tcPr>
          <w:p>
            <w:pPr>
              <w:jc w:val="left"/>
            </w:pPr>
            <w:r/>
            <w:r>
              <w:rPr>
                <w:rFonts w:ascii="Calibri" w:hAnsi="Calibri"/>
                <w:b w:val="0"/>
                <w:color w:val="000000"/>
                <w:sz w:val="16"/>
              </w:rPr>
              <w:t>Securities Financing Transaction</w:t>
            </w:r>
          </w:p>
        </w:tc>
      </w:tr>
      <w:tr>
        <w:tc>
          <w:tcPr>
            <w:tcW w:type="dxa" w:w="6912"/>
            <w:shd w:fill="FFFFFF" w:val="clear"/>
          </w:tcPr>
          <w:p>
            <w:pPr>
              <w:jc w:val="left"/>
            </w:pPr>
            <w:r/>
            <w:r>
              <w:rPr>
                <w:rFonts w:ascii="Calibri" w:hAnsi="Calibri"/>
                <w:b/>
                <w:color w:val="000000"/>
                <w:sz w:val="16"/>
              </w:rPr>
              <w:t>SLR</w:t>
            </w:r>
          </w:p>
        </w:tc>
        <w:tc>
          <w:tcPr>
            <w:tcW w:type="dxa" w:w="6912"/>
            <w:shd w:fill="FFFFFF" w:val="clear"/>
          </w:tcPr>
          <w:p>
            <w:pPr>
              <w:jc w:val="left"/>
            </w:pPr>
            <w:r/>
            <w:r>
              <w:rPr>
                <w:rFonts w:ascii="Calibri" w:hAnsi="Calibri"/>
                <w:b w:val="0"/>
                <w:color w:val="000000"/>
                <w:sz w:val="16"/>
              </w:rPr>
              <w:t>Supplementary Leverage Ratio</w:t>
            </w:r>
          </w:p>
        </w:tc>
      </w:tr>
      <w:tr>
        <w:tc>
          <w:tcPr>
            <w:tcW w:type="dxa" w:w="6912"/>
            <w:shd w:fill="F2F2F2" w:val="clear"/>
          </w:tcPr>
          <w:p>
            <w:pPr>
              <w:jc w:val="left"/>
            </w:pPr>
            <w:r/>
            <w:r>
              <w:rPr>
                <w:rFonts w:ascii="Calibri" w:hAnsi="Calibri"/>
                <w:b/>
                <w:color w:val="000000"/>
                <w:sz w:val="16"/>
              </w:rPr>
              <w:t>SRT</w:t>
            </w:r>
          </w:p>
        </w:tc>
        <w:tc>
          <w:tcPr>
            <w:tcW w:type="dxa" w:w="6912"/>
            <w:shd w:fill="F2F2F2" w:val="clear"/>
          </w:tcPr>
          <w:p>
            <w:pPr>
              <w:jc w:val="left"/>
            </w:pPr>
            <w:r/>
            <w:r>
              <w:rPr>
                <w:rFonts w:ascii="Calibri" w:hAnsi="Calibri"/>
                <w:b w:val="0"/>
                <w:color w:val="000000"/>
                <w:sz w:val="16"/>
              </w:rPr>
              <w:t>Significant Risk Transfer</w:t>
            </w:r>
          </w:p>
        </w:tc>
      </w:tr>
      <w:tr>
        <w:tc>
          <w:tcPr>
            <w:tcW w:type="dxa" w:w="6912"/>
            <w:shd w:fill="FFFFFF" w:val="clear"/>
          </w:tcPr>
          <w:p>
            <w:pPr>
              <w:jc w:val="left"/>
            </w:pPr>
            <w:r/>
            <w:r>
              <w:rPr>
                <w:rFonts w:ascii="Calibri" w:hAnsi="Calibri"/>
                <w:b/>
                <w:color w:val="000000"/>
                <w:sz w:val="16"/>
              </w:rPr>
              <w:t>STS</w:t>
            </w:r>
          </w:p>
        </w:tc>
        <w:tc>
          <w:tcPr>
            <w:tcW w:type="dxa" w:w="6912"/>
            <w:shd w:fill="FFFFFF" w:val="clear"/>
          </w:tcPr>
          <w:p>
            <w:pPr>
              <w:jc w:val="left"/>
            </w:pPr>
            <w:r/>
            <w:r>
              <w:rPr>
                <w:rFonts w:ascii="Calibri" w:hAnsi="Calibri"/>
                <w:b w:val="0"/>
                <w:color w:val="000000"/>
                <w:sz w:val="16"/>
              </w:rPr>
              <w:t>Simple, Transparent, Standardized (Securitization)</w:t>
            </w:r>
          </w:p>
        </w:tc>
      </w:tr>
      <w:tr>
        <w:tc>
          <w:tcPr>
            <w:tcW w:type="dxa" w:w="6912"/>
            <w:shd w:fill="F2F2F2" w:val="clear"/>
          </w:tcPr>
          <w:p>
            <w:pPr>
              <w:jc w:val="left"/>
            </w:pPr>
            <w:r/>
            <w:r>
              <w:rPr>
                <w:rFonts w:ascii="Calibri" w:hAnsi="Calibri"/>
                <w:b/>
                <w:color w:val="000000"/>
                <w:sz w:val="16"/>
              </w:rPr>
              <w:t>STWF</w:t>
            </w:r>
          </w:p>
        </w:tc>
        <w:tc>
          <w:tcPr>
            <w:tcW w:type="dxa" w:w="6912"/>
            <w:shd w:fill="F2F2F2" w:val="clear"/>
          </w:tcPr>
          <w:p>
            <w:pPr>
              <w:jc w:val="left"/>
            </w:pPr>
            <w:r/>
            <w:r>
              <w:rPr>
                <w:rFonts w:ascii="Calibri" w:hAnsi="Calibri"/>
                <w:b w:val="0"/>
                <w:color w:val="000000"/>
                <w:sz w:val="16"/>
              </w:rPr>
              <w:t>Short-Term Wholesale Funding (G-SIB)</w:t>
            </w:r>
          </w:p>
        </w:tc>
      </w:tr>
      <w:tr>
        <w:tc>
          <w:tcPr>
            <w:tcW w:type="dxa" w:w="6912"/>
            <w:shd w:fill="FFFFFF" w:val="clear"/>
          </w:tcPr>
          <w:p>
            <w:pPr>
              <w:jc w:val="left"/>
            </w:pPr>
            <w:r/>
            <w:r>
              <w:rPr>
                <w:rFonts w:ascii="Calibri" w:hAnsi="Calibri"/>
                <w:b/>
                <w:color w:val="000000"/>
                <w:sz w:val="16"/>
              </w:rPr>
              <w:t>T2</w:t>
            </w:r>
          </w:p>
        </w:tc>
        <w:tc>
          <w:tcPr>
            <w:tcW w:type="dxa" w:w="6912"/>
            <w:shd w:fill="FFFFFF" w:val="clear"/>
          </w:tcPr>
          <w:p>
            <w:pPr>
              <w:jc w:val="left"/>
            </w:pPr>
            <w:r/>
            <w:r>
              <w:rPr>
                <w:rFonts w:ascii="Calibri" w:hAnsi="Calibri"/>
                <w:b w:val="0"/>
                <w:color w:val="000000"/>
                <w:sz w:val="16"/>
              </w:rPr>
              <w:t>Tier 2 Capital</w:t>
            </w:r>
          </w:p>
        </w:tc>
      </w:tr>
      <w:tr>
        <w:tc>
          <w:tcPr>
            <w:tcW w:type="dxa" w:w="6912"/>
            <w:shd w:fill="F2F2F2" w:val="clear"/>
          </w:tcPr>
          <w:p>
            <w:pPr>
              <w:jc w:val="left"/>
            </w:pPr>
            <w:r/>
            <w:r>
              <w:rPr>
                <w:rFonts w:ascii="Calibri" w:hAnsi="Calibri"/>
                <w:b/>
                <w:color w:val="000000"/>
                <w:sz w:val="16"/>
              </w:rPr>
              <w:t>TLAC</w:t>
            </w:r>
          </w:p>
        </w:tc>
        <w:tc>
          <w:tcPr>
            <w:tcW w:type="dxa" w:w="6912"/>
            <w:shd w:fill="F2F2F2" w:val="clear"/>
          </w:tcPr>
          <w:p>
            <w:pPr>
              <w:jc w:val="left"/>
            </w:pPr>
            <w:r/>
            <w:r>
              <w:rPr>
                <w:rFonts w:ascii="Calibri" w:hAnsi="Calibri"/>
                <w:b w:val="0"/>
                <w:color w:val="000000"/>
                <w:sz w:val="16"/>
              </w:rPr>
              <w:t>Total Loss Absorbing Capacity</w:t>
            </w:r>
          </w:p>
        </w:tc>
      </w:tr>
      <w:tr>
        <w:tc>
          <w:tcPr>
            <w:tcW w:type="dxa" w:w="6912"/>
            <w:shd w:fill="FFFFFF" w:val="clear"/>
          </w:tcPr>
          <w:p>
            <w:pPr>
              <w:jc w:val="left"/>
            </w:pPr>
            <w:r/>
            <w:r>
              <w:rPr>
                <w:rFonts w:ascii="Calibri" w:hAnsi="Calibri"/>
                <w:b/>
                <w:color w:val="000000"/>
                <w:sz w:val="16"/>
              </w:rPr>
              <w:t>UCC</w:t>
            </w:r>
          </w:p>
        </w:tc>
        <w:tc>
          <w:tcPr>
            <w:tcW w:type="dxa" w:w="6912"/>
            <w:shd w:fill="FFFFFF" w:val="clear"/>
          </w:tcPr>
          <w:p>
            <w:pPr>
              <w:jc w:val="left"/>
            </w:pPr>
            <w:r/>
            <w:r>
              <w:rPr>
                <w:rFonts w:ascii="Calibri" w:hAnsi="Calibri"/>
                <w:b w:val="0"/>
                <w:color w:val="000000"/>
                <w:sz w:val="16"/>
              </w:rPr>
              <w:t>Unconditionally Cancellable Commitment</w:t>
            </w:r>
          </w:p>
        </w:tc>
      </w:tr>
    </w:tbl>
    <w:p>
      <w:r>
        <w:br w:type="page"/>
      </w:r>
    </w:p>
    <w:p>
      <w:pPr>
        <w:jc w:val="center"/>
      </w:pPr>
      <w:r>
        <w:rPr>
          <w:b/>
          <w:color w:val="002060"/>
          <w:sz w:val="28"/>
        </w:rPr>
        <w:t>END OF DOCUMENT</w:t>
      </w:r>
    </w:p>
    <w:p/>
    <w:p>
      <w:pPr>
        <w:jc w:val="center"/>
      </w:pPr>
      <w:r>
        <w:rPr>
          <w:i/>
          <w:color w:val="808080"/>
          <w:sz w:val="16"/>
        </w:rPr>
        <w:t>DISCLAIMER: This document is prepared for internal analytical purposes only. Regulatory interpretations should be verified against source documents. Parameters marked TODO: VERIFY require additional validation against final rule text.</w:t>
      </w:r>
    </w:p>
    <w:sectPr w:rsidR="00FC693F" w:rsidRPr="0006063C" w:rsidSect="00034616">
      <w:pgSz w:w="15840" w:h="12240" w:orient="landscape"/>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