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Lines w:val="1"/>
        <w:spacing w:after="80" w:before="360" w:lineRule="auto"/>
        <w:jc w:val="left"/>
        <w:rPr>
          <w:rFonts w:ascii="Arial" w:cs="Arial" w:eastAsia="Arial" w:hAnsi="Arial"/>
        </w:rPr>
      </w:pPr>
      <w:bookmarkStart w:colFirst="0" w:colLast="0" w:name="_rz9ns6p3xyq5" w:id="0"/>
      <w:bookmarkEnd w:id="0"/>
      <w:r w:rsidDel="00000000" w:rsidR="00000000" w:rsidRPr="00000000">
        <w:rPr>
          <w:rFonts w:ascii="Arial" w:cs="Arial" w:eastAsia="Arial" w:hAnsi="Arial"/>
          <w:rtl w:val="0"/>
        </w:rPr>
        <w:t xml:space="preserve">Project: Summarizing and Analyzing Research Papers</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Learner Name</w:t>
      </w:r>
      <w:r w:rsidDel="00000000" w:rsidR="00000000" w:rsidRPr="00000000">
        <w:rPr>
          <w:rFonts w:ascii="Arial" w:cs="Arial" w:eastAsia="Arial" w:hAnsi="Arial"/>
          <w:sz w:val="28"/>
          <w:szCs w:val="28"/>
          <w:rtl w:val="0"/>
        </w:rPr>
        <w:t xml:space="preserve">: Ankit Kumar</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Learner Email</w:t>
      </w:r>
      <w:r w:rsidDel="00000000" w:rsidR="00000000" w:rsidRPr="00000000">
        <w:rPr>
          <w:rFonts w:ascii="Arial" w:cs="Arial" w:eastAsia="Arial" w:hAnsi="Arial"/>
          <w:sz w:val="28"/>
          <w:szCs w:val="28"/>
          <w:rtl w:val="0"/>
        </w:rPr>
        <w:t xml:space="preserve">: ak018227@gmail.com</w:t>
      </w:r>
    </w:p>
    <w:p w:rsidR="00000000" w:rsidDel="00000000" w:rsidP="00000000" w:rsidRDefault="00000000" w:rsidRPr="00000000" w14:paraId="00000004">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Topic</w:t>
      </w:r>
      <w:r w:rsidDel="00000000" w:rsidR="00000000" w:rsidRPr="00000000">
        <w:rPr>
          <w:rFonts w:ascii="Arial" w:cs="Arial" w:eastAsia="Arial" w:hAnsi="Arial"/>
          <w:sz w:val="28"/>
          <w:szCs w:val="28"/>
          <w:rtl w:val="0"/>
        </w:rPr>
        <w:t xml:space="preserve">: Engineering</w:t>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Research Paper</w:t>
      </w:r>
      <w:r w:rsidDel="00000000" w:rsidR="00000000" w:rsidRPr="00000000">
        <w:rPr>
          <w:rFonts w:ascii="Arial" w:cs="Arial" w:eastAsia="Arial" w:hAnsi="Arial"/>
          <w:sz w:val="28"/>
          <w:szCs w:val="28"/>
          <w:rtl w:val="0"/>
        </w:rPr>
        <w:t xml:space="preserve">: </w:t>
      </w:r>
      <w:hyperlink r:id="rId6">
        <w:r w:rsidDel="00000000" w:rsidR="00000000" w:rsidRPr="00000000">
          <w:rPr>
            <w:rFonts w:ascii="Arial" w:cs="Arial" w:eastAsia="Arial" w:hAnsi="Arial"/>
            <w:b w:val="1"/>
            <w:sz w:val="28"/>
            <w:szCs w:val="28"/>
            <w:u w:val="single"/>
            <w:rtl w:val="0"/>
          </w:rPr>
          <w:t xml:space="preserve">The role of hydrogen and fuel cells in the global energy system</w:t>
        </w:r>
      </w:hyperlink>
      <w:r w:rsidDel="00000000" w:rsidR="00000000" w:rsidRPr="00000000">
        <w:rPr>
          <w:rtl w:val="0"/>
        </w:rPr>
      </w:r>
    </w:p>
    <w:p w:rsidR="00000000" w:rsidDel="00000000" w:rsidP="00000000" w:rsidRDefault="00000000" w:rsidRPr="00000000" w14:paraId="0000000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pStyle w:val="Heading3"/>
        <w:rPr>
          <w:sz w:val="32"/>
          <w:szCs w:val="32"/>
        </w:rPr>
      </w:pPr>
      <w:bookmarkStart w:colFirst="0" w:colLast="0" w:name="_qj2s2byof54z" w:id="1"/>
      <w:bookmarkEnd w:id="1"/>
      <w:r w:rsidDel="00000000" w:rsidR="00000000" w:rsidRPr="00000000">
        <w:rPr>
          <w:sz w:val="32"/>
          <w:szCs w:val="32"/>
          <w:rtl w:val="0"/>
        </w:rPr>
        <w:t xml:space="preserve">Initial Prompt</w:t>
      </w:r>
    </w:p>
    <w:p w:rsidR="00000000" w:rsidDel="00000000" w:rsidP="00000000" w:rsidRDefault="00000000" w:rsidRPr="00000000" w14:paraId="00000008">
      <w:pPr>
        <w:rPr>
          <w:rFonts w:ascii="Arial" w:cs="Arial" w:eastAsia="Arial" w:hAnsi="Arial"/>
          <w:sz w:val="26"/>
          <w:szCs w:val="26"/>
          <w:highlight w:val="white"/>
        </w:rPr>
      </w:pPr>
      <w:r w:rsidDel="00000000" w:rsidR="00000000" w:rsidRPr="00000000">
        <w:rPr>
          <w:rFonts w:ascii="Arial" w:cs="Arial" w:eastAsia="Arial" w:hAnsi="Arial"/>
          <w:b w:val="1"/>
          <w:sz w:val="26"/>
          <w:szCs w:val="26"/>
          <w:rtl w:val="0"/>
        </w:rPr>
        <w:t xml:space="preserve">Prompt: </w:t>
      </w:r>
      <w:r w:rsidDel="00000000" w:rsidR="00000000" w:rsidRPr="00000000">
        <w:rPr>
          <w:rFonts w:ascii="Arial" w:cs="Arial" w:eastAsia="Arial" w:hAnsi="Arial"/>
          <w:sz w:val="26"/>
          <w:szCs w:val="26"/>
          <w:highlight w:val="white"/>
          <w:rtl w:val="0"/>
        </w:rPr>
        <w:t xml:space="preserve">Focus on the main findings, the role of hydrogen and fuel cells in decarbonization, and the challenges and opportunities associated with their integration into the global energy system.</w:t>
      </w:r>
    </w:p>
    <w:p w:rsidR="00000000" w:rsidDel="00000000" w:rsidP="00000000" w:rsidRDefault="00000000" w:rsidRPr="00000000" w14:paraId="00000009">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Description: </w:t>
      </w:r>
      <w:r w:rsidDel="00000000" w:rsidR="00000000" w:rsidRPr="00000000">
        <w:rPr>
          <w:rFonts w:ascii="Arial" w:cs="Arial" w:eastAsia="Arial" w:hAnsi="Arial"/>
          <w:sz w:val="26"/>
          <w:szCs w:val="26"/>
          <w:highlight w:val="white"/>
          <w:rtl w:val="0"/>
        </w:rPr>
        <w:t xml:space="preserve">The review emphasizes the pivotal role of hydrogen and fuel cells in decarbonization, offering solutions for sustainable energy across sectors such as transportation, heat production, and electricity. It highlights the potential for deep decarbonization and the cost-effective transition to a low-carbon economy. The document also addresses the challenges of integrating these technologies, including infrastructure needs, policy complexities, and global support, while underscoring the diverse applications and contributions of hydrogen and fuel cells across the energy system. Overall, it provides a comprehensive analysis of the potential impact of these technologies and the associated challenges and opportunities in the global energy system.</w:t>
      </w:r>
      <w:r w:rsidDel="00000000" w:rsidR="00000000" w:rsidRPr="00000000">
        <w:rPr>
          <w:rtl w:val="0"/>
        </w:rPr>
      </w:r>
    </w:p>
    <w:p w:rsidR="00000000" w:rsidDel="00000000" w:rsidP="00000000" w:rsidRDefault="00000000" w:rsidRPr="00000000" w14:paraId="0000000B">
      <w:pPr>
        <w:pStyle w:val="Heading3"/>
        <w:rPr>
          <w:sz w:val="32"/>
          <w:szCs w:val="32"/>
        </w:rPr>
      </w:pPr>
      <w:bookmarkStart w:colFirst="0" w:colLast="0" w:name="_e50zsrdakmf9" w:id="2"/>
      <w:bookmarkEnd w:id="2"/>
      <w:r w:rsidDel="00000000" w:rsidR="00000000" w:rsidRPr="00000000">
        <w:rPr>
          <w:sz w:val="32"/>
          <w:szCs w:val="32"/>
          <w:rtl w:val="0"/>
        </w:rPr>
        <w:t xml:space="preserve">Iteration 1</w:t>
      </w:r>
    </w:p>
    <w:p w:rsidR="00000000" w:rsidDel="00000000" w:rsidP="00000000" w:rsidRDefault="00000000" w:rsidRPr="00000000" w14:paraId="0000000C">
      <w:pPr>
        <w:rPr>
          <w:rFonts w:ascii="Arial" w:cs="Arial" w:eastAsia="Arial" w:hAnsi="Arial"/>
          <w:sz w:val="26"/>
          <w:szCs w:val="26"/>
          <w:highlight w:val="white"/>
        </w:rPr>
      </w:pPr>
      <w:r w:rsidDel="00000000" w:rsidR="00000000" w:rsidRPr="00000000">
        <w:rPr>
          <w:rFonts w:ascii="Arial" w:cs="Arial" w:eastAsia="Arial" w:hAnsi="Arial"/>
          <w:b w:val="1"/>
          <w:sz w:val="28"/>
          <w:szCs w:val="28"/>
          <w:rtl w:val="0"/>
        </w:rPr>
        <w:t xml:space="preserve">Prompt: </w:t>
      </w:r>
      <w:r w:rsidDel="00000000" w:rsidR="00000000" w:rsidRPr="00000000">
        <w:rPr>
          <w:rFonts w:ascii="Arial" w:cs="Arial" w:eastAsia="Arial" w:hAnsi="Arial"/>
          <w:sz w:val="26"/>
          <w:szCs w:val="26"/>
          <w:highlight w:val="white"/>
          <w:rtl w:val="0"/>
        </w:rPr>
        <w:t xml:space="preserve">Highlight the role of hydrogen as a versatile energy carrier, its integration with renewable energy sources, and the long-term implications for global energy security and sustainability. Focus on both the opportunities and limitations presented by hydrogen and fuel cell technologies.</w:t>
      </w:r>
    </w:p>
    <w:p w:rsidR="00000000" w:rsidDel="00000000" w:rsidP="00000000" w:rsidRDefault="00000000" w:rsidRPr="00000000" w14:paraId="0000000D">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sz w:val="26"/>
          <w:szCs w:val="26"/>
        </w:rPr>
      </w:pPr>
      <w:r w:rsidDel="00000000" w:rsidR="00000000" w:rsidRPr="00000000">
        <w:rPr>
          <w:rFonts w:ascii="Arial" w:cs="Arial" w:eastAsia="Arial" w:hAnsi="Arial"/>
          <w:b w:val="1"/>
          <w:sz w:val="28"/>
          <w:szCs w:val="28"/>
          <w:rtl w:val="0"/>
        </w:rPr>
        <w:t xml:space="preserve">Description: </w:t>
      </w:r>
      <w:r w:rsidDel="00000000" w:rsidR="00000000" w:rsidRPr="00000000">
        <w:rPr>
          <w:rFonts w:ascii="Arial" w:cs="Arial" w:eastAsia="Arial" w:hAnsi="Arial"/>
          <w:sz w:val="26"/>
          <w:szCs w:val="26"/>
          <w:highlight w:val="white"/>
          <w:rtl w:val="0"/>
        </w:rPr>
        <w:t xml:space="preserve">The review emphasizes hydrogen's role as a versatile energy carrier, capable of integrating with renewable energy sources to enhance sustainability and energy security. It highlights the potential for hydrogen to facilitate the storage and distribution of renewable energy, addressing intermittency challenges. Furthermore, the document underscores the long-term implications for global energy security and sustainability, emphasizing the opportunities for deep decarbonization across various sectors. However, it also acknowledges limitations, including infrastructure requirements, economic challenges, and the need for supportive policies. Overall, it provides insights into the potential of hydrogen and fuel cell technologies while addressing the complexities and opportunities associated with their integration into the global energy landscape.</w:t>
      </w:r>
      <w:r w:rsidDel="00000000" w:rsidR="00000000" w:rsidRPr="00000000">
        <w:rPr>
          <w:rtl w:val="0"/>
        </w:rPr>
      </w:r>
    </w:p>
    <w:p w:rsidR="00000000" w:rsidDel="00000000" w:rsidP="00000000" w:rsidRDefault="00000000" w:rsidRPr="00000000" w14:paraId="0000000F">
      <w:pPr>
        <w:pStyle w:val="Heading3"/>
        <w:rPr>
          <w:sz w:val="32"/>
          <w:szCs w:val="32"/>
        </w:rPr>
      </w:pPr>
      <w:bookmarkStart w:colFirst="0" w:colLast="0" w:name="_70xw6gggplxg" w:id="3"/>
      <w:bookmarkEnd w:id="3"/>
      <w:r w:rsidDel="00000000" w:rsidR="00000000" w:rsidRPr="00000000">
        <w:rPr>
          <w:sz w:val="32"/>
          <w:szCs w:val="32"/>
          <w:rtl w:val="0"/>
        </w:rPr>
        <w:t xml:space="preserve">Iteration 2</w:t>
      </w:r>
    </w:p>
    <w:p w:rsidR="00000000" w:rsidDel="00000000" w:rsidP="00000000" w:rsidRDefault="00000000" w:rsidRPr="00000000" w14:paraId="00000010">
      <w:pPr>
        <w:rPr>
          <w:rFonts w:ascii="Arial" w:cs="Arial" w:eastAsia="Arial" w:hAnsi="Arial"/>
          <w:sz w:val="26"/>
          <w:szCs w:val="26"/>
        </w:rPr>
      </w:pPr>
      <w:r w:rsidDel="00000000" w:rsidR="00000000" w:rsidRPr="00000000">
        <w:rPr>
          <w:rFonts w:ascii="Arial" w:cs="Arial" w:eastAsia="Arial" w:hAnsi="Arial"/>
          <w:b w:val="1"/>
          <w:sz w:val="28"/>
          <w:szCs w:val="28"/>
          <w:rtl w:val="0"/>
        </w:rPr>
        <w:t xml:space="preserve">Prompt:</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Focus on the technological advancements and economic challenges of hydrogen and fuel cell integration into the energy grid. Discuss the potential for scaling these technologies and the future outlook for their role in achieving global energy sustainability."</w:t>
      </w:r>
    </w:p>
    <w:p w:rsidR="00000000" w:rsidDel="00000000" w:rsidP="00000000" w:rsidRDefault="00000000" w:rsidRPr="00000000" w14:paraId="00000011">
      <w:pPr>
        <w:rPr>
          <w:rFonts w:ascii="Arial" w:cs="Arial" w:eastAsia="Arial" w:hAnsi="Arial"/>
          <w:sz w:val="26"/>
          <w:szCs w:val="26"/>
        </w:rPr>
      </w:pPr>
      <w:r w:rsidDel="00000000" w:rsidR="00000000" w:rsidRPr="00000000">
        <w:rPr>
          <w:rFonts w:ascii="Arial" w:cs="Arial" w:eastAsia="Arial" w:hAnsi="Arial"/>
          <w:b w:val="1"/>
          <w:sz w:val="28"/>
          <w:szCs w:val="28"/>
          <w:rtl w:val="0"/>
        </w:rPr>
        <w:t xml:space="preserve">Description: </w:t>
      </w:r>
      <w:r w:rsidDel="00000000" w:rsidR="00000000" w:rsidRPr="00000000">
        <w:rPr>
          <w:rFonts w:ascii="Arial" w:cs="Arial" w:eastAsia="Arial" w:hAnsi="Arial"/>
          <w:sz w:val="26"/>
          <w:szCs w:val="26"/>
          <w:highlight w:val="white"/>
          <w:rtl w:val="0"/>
        </w:rPr>
        <w:t xml:space="preserve">The review highlights significant technological advancements in integrating hydrogen and fuel cells into the energy grid, particularly in small-scale power generation and electricity storage. It emphasizes their potential for scaling across various sectors, offering a promising outlook for achieving global energy sustainability. However, the document also addresses economic challenges, including infrastructure requirements and policy complexities, which could impact their widespread adoption. Overall, it provides insights into the potential of these technologies while acknowledging the need to address economic challenges and policy support to fully realize their role in achieving global energy sustainability.</w:t>
      </w:r>
      <w:r w:rsidDel="00000000" w:rsidR="00000000" w:rsidRPr="00000000">
        <w:rPr>
          <w:rtl w:val="0"/>
        </w:rPr>
      </w:r>
    </w:p>
    <w:p w:rsidR="00000000" w:rsidDel="00000000" w:rsidP="00000000" w:rsidRDefault="00000000" w:rsidRPr="00000000" w14:paraId="00000012">
      <w:pPr>
        <w:pStyle w:val="Heading3"/>
        <w:rPr>
          <w:sz w:val="32"/>
          <w:szCs w:val="32"/>
        </w:rPr>
      </w:pPr>
      <w:bookmarkStart w:colFirst="0" w:colLast="0" w:name="_18z8r548g2vy" w:id="4"/>
      <w:bookmarkEnd w:id="4"/>
      <w:r w:rsidDel="00000000" w:rsidR="00000000" w:rsidRPr="00000000">
        <w:rPr>
          <w:sz w:val="32"/>
          <w:szCs w:val="32"/>
          <w:rtl w:val="0"/>
        </w:rPr>
        <w:t xml:space="preserve">Final Prompt</w:t>
      </w:r>
    </w:p>
    <w:p w:rsidR="00000000" w:rsidDel="00000000" w:rsidP="00000000" w:rsidRDefault="00000000" w:rsidRPr="00000000" w14:paraId="00000013">
      <w:pPr>
        <w:rPr>
          <w:rFonts w:ascii="Arial" w:cs="Arial" w:eastAsia="Arial" w:hAnsi="Arial"/>
          <w:sz w:val="26"/>
          <w:szCs w:val="26"/>
          <w:highlight w:val="white"/>
        </w:rPr>
      </w:pPr>
      <w:r w:rsidDel="00000000" w:rsidR="00000000" w:rsidRPr="00000000">
        <w:rPr>
          <w:rFonts w:ascii="Arial" w:cs="Arial" w:eastAsia="Arial" w:hAnsi="Arial"/>
          <w:b w:val="1"/>
          <w:sz w:val="28"/>
          <w:szCs w:val="28"/>
          <w:rtl w:val="0"/>
        </w:rPr>
        <w:t xml:space="preserve">Prompt:</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white"/>
          <w:rtl w:val="0"/>
        </w:rPr>
        <w:t xml:space="preserve">Generate a concise 100-word summary that captures the key aspects of the research paper. Highlight technological advancements, economic challenges, infrastructure needs, and the potential of hydrogen to decarbonize various sectors. Also, emphasize the future role of hydrogen in achieving a sustainable energy system</w:t>
      </w:r>
    </w:p>
    <w:p w:rsidR="00000000" w:rsidDel="00000000" w:rsidP="00000000" w:rsidRDefault="00000000" w:rsidRPr="00000000" w14:paraId="00000014">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5">
      <w:pPr>
        <w:rPr>
          <w:rFonts w:ascii="Arial" w:cs="Arial" w:eastAsia="Arial" w:hAnsi="Arial"/>
          <w:sz w:val="26"/>
          <w:szCs w:val="26"/>
        </w:rPr>
      </w:pPr>
      <w:r w:rsidDel="00000000" w:rsidR="00000000" w:rsidRPr="00000000">
        <w:rPr>
          <w:rFonts w:ascii="Arial" w:cs="Arial" w:eastAsia="Arial" w:hAnsi="Arial"/>
          <w:b w:val="1"/>
          <w:sz w:val="28"/>
          <w:szCs w:val="28"/>
          <w:rtl w:val="0"/>
        </w:rPr>
        <w:t xml:space="preserve">Description: </w:t>
      </w:r>
      <w:r w:rsidDel="00000000" w:rsidR="00000000" w:rsidRPr="00000000">
        <w:rPr>
          <w:rFonts w:ascii="Arial" w:cs="Arial" w:eastAsia="Arial" w:hAnsi="Arial"/>
          <w:sz w:val="26"/>
          <w:szCs w:val="26"/>
          <w:highlight w:val="white"/>
          <w:rtl w:val="0"/>
        </w:rPr>
        <w:t xml:space="preserve">The research paper delves into the multifaceted landscape of hydrogen and fuel cell technologies, spotlighting their pivotal role in decarbonizing diverse sectors. It underscores significant technological advancements, particularly in small-scale power generation and electricity storage, while addressing economic challenges and infrastructure needs that could impact their global adoption. The paper emphasizes the potential of hydrogen to integrate with renewable energy sources, offering a promising outlook for achieving a sustainable energy system. It provides valuable insights into the complexities and opportunities associated with these technologies, highlighting their potential to revolutionize the global energy landscape and contribute to a sustainable, low-carbon future</w:t>
      </w:r>
      <w:r w:rsidDel="00000000" w:rsidR="00000000" w:rsidRPr="00000000">
        <w:rPr>
          <w:rtl w:val="0"/>
        </w:rPr>
      </w:r>
    </w:p>
    <w:p w:rsidR="00000000" w:rsidDel="00000000" w:rsidP="00000000" w:rsidRDefault="00000000" w:rsidRPr="00000000" w14:paraId="0000001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7">
      <w:pPr>
        <w:pStyle w:val="Heading3"/>
        <w:keepNext w:val="0"/>
        <w:spacing w:after="0" w:before="0" w:lineRule="auto"/>
        <w:rPr>
          <w:sz w:val="32"/>
          <w:szCs w:val="32"/>
        </w:rPr>
      </w:pPr>
      <w:bookmarkStart w:colFirst="0" w:colLast="0" w:name="_u0mff6miurbc" w:id="5"/>
      <w:bookmarkEnd w:id="5"/>
      <w:r w:rsidDel="00000000" w:rsidR="00000000" w:rsidRPr="00000000">
        <w:rPr>
          <w:sz w:val="32"/>
          <w:szCs w:val="32"/>
          <w:rtl w:val="0"/>
        </w:rPr>
        <w:t xml:space="preserve">Insights and Applications</w:t>
      </w:r>
    </w:p>
    <w:p w:rsidR="00000000" w:rsidDel="00000000" w:rsidP="00000000" w:rsidRDefault="00000000" w:rsidRPr="00000000" w14:paraId="0000001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rPr>
          <w:rFonts w:ascii="Arial" w:cs="Arial" w:eastAsia="Arial" w:hAnsi="Arial"/>
          <w:sz w:val="26"/>
          <w:szCs w:val="26"/>
        </w:rPr>
      </w:pPr>
      <w:r w:rsidDel="00000000" w:rsidR="00000000" w:rsidRPr="00000000">
        <w:rPr>
          <w:rFonts w:ascii="Arial" w:cs="Arial" w:eastAsia="Arial" w:hAnsi="Arial"/>
          <w:b w:val="1"/>
          <w:sz w:val="28"/>
          <w:szCs w:val="28"/>
          <w:rtl w:val="0"/>
        </w:rPr>
        <w:t xml:space="preserve">Key Insights (150 words max)</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highlight w:val="white"/>
          <w:rtl w:val="0"/>
        </w:rPr>
        <w:t xml:space="preserve">The research paper delves into the transformative potential of hydrogen and fuel cell technologies in reducing carbon emissions and advancing sustainable energy systems. It underscores significant strides in fuel cell technology, particularly in small-scale power generation and electricity storage, highlighting their potential to revolutionize diverse sectors. However, the paper also addresses economic and infrastructural challenges that could impede their widespread adoption. These insights have profound implications for global energy policies, emphasizing the need for supportive frameworks to overcome economic and infrastructural barriers. Moreover, the research underscores the pivotal role of hydrogen in achieving sustainability and energy security, offering a promising outlook for integrating with renewable energy sources. By acknowledging the complexities and opportunities associated with these technologies, the paper provides valuable insights into their potential to drive a sustainable, low-carbon future and reshape the global energy landscape.</w:t>
      </w:r>
      <w:r w:rsidDel="00000000" w:rsidR="00000000" w:rsidRPr="00000000">
        <w:rPr>
          <w:rtl w:val="0"/>
        </w:rPr>
      </w:r>
    </w:p>
    <w:p w:rsidR="00000000" w:rsidDel="00000000" w:rsidP="00000000" w:rsidRDefault="00000000" w:rsidRPr="00000000" w14:paraId="0000001A">
      <w:pPr>
        <w:rPr>
          <w:rFonts w:ascii="Arial" w:cs="Arial" w:eastAsia="Arial" w:hAnsi="Arial"/>
          <w:sz w:val="26"/>
          <w:szCs w:val="26"/>
          <w:highlight w:val="white"/>
        </w:rPr>
      </w:pPr>
      <w:r w:rsidDel="00000000" w:rsidR="00000000" w:rsidRPr="00000000">
        <w:rPr>
          <w:rFonts w:ascii="Arial" w:cs="Arial" w:eastAsia="Arial" w:hAnsi="Arial"/>
          <w:b w:val="1"/>
          <w:sz w:val="28"/>
          <w:szCs w:val="28"/>
          <w:rtl w:val="0"/>
        </w:rPr>
        <w:t xml:space="preserve">Potential Applications (150 words max)</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highlight w:val="white"/>
          <w:rtl w:val="0"/>
        </w:rPr>
        <w:t xml:space="preserve">The research paper outlines a myriad of potential applications for hydrogen and fuel cell technologies, spanning various sectors. It highlights their role in small-scale power generation, electricity storage, and heat production for residential, commercial, and industrial users. Moreover, the paper underscores their suitability for diverse transportation modes, including personal vehicles, heavy-duty freight, public transit vehicles, and even air and sea transport. The potential applications extend to infrastructure needs, with options for utilizing existing gas grids and addressing compression and purity requirements. Furthermore, the research emphasizes the versatility of hydrogen and fuel cells in integrating with renewable energy sources, offering a promising outlook for achieving a sustainable energy system. By acknowledging the complexities and opportunities associated with these technologies, the paper provides valuable insights into their potential to revolutionize the global energy landscape and contribute to a sustainable, low-carbon future.</w:t>
      </w:r>
    </w:p>
    <w:p w:rsidR="00000000" w:rsidDel="00000000" w:rsidP="00000000" w:rsidRDefault="00000000" w:rsidRPr="00000000" w14:paraId="0000001B">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C">
      <w:pPr>
        <w:pStyle w:val="Heading3"/>
        <w:keepNext w:val="0"/>
        <w:spacing w:after="80" w:before="280" w:lineRule="auto"/>
        <w:rPr>
          <w:sz w:val="32"/>
          <w:szCs w:val="32"/>
          <w:highlight w:val="white"/>
        </w:rPr>
      </w:pPr>
      <w:bookmarkStart w:colFirst="0" w:colLast="0" w:name="_txq9lntx8myg" w:id="6"/>
      <w:bookmarkEnd w:id="6"/>
      <w:r w:rsidDel="00000000" w:rsidR="00000000" w:rsidRPr="00000000">
        <w:rPr>
          <w:sz w:val="32"/>
          <w:szCs w:val="32"/>
          <w:highlight w:val="white"/>
          <w:rtl w:val="0"/>
        </w:rPr>
        <w:t xml:space="preserve">Evaluation</w:t>
      </w:r>
    </w:p>
    <w:p w:rsidR="00000000" w:rsidDel="00000000" w:rsidP="00000000" w:rsidRDefault="00000000" w:rsidRPr="00000000" w14:paraId="0000001D">
      <w:pPr>
        <w:spacing w:after="240" w:before="240" w:lineRule="auto"/>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Clarity (50 words max):</w:t>
        <w:br w:type="textWrapping"/>
      </w:r>
      <w:r w:rsidDel="00000000" w:rsidR="00000000" w:rsidRPr="00000000">
        <w:rPr>
          <w:rFonts w:ascii="Arial" w:cs="Arial" w:eastAsia="Arial" w:hAnsi="Arial"/>
          <w:sz w:val="26"/>
          <w:szCs w:val="26"/>
          <w:highlight w:val="white"/>
          <w:rtl w:val="0"/>
        </w:rPr>
        <w:t xml:space="preserve">The final summary, key insights, and potential applications are clear and well-organized. They effectively convey the essential aspects of the research paper, providing a coherent view of hydrogen and fuel cell technologies. The language is precise, making complex concepts accessible and easy to understand.</w:t>
      </w:r>
    </w:p>
    <w:p w:rsidR="00000000" w:rsidDel="00000000" w:rsidP="00000000" w:rsidRDefault="00000000" w:rsidRPr="00000000" w14:paraId="0000001E">
      <w:pPr>
        <w:spacing w:after="240" w:before="240" w:lineRule="auto"/>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Accuracy (50 words max):</w:t>
        <w:br w:type="textWrapping"/>
      </w:r>
      <w:r w:rsidDel="00000000" w:rsidR="00000000" w:rsidRPr="00000000">
        <w:rPr>
          <w:rFonts w:ascii="Arial" w:cs="Arial" w:eastAsia="Arial" w:hAnsi="Arial"/>
          <w:sz w:val="26"/>
          <w:szCs w:val="26"/>
          <w:highlight w:val="white"/>
          <w:rtl w:val="0"/>
        </w:rPr>
        <w:t xml:space="preserve">The summaries and insights accurately reflect the research paper’s content, highlighting key advancements, challenges, and applications of hydrogen and fuel cells. The information aligns well with the paper’s findings, ensuring that the summaries faithfully represent the authors' conclusions and data.</w:t>
      </w:r>
    </w:p>
    <w:p w:rsidR="00000000" w:rsidDel="00000000" w:rsidP="00000000" w:rsidRDefault="00000000" w:rsidRPr="00000000" w14:paraId="0000001F">
      <w:pPr>
        <w:spacing w:after="240" w:before="240" w:lineRule="auto"/>
        <w:rPr>
          <w:highlight w:val="white"/>
        </w:rPr>
      </w:pPr>
      <w:r w:rsidDel="00000000" w:rsidR="00000000" w:rsidRPr="00000000">
        <w:rPr>
          <w:rFonts w:ascii="Arial" w:cs="Arial" w:eastAsia="Arial" w:hAnsi="Arial"/>
          <w:b w:val="1"/>
          <w:sz w:val="26"/>
          <w:szCs w:val="26"/>
          <w:highlight w:val="white"/>
          <w:rtl w:val="0"/>
        </w:rPr>
        <w:t xml:space="preserve">Relevance (50 words max):</w:t>
        <w:br w:type="textWrapping"/>
      </w:r>
      <w:r w:rsidDel="00000000" w:rsidR="00000000" w:rsidRPr="00000000">
        <w:rPr>
          <w:rFonts w:ascii="Arial" w:cs="Arial" w:eastAsia="Arial" w:hAnsi="Arial"/>
          <w:sz w:val="26"/>
          <w:szCs w:val="26"/>
          <w:highlight w:val="white"/>
          <w:rtl w:val="0"/>
        </w:rPr>
        <w:t xml:space="preserve">The insights and applications are highly relevant, addressing core topics of the research paper. They provide a focused view of hydrogen’s potential and the practical implications for global energy systems, aligning with current discussions on sustainability and energy policy.</w:t>
      </w:r>
      <w:r w:rsidDel="00000000" w:rsidR="00000000" w:rsidRPr="00000000">
        <w:rPr>
          <w:rtl w:val="0"/>
        </w:rPr>
      </w:r>
    </w:p>
    <w:p w:rsidR="00000000" w:rsidDel="00000000" w:rsidP="00000000" w:rsidRDefault="00000000" w:rsidRPr="00000000" w14:paraId="00000020">
      <w:pPr>
        <w:spacing w:after="240" w:before="240" w:lineRule="auto"/>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Reflection (250 words max):</w:t>
        <w:br w:type="textWrapping"/>
      </w:r>
      <w:r w:rsidDel="00000000" w:rsidR="00000000" w:rsidRPr="00000000">
        <w:rPr>
          <w:rFonts w:ascii="Arial" w:cs="Arial" w:eastAsia="Arial" w:hAnsi="Arial"/>
          <w:sz w:val="26"/>
          <w:szCs w:val="26"/>
          <w:highlight w:val="white"/>
          <w:rtl w:val="0"/>
        </w:rPr>
        <w:t xml:space="preserve">This project was a valuable exercise in refining my skills in prompt engineering and summarizing complex research. Crafting effective prompts required careful consideration of what aspects of the paper to emphasize, whether it was technological advancements, economic challenges, or potential applications. Iterating on prompts helped to hone in on the most relevant and insightful information, which was crucial for creating a concise and informative summary.</w:t>
      </w:r>
    </w:p>
    <w:p w:rsidR="00000000" w:rsidDel="00000000" w:rsidP="00000000" w:rsidRDefault="00000000" w:rsidRPr="00000000" w14:paraId="00000021">
      <w:pPr>
        <w:spacing w:after="240" w:befor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One of the main challenges was balancing detail with brevity. The initial prompts often produced summaries that were either too broad or lacked specific insights. Through iterative refinement, I learned the importance of clear, focused prompts in extracting precise information. This process highlighted how nuanced prompt engineering can lead to better, more targeted summaries.</w:t>
      </w:r>
    </w:p>
    <w:p w:rsidR="00000000" w:rsidDel="00000000" w:rsidP="00000000" w:rsidRDefault="00000000" w:rsidRPr="00000000" w14:paraId="00000022">
      <w:pPr>
        <w:spacing w:after="240" w:befor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The insights gained from the research paper revealed the significant potential of hydrogen and fuel cell technologies in advancing sustainable energy systems. It was enlightening to see how these technologies could address both energy and environmental challenges. This project also underscored the importance of understanding both the opportunities and barriers associated with emerging technologies, which is essential for evaluating their impact on global energy systems.</w:t>
      </w:r>
    </w:p>
    <w:p w:rsidR="00000000" w:rsidDel="00000000" w:rsidP="00000000" w:rsidRDefault="00000000" w:rsidRPr="00000000" w14:paraId="00000023">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5">
      <w:pPr>
        <w:rPr>
          <w:rFonts w:ascii="Arial" w:cs="Arial" w:eastAsia="Arial" w:hAnsi="Arial"/>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jc w:val="center"/>
    </w:pPr>
    <w:rPr>
      <w:rFonts w:ascii="Garamond" w:cs="Garamond" w:eastAsia="Garamond" w:hAnsi="Garamond"/>
      <w:b w:val="1"/>
      <w:color w:val="000000"/>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s.rsc.org/en/content/articlelanding/2019/ee/c8ee01157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