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CUSTOMER CHURN PREDICTION</w:t>
      </w:r>
    </w:p>
    <w:p>
      <w:pPr>
        <w:jc w:val="center"/>
      </w:pPr>
      <w:r>
        <w:t>Risk Segmentation &amp; Business Intelligence Report</w:t>
        <w:br/>
        <w:t>Telecom Dataset Analysis | Internship Week 2 Project | May 2026</w:t>
      </w:r>
    </w:p>
    <w:p>
      <w:pPr>
        <w:pStyle w:val="Heading2"/>
      </w:pPr>
      <w:r>
        <w:t>Executive Summary</w:t>
      </w:r>
    </w:p>
    <w:p>
      <w:r>
        <w:t>This report presents a complete end-to-end customer churn prediction analysis on the IBM Telco Customer Churn dataset containing 7,043 customers and multiple service-related features. Three machine learning models were trained and evaluated. The Gradient Boosting Classifier achieved the best performance and was selected for customer risk segmentation.</w:t>
      </w:r>
    </w:p>
    <w:p>
      <w:r>
        <w:t>The project identified contract type, tenure, and monthly charges as the strongest drivers of customer churn. Customers were segmented into High, Medium, and Low risk groups.</w:t>
      </w:r>
    </w:p>
    <w:p>
      <w:pPr>
        <w:pStyle w:val="Heading2"/>
      </w:pPr>
      <w:r>
        <w:t>Dataset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Total Customers</w:t>
            </w:r>
          </w:p>
        </w:tc>
        <w:tc>
          <w:tcPr>
            <w:tcW w:type="dxa" w:w="2880"/>
          </w:tcPr>
          <w:p>
            <w:r>
              <w:t>7,043</w:t>
            </w:r>
          </w:p>
        </w:tc>
        <w:tc>
          <w:tcPr>
            <w:tcW w:type="dxa" w:w="2880"/>
          </w:tcPr>
          <w:p>
            <w:r>
              <w:t>Full telecom dataset</w:t>
            </w:r>
          </w:p>
        </w:tc>
      </w:tr>
      <w:tr>
        <w:tc>
          <w:tcPr>
            <w:tcW w:type="dxa" w:w="2880"/>
          </w:tcPr>
          <w:p>
            <w:r>
              <w:t>Features</w:t>
            </w:r>
          </w:p>
        </w:tc>
        <w:tc>
          <w:tcPr>
            <w:tcW w:type="dxa" w:w="2880"/>
          </w:tcPr>
          <w:p>
            <w:r>
              <w:t>21 Original / 33 Encoded</w:t>
            </w:r>
          </w:p>
        </w:tc>
        <w:tc>
          <w:tcPr>
            <w:tcW w:type="dxa" w:w="2880"/>
          </w:tcPr>
          <w:p>
            <w:r>
              <w:t>After preprocessing</w:t>
            </w:r>
          </w:p>
        </w:tc>
      </w:tr>
      <w:tr>
        <w:tc>
          <w:tcPr>
            <w:tcW w:type="dxa" w:w="2880"/>
          </w:tcPr>
          <w:p>
            <w:r>
              <w:t>Churn Rate</w:t>
            </w:r>
          </w:p>
        </w:tc>
        <w:tc>
          <w:tcPr>
            <w:tcW w:type="dxa" w:w="2880"/>
          </w:tcPr>
          <w:p>
            <w:r>
              <w:t>26.5%</w:t>
            </w:r>
          </w:p>
        </w:tc>
        <w:tc>
          <w:tcPr>
            <w:tcW w:type="dxa" w:w="2880"/>
          </w:tcPr>
          <w:p>
            <w:r>
              <w:t>Class imbalance present</w:t>
            </w:r>
          </w:p>
        </w:tc>
      </w:tr>
      <w:tr>
        <w:tc>
          <w:tcPr>
            <w:tcW w:type="dxa" w:w="2880"/>
          </w:tcPr>
          <w:p>
            <w:r>
              <w:t>Missing Values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Handled using median imputation</w:t>
            </w:r>
          </w:p>
        </w:tc>
      </w:tr>
      <w:tr>
        <w:tc>
          <w:tcPr>
            <w:tcW w:type="dxa" w:w="2880"/>
          </w:tcPr>
          <w:p>
            <w:r>
              <w:t>Train/Test Split</w:t>
            </w:r>
          </w:p>
        </w:tc>
        <w:tc>
          <w:tcPr>
            <w:tcW w:type="dxa" w:w="2880"/>
          </w:tcPr>
          <w:p>
            <w:r>
              <w:t>80/20</w:t>
            </w:r>
          </w:p>
        </w:tc>
        <w:tc>
          <w:tcPr>
            <w:tcW w:type="dxa" w:w="2880"/>
          </w:tcPr>
          <w:p>
            <w:r>
              <w:t>Stratified split</w:t>
            </w:r>
          </w:p>
        </w:tc>
      </w:tr>
    </w:tbl>
    <w:p>
      <w:pPr>
        <w:pStyle w:val="Heading2"/>
      </w:pPr>
      <w:r>
        <w:t>Model Performance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F1-Score</w:t>
            </w:r>
          </w:p>
        </w:tc>
        <w:tc>
          <w:tcPr>
            <w:tcW w:type="dxa" w:w="1440"/>
          </w:tcPr>
          <w:p>
            <w:r>
              <w:t>ROC-AUC</w:t>
            </w:r>
          </w:p>
        </w:tc>
      </w:tr>
      <w:tr>
        <w:tc>
          <w:tcPr>
            <w:tcW w:type="dxa" w:w="1440"/>
          </w:tcPr>
          <w:p>
            <w:r>
              <w:t>Logistic Regression</w:t>
            </w:r>
          </w:p>
        </w:tc>
        <w:tc>
          <w:tcPr>
            <w:tcW w:type="dxa" w:w="1440"/>
          </w:tcPr>
          <w:p>
            <w:r>
              <w:t>0.805</w:t>
            </w:r>
          </w:p>
        </w:tc>
        <w:tc>
          <w:tcPr>
            <w:tcW w:type="dxa" w:w="1440"/>
          </w:tcPr>
          <w:p>
            <w:r>
              <w:t>0.668</w:t>
            </w:r>
          </w:p>
        </w:tc>
        <w:tc>
          <w:tcPr>
            <w:tcW w:type="dxa" w:w="1440"/>
          </w:tcPr>
          <w:p>
            <w:r>
              <w:t>0.532</w:t>
            </w:r>
          </w:p>
        </w:tc>
        <w:tc>
          <w:tcPr>
            <w:tcW w:type="dxa" w:w="1440"/>
          </w:tcPr>
          <w:p>
            <w:r>
              <w:t>0.592</w:t>
            </w:r>
          </w:p>
        </w:tc>
        <w:tc>
          <w:tcPr>
            <w:tcW w:type="dxa" w:w="1440"/>
          </w:tcPr>
          <w:p>
            <w:r>
              <w:t>0.847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0.792</w:t>
            </w:r>
          </w:p>
        </w:tc>
        <w:tc>
          <w:tcPr>
            <w:tcW w:type="dxa" w:w="1440"/>
          </w:tcPr>
          <w:p>
            <w:r>
              <w:t>0.639</w:t>
            </w:r>
          </w:p>
        </w:tc>
        <w:tc>
          <w:tcPr>
            <w:tcW w:type="dxa" w:w="1440"/>
          </w:tcPr>
          <w:p>
            <w:r>
              <w:t>0.497</w:t>
            </w:r>
          </w:p>
        </w:tc>
        <w:tc>
          <w:tcPr>
            <w:tcW w:type="dxa" w:w="1440"/>
          </w:tcPr>
          <w:p>
            <w:r>
              <w:t>0.559</w:t>
            </w:r>
          </w:p>
        </w:tc>
        <w:tc>
          <w:tcPr>
            <w:tcW w:type="dxa" w:w="1440"/>
          </w:tcPr>
          <w:p>
            <w:r>
              <w:t>0.827</w:t>
            </w:r>
          </w:p>
        </w:tc>
      </w:tr>
      <w:tr>
        <w:tc>
          <w:tcPr>
            <w:tcW w:type="dxa" w:w="1440"/>
          </w:tcPr>
          <w:p>
            <w:r>
              <w:t>Gradient Boosting ★</w:t>
            </w:r>
          </w:p>
        </w:tc>
        <w:tc>
          <w:tcPr>
            <w:tcW w:type="dxa" w:w="1440"/>
          </w:tcPr>
          <w:p>
            <w:r>
              <w:t>0.796</w:t>
            </w:r>
          </w:p>
        </w:tc>
        <w:tc>
          <w:tcPr>
            <w:tcW w:type="dxa" w:w="1440"/>
          </w:tcPr>
          <w:p>
            <w:r>
              <w:t>0.645</w:t>
            </w:r>
          </w:p>
        </w:tc>
        <w:tc>
          <w:tcPr>
            <w:tcW w:type="dxa" w:w="1440"/>
          </w:tcPr>
          <w:p>
            <w:r>
              <w:t>0.511</w:t>
            </w:r>
          </w:p>
        </w:tc>
        <w:tc>
          <w:tcPr>
            <w:tcW w:type="dxa" w:w="1440"/>
          </w:tcPr>
          <w:p>
            <w:r>
              <w:t>0.570</w:t>
            </w:r>
          </w:p>
        </w:tc>
        <w:tc>
          <w:tcPr>
            <w:tcW w:type="dxa" w:w="1440"/>
          </w:tcPr>
          <w:p>
            <w:r>
              <w:t>0.847</w:t>
            </w:r>
          </w:p>
        </w:tc>
      </w:tr>
    </w:tbl>
    <w:p>
      <w:pPr>
        <w:pStyle w:val="Heading2"/>
      </w:pPr>
      <w:r>
        <w:t>Selected Model: Gradient Boosting</w:t>
      </w:r>
    </w:p>
    <w:p>
      <w:r>
        <w:t>The Gradient Boosting model was selected because it provided the best ROC-AUC score while maintaining balanced precision and recall. The model also captured non-linear relationships effectively.</w:t>
      </w:r>
    </w:p>
    <w:p>
      <w:pPr>
        <w:pStyle w:val="Heading2"/>
      </w:pPr>
      <w:r>
        <w:t>Top Churn Drivers</w:t>
      </w:r>
    </w:p>
    <w:p>
      <w:pPr>
        <w:pStyle w:val="ListBullet"/>
      </w:pPr>
      <w:r>
        <w:t>Contract Type: Month-to-month customers showed the highest churn probability.</w:t>
      </w:r>
    </w:p>
    <w:p>
      <w:pPr>
        <w:pStyle w:val="ListBullet"/>
      </w:pPr>
      <w:r>
        <w:t>Tenure: Customers with shorter tenure were more likely to churn.</w:t>
      </w:r>
    </w:p>
    <w:p>
      <w:pPr>
        <w:pStyle w:val="ListBullet"/>
      </w:pPr>
      <w:r>
        <w:t>Monthly Charges: High monthly bills strongly correlated with churn.</w:t>
      </w:r>
    </w:p>
    <w:p>
      <w:pPr>
        <w:pStyle w:val="Heading2"/>
      </w:pPr>
      <w:r>
        <w:t>Customer Risk Segmentation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Tier</w:t>
            </w:r>
          </w:p>
        </w:tc>
        <w:tc>
          <w:tcPr>
            <w:tcW w:type="dxa" w:w="1728"/>
          </w:tcPr>
          <w:p>
            <w:r>
              <w:t>Count</w:t>
            </w:r>
          </w:p>
        </w:tc>
        <w:tc>
          <w:tcPr>
            <w:tcW w:type="dxa" w:w="1728"/>
          </w:tcPr>
          <w:p>
            <w:r>
              <w:t>Avg Monthly $</w:t>
            </w:r>
          </w:p>
        </w:tc>
        <w:tc>
          <w:tcPr>
            <w:tcW w:type="dxa" w:w="1728"/>
          </w:tcPr>
          <w:p>
            <w:r>
              <w:t>Avg Tenure</w:t>
            </w:r>
          </w:p>
        </w:tc>
        <w:tc>
          <w:tcPr>
            <w:tcW w:type="dxa" w:w="1728"/>
          </w:tcPr>
          <w:p>
            <w:r>
              <w:t>% Customers</w:t>
            </w:r>
          </w:p>
        </w:tc>
      </w:tr>
      <w:tr>
        <w:tc>
          <w:tcPr>
            <w:tcW w:type="dxa" w:w="1728"/>
          </w:tcPr>
          <w:p>
            <w:r>
              <w:t>High Risk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$83.79</w:t>
            </w:r>
          </w:p>
        </w:tc>
        <w:tc>
          <w:tcPr>
            <w:tcW w:type="dxa" w:w="1728"/>
          </w:tcPr>
          <w:p>
            <w:r>
              <w:t>3.2 Months</w:t>
            </w:r>
          </w:p>
        </w:tc>
        <w:tc>
          <w:tcPr>
            <w:tcW w:type="dxa" w:w="1728"/>
          </w:tcPr>
          <w:p>
            <w:r>
              <w:t>6%</w:t>
            </w:r>
          </w:p>
        </w:tc>
      </w:tr>
      <w:tr>
        <w:tc>
          <w:tcPr>
            <w:tcW w:type="dxa" w:w="1728"/>
          </w:tcPr>
          <w:p>
            <w:r>
              <w:t>Medium Risk</w:t>
            </w:r>
          </w:p>
        </w:tc>
        <w:tc>
          <w:tcPr>
            <w:tcW w:type="dxa" w:w="1728"/>
          </w:tcPr>
          <w:p>
            <w:r>
              <w:t>325</w:t>
            </w:r>
          </w:p>
        </w:tc>
        <w:tc>
          <w:tcPr>
            <w:tcW w:type="dxa" w:w="1728"/>
          </w:tcPr>
          <w:p>
            <w:r>
              <w:t>$75.04</w:t>
            </w:r>
          </w:p>
        </w:tc>
        <w:tc>
          <w:tcPr>
            <w:tcW w:type="dxa" w:w="1728"/>
          </w:tcPr>
          <w:p>
            <w:r>
              <w:t>14.3 Months</w:t>
            </w:r>
          </w:p>
        </w:tc>
        <w:tc>
          <w:tcPr>
            <w:tcW w:type="dxa" w:w="1728"/>
          </w:tcPr>
          <w:p>
            <w:r>
              <w:t>23%</w:t>
            </w:r>
          </w:p>
        </w:tc>
      </w:tr>
      <w:tr>
        <w:tc>
          <w:tcPr>
            <w:tcW w:type="dxa" w:w="1728"/>
          </w:tcPr>
          <w:p>
            <w:r>
              <w:t>Low Risk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$58.88</w:t>
            </w:r>
          </w:p>
        </w:tc>
        <w:tc>
          <w:tcPr>
            <w:tcW w:type="dxa" w:w="1728"/>
          </w:tcPr>
          <w:p>
            <w:r>
              <w:t>40.1 Months</w:t>
            </w:r>
          </w:p>
        </w:tc>
        <w:tc>
          <w:tcPr>
            <w:tcW w:type="dxa" w:w="1728"/>
          </w:tcPr>
          <w:p>
            <w:r>
              <w:t>71%</w:t>
            </w:r>
          </w:p>
        </w:tc>
      </w:tr>
    </w:tbl>
    <w:p>
      <w:r>
        <w:t>High-risk customers were primarily month-to-month subscribers with high charges and short tenure.</w:t>
      </w:r>
    </w:p>
    <w:p>
      <w:pPr>
        <w:pStyle w:val="Heading2"/>
      </w:pPr>
      <w:r>
        <w:t>Business Recommendations</w:t>
      </w:r>
    </w:p>
    <w:p>
      <w:pPr>
        <w:pStyle w:val="ListNumber"/>
      </w:pPr>
      <w:r>
        <w:t>Provide loyalty discounts for monthly contract customers.</w:t>
      </w:r>
    </w:p>
    <w:p>
      <w:pPr>
        <w:pStyle w:val="ListNumber"/>
      </w:pPr>
      <w:r>
        <w:t>Improve onboarding and support services for new customers.</w:t>
      </w:r>
    </w:p>
    <w:p>
      <w:pPr>
        <w:pStyle w:val="ListNumber"/>
      </w:pPr>
      <w:r>
        <w:t>Create personalized retention campaigns for high-risk users.</w:t>
      </w:r>
    </w:p>
    <w:p>
      <w:pPr>
        <w:pStyle w:val="ListNumber"/>
      </w:pPr>
      <w:r>
        <w:t>Monitor churn probability regularly using predictive analytics.</w:t>
      </w:r>
    </w:p>
    <w:p>
      <w:pPr>
        <w:pStyle w:val="Heading2"/>
      </w:pPr>
      <w:r>
        <w:t>Model Limitations &amp; Future Improvements</w:t>
      </w:r>
    </w:p>
    <w:p>
      <w:pPr>
        <w:pStyle w:val="ListBullet"/>
      </w:pPr>
      <w:r>
        <w:t>Dataset lacks customer behavioral information.</w:t>
      </w:r>
    </w:p>
    <w:p>
      <w:pPr>
        <w:pStyle w:val="ListBullet"/>
      </w:pPr>
      <w:r>
        <w:t>Class imbalance may affect recall performance.</w:t>
      </w:r>
    </w:p>
    <w:p>
      <w:pPr>
        <w:pStyle w:val="ListBullet"/>
      </w:pPr>
      <w:r>
        <w:t>External market conditions are not included.</w:t>
      </w:r>
    </w:p>
    <w:p>
      <w:pPr>
        <w:pStyle w:val="ListBullet"/>
      </w:pPr>
      <w:r>
        <w:t>Future improvements could include time-series analysis.</w:t>
      </w:r>
    </w:p>
    <w:p>
      <w:pPr>
        <w:jc w:val="center"/>
      </w:pPr>
      <w:r>
        <w:br/>
        <w:t>Generated as part of AI &amp; Data Analytics Internship | Week 2 | Telecom Churn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