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7163B">
      <w:pPr>
        <w:spacing w:before="1100"/>
        <w:jc w:val="center"/>
      </w:pPr>
      <w:r>
        <w:rPr>
          <w:b/>
          <w:sz w:val="48"/>
        </w:rPr>
        <w:t>CUSTOMER BEHAVIOR ANALYSIS</w:t>
      </w:r>
    </w:p>
    <w:p w14:paraId="76DEC81A">
      <w:pPr>
        <w:jc w:val="center"/>
      </w:pPr>
      <w:r>
        <w:rPr>
          <w:b/>
          <w:sz w:val="30"/>
        </w:rPr>
        <w:t>Project Report</w:t>
      </w:r>
    </w:p>
    <w:tbl>
      <w:tblPr>
        <w:tblStyle w:val="35"/>
        <w:tblW w:w="109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0"/>
        <w:gridCol w:w="5470"/>
      </w:tblGrid>
      <w:tr w14:paraId="0C336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5470" w:type="dxa"/>
          </w:tcPr>
          <w:p w14:paraId="55FB3AA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Project</w:t>
            </w:r>
          </w:p>
        </w:tc>
        <w:tc>
          <w:tcPr>
            <w:tcW w:w="5470" w:type="dxa"/>
          </w:tcPr>
          <w:p w14:paraId="22207450">
            <w:pPr>
              <w:spacing w:after="0" w:line="240" w:lineRule="auto"/>
            </w:pPr>
            <w:r>
              <w:rPr>
                <w:b/>
                <w:sz w:val="32"/>
                <w:szCs w:val="32"/>
              </w:rPr>
              <w:t>Customer Behavior Analysis</w:t>
            </w:r>
          </w:p>
        </w:tc>
      </w:tr>
      <w:tr w14:paraId="1D294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5470" w:type="dxa"/>
          </w:tcPr>
          <w:p w14:paraId="5CCAB76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</w:t>
            </w:r>
          </w:p>
        </w:tc>
        <w:tc>
          <w:tcPr>
            <w:tcW w:w="5470" w:type="dxa"/>
          </w:tcPr>
          <w:p w14:paraId="73DE3D5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 (Pandas, NumPy, Matplotlib, Seaborn) + Power BI</w:t>
            </w:r>
          </w:p>
        </w:tc>
      </w:tr>
      <w:tr w14:paraId="4C0B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  <w:jc w:val="center"/>
        </w:trPr>
        <w:tc>
          <w:tcPr>
            <w:tcW w:w="5470" w:type="dxa"/>
          </w:tcPr>
          <w:p w14:paraId="67587B5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Dataset</w:t>
            </w:r>
          </w:p>
        </w:tc>
        <w:tc>
          <w:tcPr>
            <w:tcW w:w="5470" w:type="dxa"/>
          </w:tcPr>
          <w:p w14:paraId="2565523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E-Commerce Customer Data For Behavior Analysis — Kaggle</w:t>
            </w:r>
          </w:p>
        </w:tc>
      </w:tr>
      <w:tr w14:paraId="2E13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5470" w:type="dxa"/>
          </w:tcPr>
          <w:p w14:paraId="6308F0E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Records</w:t>
            </w:r>
          </w:p>
        </w:tc>
        <w:tc>
          <w:tcPr>
            <w:tcW w:w="5470" w:type="dxa"/>
          </w:tcPr>
          <w:p w14:paraId="6324C53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250,000 transaction records</w:t>
            </w:r>
          </w:p>
        </w:tc>
      </w:tr>
      <w:tr w14:paraId="337A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5470" w:type="dxa"/>
          </w:tcPr>
          <w:p w14:paraId="7B4FF4D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</w:t>
            </w:r>
          </w:p>
        </w:tc>
        <w:tc>
          <w:tcPr>
            <w:tcW w:w="5470" w:type="dxa"/>
          </w:tcPr>
          <w:p w14:paraId="0C4CE15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Approximately 49,673 unique customers</w:t>
            </w:r>
          </w:p>
        </w:tc>
      </w:tr>
      <w:tr w14:paraId="29EB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5470" w:type="dxa"/>
          </w:tcPr>
          <w:p w14:paraId="21D286B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Deliverables</w:t>
            </w:r>
          </w:p>
        </w:tc>
        <w:tc>
          <w:tcPr>
            <w:tcW w:w="5470" w:type="dxa"/>
          </w:tcPr>
          <w:p w14:paraId="3CF341E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Jupyter/Colab analysis, cleaned data, RFM analysis, churn analysis, Power BI-ready data, business insights &amp; recommendations</w:t>
            </w:r>
          </w:p>
        </w:tc>
      </w:tr>
      <w:tr w14:paraId="5758A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  <w:jc w:val="center"/>
        </w:trPr>
        <w:tc>
          <w:tcPr>
            <w:tcW w:w="10940" w:type="dxa"/>
            <w:gridSpan w:val="2"/>
            <w:tcBorders>
              <w:left w:val="nil"/>
              <w:bottom w:val="nil"/>
              <w:right w:val="nil"/>
            </w:tcBorders>
          </w:tcPr>
          <w:p w14:paraId="0EC62D10">
            <w:pPr>
              <w:spacing w:after="0" w:line="240" w:lineRule="auto"/>
            </w:pPr>
          </w:p>
        </w:tc>
      </w:tr>
    </w:tbl>
    <w:p w14:paraId="3A8F7623"/>
    <w:p w14:paraId="56CA9AC0"/>
    <w:p w14:paraId="18E3FEF7"/>
    <w:p w14:paraId="69C724E6"/>
    <w:p w14:paraId="24C9620F">
      <w:pPr>
        <w:numPr>
          <w:ilvl w:val="0"/>
          <w:numId w:val="7"/>
        </w:numPr>
        <w:tabs>
          <w:tab w:val="left" w:pos="5190"/>
          <w:tab w:val="clear" w:pos="420"/>
        </w:tabs>
        <w:spacing w:after="0" w:line="24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Prepared for</w:t>
      </w: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>AlFido Tech Internship Program</w:t>
      </w:r>
    </w:p>
    <w:p w14:paraId="1DDAAD54">
      <w:pPr>
        <w:numPr>
          <w:ilvl w:val="0"/>
          <w:numId w:val="7"/>
        </w:numPr>
        <w:tabs>
          <w:tab w:val="left" w:pos="5190"/>
          <w:tab w:val="clear" w:pos="420"/>
        </w:tabs>
        <w:spacing w:after="0" w:line="24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Prepared by</w:t>
      </w: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>Ankit Kumar Mahto</w:t>
      </w:r>
    </w:p>
    <w:p w14:paraId="51082054">
      <w:pPr>
        <w:numPr>
          <w:ilvl w:val="0"/>
          <w:numId w:val="7"/>
        </w:numPr>
        <w:tabs>
          <w:tab w:val="left" w:pos="5190"/>
          <w:tab w:val="clear" w:pos="420"/>
        </w:tabs>
        <w:spacing w:after="0" w:line="24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Domain</w:t>
      </w:r>
      <w:r>
        <w:rPr>
          <w:rFonts w:hint="default"/>
          <w:sz w:val="28"/>
          <w:szCs w:val="28"/>
          <w:lang w:val="en-IN"/>
        </w:rPr>
        <w:t xml:space="preserve"> :- </w:t>
      </w:r>
      <w:r>
        <w:rPr>
          <w:sz w:val="28"/>
          <w:szCs w:val="28"/>
        </w:rPr>
        <w:t>Data Analytics Intern</w:t>
      </w:r>
    </w:p>
    <w:p w14:paraId="68C13F5D">
      <w:pPr>
        <w:numPr>
          <w:ilvl w:val="0"/>
          <w:numId w:val="7"/>
        </w:numPr>
        <w:tabs>
          <w:tab w:val="left" w:pos="5190"/>
          <w:tab w:val="clear" w:pos="420"/>
        </w:tabs>
        <w:spacing w:after="0" w:line="24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Dataset Source</w:t>
      </w:r>
      <w:r>
        <w:rPr>
          <w:rFonts w:hint="default"/>
          <w:sz w:val="28"/>
          <w:szCs w:val="28"/>
          <w:lang w:val="en-IN"/>
        </w:rPr>
        <w:t xml:space="preserve"> :- </w:t>
      </w:r>
      <w:r>
        <w:rPr>
          <w:sz w:val="28"/>
          <w:szCs w:val="28"/>
        </w:rPr>
        <w:t>Kaggle — E-Commerce Customer Data For Behavior Analysis</w:t>
      </w:r>
    </w:p>
    <w:p w14:paraId="26FFD690">
      <w:pPr>
        <w:numPr>
          <w:ilvl w:val="0"/>
          <w:numId w:val="7"/>
        </w:numPr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A238AC">
      <w:pPr>
        <w:pStyle w:val="2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Executive Summary</w:t>
      </w:r>
    </w:p>
    <w:p w14:paraId="131823E5">
      <w:pPr>
        <w:numPr>
          <w:numId w:val="0"/>
        </w:numPr>
      </w:pPr>
    </w:p>
    <w:p w14:paraId="40C92578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This report presents an analysis of e-commerce customer behavior using 250,000 transaction records from approximately 49,673 customers. The project applies Python-based data cleaning, exploratory analysis, customer-level feature engineering, RFM segmentation, purchase pattern analysis, churn analysis, and Power BI preparation.</w:t>
      </w:r>
    </w:p>
    <w:p w14:paraId="61DF6A12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The final project recorded total revenue of 681,342,683, an average order value of 2,725.37, and 749,724 units sold. The recorded return rate was 40.31% and the customer churn rate was 20.01%.</w:t>
      </w:r>
    </w:p>
    <w:p w14:paraId="07BFC381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The analysis converts raw transaction data into customer and business insights, with particular focus on customer value, engagement, retention, and churn risk.</w:t>
      </w:r>
    </w:p>
    <w:p w14:paraId="0788857A">
      <w:pPr>
        <w:spacing w:after="100" w:line="252" w:lineRule="auto"/>
        <w:rPr>
          <w:sz w:val="24"/>
          <w:szCs w:val="24"/>
        </w:rPr>
      </w:pPr>
    </w:p>
    <w:p w14:paraId="5B831BCD">
      <w:pPr>
        <w:spacing w:after="100" w:line="252" w:lineRule="auto"/>
        <w:rPr>
          <w:sz w:val="24"/>
          <w:szCs w:val="24"/>
        </w:rPr>
      </w:pPr>
    </w:p>
    <w:p w14:paraId="765DCC09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Dataset Overview</w:t>
      </w:r>
    </w:p>
    <w:p w14:paraId="0BAAFC7C">
      <w:pPr>
        <w:numPr>
          <w:numId w:val="0"/>
        </w:numPr>
        <w:ind w:leftChars="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9F6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</w:tcPr>
          <w:p w14:paraId="0F0ED5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Metric</w:t>
            </w:r>
          </w:p>
        </w:tc>
        <w:tc>
          <w:tcPr>
            <w:tcW w:w="5040" w:type="dxa"/>
            <w:shd w:val="clear" w:color="auto" w:fill="D9EAF7"/>
          </w:tcPr>
          <w:p w14:paraId="3252CD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</w:t>
            </w:r>
          </w:p>
        </w:tc>
      </w:tr>
      <w:tr w14:paraId="61D40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EC947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records</w:t>
            </w:r>
          </w:p>
        </w:tc>
        <w:tc>
          <w:tcPr>
            <w:tcW w:w="5040" w:type="dxa"/>
          </w:tcPr>
          <w:p w14:paraId="61C8CC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250,000</w:t>
            </w:r>
          </w:p>
        </w:tc>
      </w:tr>
      <w:tr w14:paraId="7156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1184F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customers</w:t>
            </w:r>
          </w:p>
        </w:tc>
        <w:tc>
          <w:tcPr>
            <w:tcW w:w="5040" w:type="dxa"/>
          </w:tcPr>
          <w:p w14:paraId="5DFE8F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49,673</w:t>
            </w:r>
          </w:p>
        </w:tc>
      </w:tr>
      <w:tr w14:paraId="6D35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B93B6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categories</w:t>
            </w:r>
          </w:p>
        </w:tc>
        <w:tc>
          <w:tcPr>
            <w:tcW w:w="5040" w:type="dxa"/>
          </w:tcPr>
          <w:p w14:paraId="1C4ED2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1007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0CB12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 methods</w:t>
            </w:r>
          </w:p>
        </w:tc>
        <w:tc>
          <w:tcPr>
            <w:tcW w:w="5040" w:type="dxa"/>
          </w:tcPr>
          <w:p w14:paraId="6093DA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4ECA9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01776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 range</w:t>
            </w:r>
          </w:p>
        </w:tc>
        <w:tc>
          <w:tcPr>
            <w:tcW w:w="5040" w:type="dxa"/>
          </w:tcPr>
          <w:p w14:paraId="0076F3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1–5</w:t>
            </w:r>
          </w:p>
        </w:tc>
      </w:tr>
      <w:tr w14:paraId="41F3D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12C7A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age range</w:t>
            </w:r>
          </w:p>
        </w:tc>
        <w:tc>
          <w:tcPr>
            <w:tcW w:w="5040" w:type="dxa"/>
          </w:tcPr>
          <w:p w14:paraId="40E52A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Approximately 18–70</w:t>
            </w:r>
          </w:p>
        </w:tc>
      </w:tr>
      <w:tr w14:paraId="60BE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E57DB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Churn rate</w:t>
            </w:r>
          </w:p>
        </w:tc>
        <w:tc>
          <w:tcPr>
            <w:tcW w:w="5040" w:type="dxa"/>
          </w:tcPr>
          <w:p w14:paraId="65E747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20.01%</w:t>
            </w:r>
          </w:p>
        </w:tc>
      </w:tr>
      <w:tr w14:paraId="7E9E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B9693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Returns in raw data</w:t>
            </w:r>
          </w:p>
        </w:tc>
        <w:tc>
          <w:tcPr>
            <w:tcW w:w="5040" w:type="dxa"/>
          </w:tcPr>
          <w:p w14:paraId="157205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Approximately 47.6K</w:t>
            </w:r>
          </w:p>
        </w:tc>
      </w:tr>
    </w:tbl>
    <w:p w14:paraId="108A949E">
      <w:r>
        <w:br w:type="page"/>
      </w:r>
    </w:p>
    <w:p w14:paraId="3B1F9D01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Customer Analytics KPI Summary</w:t>
      </w:r>
    </w:p>
    <w:p w14:paraId="102EB20F">
      <w:pPr>
        <w:numPr>
          <w:numId w:val="0"/>
        </w:numPr>
        <w:ind w:leftChars="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5CC0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</w:tcPr>
          <w:p w14:paraId="00E689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KPI</w:t>
            </w:r>
          </w:p>
        </w:tc>
        <w:tc>
          <w:tcPr>
            <w:tcW w:w="5040" w:type="dxa"/>
            <w:shd w:val="clear" w:color="auto" w:fill="D9EAF7"/>
          </w:tcPr>
          <w:p w14:paraId="1FA3B2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</w:t>
            </w:r>
          </w:p>
        </w:tc>
      </w:tr>
      <w:tr w14:paraId="08E8C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033CD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customers</w:t>
            </w:r>
          </w:p>
        </w:tc>
        <w:tc>
          <w:tcPr>
            <w:tcW w:w="5040" w:type="dxa"/>
          </w:tcPr>
          <w:p w14:paraId="301B09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49,673</w:t>
            </w:r>
          </w:p>
        </w:tc>
      </w:tr>
      <w:tr w14:paraId="239C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8F64F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transactions</w:t>
            </w:r>
          </w:p>
        </w:tc>
        <w:tc>
          <w:tcPr>
            <w:tcW w:w="5040" w:type="dxa"/>
          </w:tcPr>
          <w:p w14:paraId="15483D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250,000</w:t>
            </w:r>
          </w:p>
        </w:tc>
      </w:tr>
      <w:tr w14:paraId="308C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4FEAE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revenue</w:t>
            </w:r>
          </w:p>
        </w:tc>
        <w:tc>
          <w:tcPr>
            <w:tcW w:w="5040" w:type="dxa"/>
          </w:tcPr>
          <w:p w14:paraId="38EABC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681,342,683</w:t>
            </w:r>
          </w:p>
        </w:tc>
      </w:tr>
      <w:tr w14:paraId="36F1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9146E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 order value</w:t>
            </w:r>
          </w:p>
        </w:tc>
        <w:tc>
          <w:tcPr>
            <w:tcW w:w="5040" w:type="dxa"/>
          </w:tcPr>
          <w:p w14:paraId="16C6D0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2,725.37</w:t>
            </w:r>
          </w:p>
        </w:tc>
      </w:tr>
      <w:tr w14:paraId="6EA0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3F98E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quantity sold</w:t>
            </w:r>
          </w:p>
        </w:tc>
        <w:tc>
          <w:tcPr>
            <w:tcW w:w="5040" w:type="dxa"/>
          </w:tcPr>
          <w:p w14:paraId="7724AB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749,724</w:t>
            </w:r>
          </w:p>
        </w:tc>
      </w:tr>
      <w:tr w14:paraId="5719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2C9F3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returns</w:t>
            </w:r>
          </w:p>
        </w:tc>
        <w:tc>
          <w:tcPr>
            <w:tcW w:w="5040" w:type="dxa"/>
          </w:tcPr>
          <w:p w14:paraId="574D8B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100,769</w:t>
            </w:r>
          </w:p>
        </w:tc>
      </w:tr>
      <w:tr w14:paraId="7FDD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3E278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 rate</w:t>
            </w:r>
          </w:p>
        </w:tc>
        <w:tc>
          <w:tcPr>
            <w:tcW w:w="5040" w:type="dxa"/>
          </w:tcPr>
          <w:p w14:paraId="1DCFD2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40.31%</w:t>
            </w:r>
          </w:p>
        </w:tc>
      </w:tr>
      <w:tr w14:paraId="0C130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6EBEC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Churned customers</w:t>
            </w:r>
          </w:p>
        </w:tc>
        <w:tc>
          <w:tcPr>
            <w:tcW w:w="5040" w:type="dxa"/>
          </w:tcPr>
          <w:p w14:paraId="694835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9,942</w:t>
            </w:r>
          </w:p>
        </w:tc>
      </w:tr>
      <w:tr w14:paraId="3CFB3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A4696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Churn rate</w:t>
            </w:r>
          </w:p>
        </w:tc>
        <w:tc>
          <w:tcPr>
            <w:tcW w:w="5040" w:type="dxa"/>
          </w:tcPr>
          <w:p w14:paraId="1D6EDC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20.01%</w:t>
            </w:r>
          </w:p>
        </w:tc>
      </w:tr>
    </w:tbl>
    <w:p w14:paraId="48A3214C">
      <w:pPr>
        <w:pStyle w:val="2"/>
      </w:pPr>
    </w:p>
    <w:p w14:paraId="4346463F">
      <w:pPr>
        <w:pStyle w:val="2"/>
      </w:pPr>
    </w:p>
    <w:p w14:paraId="2E590823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Data Preparation Summary</w:t>
      </w:r>
    </w:p>
    <w:p w14:paraId="6E55A5FA">
      <w:pPr>
        <w:numPr>
          <w:numId w:val="0"/>
        </w:numPr>
        <w:ind w:leftChars="0"/>
      </w:pPr>
    </w:p>
    <w:p w14:paraId="6AF86B40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Standardized column names into a consistent format.</w:t>
      </w:r>
    </w:p>
    <w:p w14:paraId="2A519B35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Converted purchase dates to datetime format.</w:t>
      </w:r>
    </w:p>
    <w:p w14:paraId="57D3A960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Converted numerical fields to appropriate numeric types.</w:t>
      </w:r>
    </w:p>
    <w:p w14:paraId="6A0F4952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Handled missing return values as zero recorded returns.</w:t>
      </w:r>
    </w:p>
    <w:p w14:paraId="3BCE88C4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Filled missing customer age values using the median.</w:t>
      </w:r>
    </w:p>
    <w:p w14:paraId="63C4F61C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Removed records with missing churn or invalid purchase dates.</w:t>
      </w:r>
    </w:p>
    <w:p w14:paraId="7C9C5FDA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Checked duplicate records and invalid non-positive transaction values.</w:t>
      </w:r>
    </w:p>
    <w:p w14:paraId="54935878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Created date, time, customer-value, return, and preference features.</w:t>
      </w:r>
    </w:p>
    <w:p w14:paraId="4772911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F5D9AF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Purchase Pattern Analysis</w:t>
      </w:r>
    </w:p>
    <w:p w14:paraId="4E2C1D04">
      <w:pPr>
        <w:numPr>
          <w:numId w:val="0"/>
        </w:numPr>
        <w:ind w:leftChars="0"/>
      </w:pPr>
    </w:p>
    <w:p w14:paraId="466BB044">
      <w:pPr>
        <w:spacing w:after="100" w:line="252" w:lineRule="auto"/>
      </w:pPr>
      <w:r>
        <w:rPr>
          <w:sz w:val="24"/>
          <w:szCs w:val="24"/>
        </w:rPr>
        <w:t>Purchase pattern analysis examined product categories, payment methods, purchase timing, customer demographics, quantity, and returns. The objective was to understand where revenue is generated and when customers are most active.</w:t>
      </w:r>
    </w:p>
    <w:p w14:paraId="46091231">
      <w:pPr>
        <w:pStyle w:val="3"/>
        <w:numPr>
          <w:ilvl w:val="1"/>
          <w:numId w:val="8"/>
        </w:numPr>
      </w:pPr>
      <w:r>
        <w:rPr>
          <w:sz w:val="28"/>
          <w:szCs w:val="28"/>
        </w:rPr>
        <w:t>Product Category Performance</w:t>
      </w:r>
    </w:p>
    <w:p w14:paraId="1165BE85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Books was identified as the highest-revenue category, generating approximately 204,939,601 in revenue. Clothing produced a similar revenue level, while Electronics and Home contributed lower totals.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2011"/>
        <w:gridCol w:w="2014"/>
        <w:gridCol w:w="2014"/>
        <w:gridCol w:w="2013"/>
      </w:tblGrid>
      <w:tr w14:paraId="414D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shd w:val="clear" w:color="auto" w:fill="D9EAF7"/>
          </w:tcPr>
          <w:p w14:paraId="0752A9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product_category</w:t>
            </w:r>
          </w:p>
        </w:tc>
        <w:tc>
          <w:tcPr>
            <w:tcW w:w="2016" w:type="dxa"/>
            <w:shd w:val="clear" w:color="auto" w:fill="D9EAF7"/>
          </w:tcPr>
          <w:p w14:paraId="615D42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Revenue</w:t>
            </w:r>
          </w:p>
        </w:tc>
        <w:tc>
          <w:tcPr>
            <w:tcW w:w="2016" w:type="dxa"/>
            <w:shd w:val="clear" w:color="auto" w:fill="D9EAF7"/>
          </w:tcPr>
          <w:p w14:paraId="2F5645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Transactions</w:t>
            </w:r>
          </w:p>
        </w:tc>
        <w:tc>
          <w:tcPr>
            <w:tcW w:w="2016" w:type="dxa"/>
            <w:shd w:val="clear" w:color="auto" w:fill="D9EAF7"/>
          </w:tcPr>
          <w:p w14:paraId="611320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Return_Count</w:t>
            </w:r>
          </w:p>
        </w:tc>
        <w:tc>
          <w:tcPr>
            <w:tcW w:w="2016" w:type="dxa"/>
            <w:shd w:val="clear" w:color="auto" w:fill="D9EAF7"/>
          </w:tcPr>
          <w:p w14:paraId="047611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Return_Rate</w:t>
            </w:r>
          </w:p>
        </w:tc>
      </w:tr>
      <w:tr w14:paraId="58CA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F05F4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Books</w:t>
            </w:r>
          </w:p>
        </w:tc>
        <w:tc>
          <w:tcPr>
            <w:tcW w:w="2016" w:type="dxa"/>
          </w:tcPr>
          <w:p w14:paraId="307E64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204939601</w:t>
            </w:r>
          </w:p>
        </w:tc>
        <w:tc>
          <w:tcPr>
            <w:tcW w:w="2016" w:type="dxa"/>
          </w:tcPr>
          <w:p w14:paraId="5DB290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74912</w:t>
            </w:r>
          </w:p>
        </w:tc>
        <w:tc>
          <w:tcPr>
            <w:tcW w:w="2016" w:type="dxa"/>
          </w:tcPr>
          <w:p w14:paraId="0E783F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30229</w:t>
            </w:r>
          </w:p>
        </w:tc>
        <w:tc>
          <w:tcPr>
            <w:tcW w:w="2016" w:type="dxa"/>
          </w:tcPr>
          <w:p w14:paraId="2988D7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40.35</w:t>
            </w:r>
          </w:p>
        </w:tc>
      </w:tr>
      <w:tr w14:paraId="76C6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7D4AD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Clothing</w:t>
            </w:r>
          </w:p>
        </w:tc>
        <w:tc>
          <w:tcPr>
            <w:tcW w:w="2016" w:type="dxa"/>
          </w:tcPr>
          <w:p w14:paraId="5453D3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204532405</w:t>
            </w:r>
          </w:p>
        </w:tc>
        <w:tc>
          <w:tcPr>
            <w:tcW w:w="2016" w:type="dxa"/>
          </w:tcPr>
          <w:p w14:paraId="0E0824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75052</w:t>
            </w:r>
          </w:p>
        </w:tc>
        <w:tc>
          <w:tcPr>
            <w:tcW w:w="2016" w:type="dxa"/>
          </w:tcPr>
          <w:p w14:paraId="5A288D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30122</w:t>
            </w:r>
          </w:p>
        </w:tc>
        <w:tc>
          <w:tcPr>
            <w:tcW w:w="2016" w:type="dxa"/>
          </w:tcPr>
          <w:p w14:paraId="506D05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40.13</w:t>
            </w:r>
          </w:p>
        </w:tc>
      </w:tr>
      <w:tr w14:paraId="5B11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D9ED6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</w:t>
            </w:r>
          </w:p>
        </w:tc>
        <w:tc>
          <w:tcPr>
            <w:tcW w:w="2016" w:type="dxa"/>
          </w:tcPr>
          <w:p w14:paraId="4E2019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136599467</w:t>
            </w:r>
          </w:p>
        </w:tc>
        <w:tc>
          <w:tcPr>
            <w:tcW w:w="2016" w:type="dxa"/>
          </w:tcPr>
          <w:p w14:paraId="6772A4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50185</w:t>
            </w:r>
          </w:p>
        </w:tc>
        <w:tc>
          <w:tcPr>
            <w:tcW w:w="2016" w:type="dxa"/>
          </w:tcPr>
          <w:p w14:paraId="1817F4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20271</w:t>
            </w:r>
          </w:p>
        </w:tc>
        <w:tc>
          <w:tcPr>
            <w:tcW w:w="2016" w:type="dxa"/>
          </w:tcPr>
          <w:p w14:paraId="77E6D3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40.39</w:t>
            </w:r>
          </w:p>
        </w:tc>
      </w:tr>
      <w:tr w14:paraId="7C866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57DA9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</w:t>
            </w:r>
          </w:p>
        </w:tc>
        <w:tc>
          <w:tcPr>
            <w:tcW w:w="2016" w:type="dxa"/>
          </w:tcPr>
          <w:p w14:paraId="230480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135271210</w:t>
            </w:r>
          </w:p>
        </w:tc>
        <w:tc>
          <w:tcPr>
            <w:tcW w:w="2016" w:type="dxa"/>
          </w:tcPr>
          <w:p w14:paraId="4B0D73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49851</w:t>
            </w:r>
          </w:p>
        </w:tc>
        <w:tc>
          <w:tcPr>
            <w:tcW w:w="2016" w:type="dxa"/>
          </w:tcPr>
          <w:p w14:paraId="7E0DBE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20147</w:t>
            </w:r>
          </w:p>
        </w:tc>
        <w:tc>
          <w:tcPr>
            <w:tcW w:w="2016" w:type="dxa"/>
          </w:tcPr>
          <w:p w14:paraId="3A06AA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40.41</w:t>
            </w:r>
          </w:p>
        </w:tc>
      </w:tr>
    </w:tbl>
    <w:p w14:paraId="73FFEB0C">
      <w:pPr>
        <w:pStyle w:val="3"/>
      </w:pPr>
    </w:p>
    <w:p w14:paraId="5C2628FE">
      <w:pPr>
        <w:pStyle w:val="3"/>
        <w:rPr>
          <w:sz w:val="28"/>
          <w:szCs w:val="28"/>
        </w:rPr>
      </w:pPr>
      <w:r>
        <w:rPr>
          <w:sz w:val="28"/>
          <w:szCs w:val="28"/>
        </w:rPr>
        <w:t>5.2 Payment and Timing Patterns</w:t>
      </w:r>
    </w:p>
    <w:p w14:paraId="5B128CAC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Credit Card was the most-used payment method.</w:t>
      </w:r>
    </w:p>
    <w:p w14:paraId="08CD84F0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Wednesday was identified as the best purchase day.</w:t>
      </w:r>
    </w:p>
    <w:p w14:paraId="1AF639A0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17:00 was identified as the peak purchase hour.</w:t>
      </w:r>
    </w:p>
    <w:p w14:paraId="329D8816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Monthly and yearly purchase analysis was prepared for trend monitoring.</w:t>
      </w:r>
    </w:p>
    <w:p w14:paraId="1242341B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Weekday and hourly patterns can support promotional scheduling.</w:t>
      </w:r>
    </w:p>
    <w:p w14:paraId="5D46AAA7">
      <w:r>
        <w:br w:type="page"/>
      </w:r>
    </w:p>
    <w:p w14:paraId="4591F092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RFM Analysis and Customer Segmentation</w:t>
      </w:r>
    </w:p>
    <w:p w14:paraId="4B5D654A">
      <w:pPr>
        <w:numPr>
          <w:numId w:val="0"/>
        </w:numPr>
        <w:ind w:leftChars="0"/>
      </w:pPr>
    </w:p>
    <w:p w14:paraId="41892F9A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RFM analysis evaluates customers using Recency, Frequency, and Monetary value. Recency measures how recently a customer purchased, Frequency measures how often the customer purchased, and Monetary value represents customer spending.</w:t>
      </w:r>
    </w:p>
    <w:p w14:paraId="70AA89DD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Each customer received scores from 1 to 5 for each RFM component. Higher scores represent more favorable behavior. The combined score was mapped to business-oriented customer segments.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1407"/>
        <w:gridCol w:w="1940"/>
        <w:gridCol w:w="2396"/>
        <w:gridCol w:w="2182"/>
      </w:tblGrid>
      <w:tr w14:paraId="2C7E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</w:tcPr>
          <w:p w14:paraId="083209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Customer_Segment</w:t>
            </w:r>
          </w:p>
        </w:tc>
        <w:tc>
          <w:tcPr>
            <w:tcW w:w="2016" w:type="dxa"/>
            <w:shd w:val="clear" w:color="auto" w:fill="D9EAF7"/>
          </w:tcPr>
          <w:p w14:paraId="0EB979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Customers</w:t>
            </w:r>
          </w:p>
        </w:tc>
        <w:tc>
          <w:tcPr>
            <w:tcW w:w="2016" w:type="dxa"/>
            <w:shd w:val="clear" w:color="auto" w:fill="D9EAF7"/>
          </w:tcPr>
          <w:p w14:paraId="1F0BCA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Average_Spend</w:t>
            </w:r>
          </w:p>
        </w:tc>
        <w:tc>
          <w:tcPr>
            <w:tcW w:w="2016" w:type="dxa"/>
            <w:shd w:val="clear" w:color="auto" w:fill="D9EAF7"/>
          </w:tcPr>
          <w:p w14:paraId="1D77E2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Average_Frequency</w:t>
            </w:r>
          </w:p>
        </w:tc>
        <w:tc>
          <w:tcPr>
            <w:tcW w:w="2016" w:type="dxa"/>
            <w:shd w:val="clear" w:color="auto" w:fill="D9EAF7"/>
          </w:tcPr>
          <w:p w14:paraId="19FCDC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Average_Recency</w:t>
            </w:r>
          </w:p>
        </w:tc>
      </w:tr>
      <w:tr w14:paraId="13F9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74028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 Risk</w:t>
            </w:r>
          </w:p>
        </w:tc>
        <w:tc>
          <w:tcPr>
            <w:tcW w:w="2016" w:type="dxa"/>
          </w:tcPr>
          <w:p w14:paraId="3CFB52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7271</w:t>
            </w:r>
          </w:p>
        </w:tc>
        <w:tc>
          <w:tcPr>
            <w:tcW w:w="2016" w:type="dxa"/>
          </w:tcPr>
          <w:p w14:paraId="3CE429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17,546.28</w:t>
            </w:r>
          </w:p>
        </w:tc>
        <w:tc>
          <w:tcPr>
            <w:tcW w:w="2016" w:type="dxa"/>
          </w:tcPr>
          <w:p w14:paraId="6B4E8B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6.16</w:t>
            </w:r>
          </w:p>
        </w:tc>
        <w:tc>
          <w:tcPr>
            <w:tcW w:w="2016" w:type="dxa"/>
          </w:tcPr>
          <w:p w14:paraId="2693FF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404.24</w:t>
            </w:r>
          </w:p>
        </w:tc>
      </w:tr>
      <w:tr w14:paraId="0E6C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BA8C9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Champions</w:t>
            </w:r>
          </w:p>
        </w:tc>
        <w:tc>
          <w:tcPr>
            <w:tcW w:w="2016" w:type="dxa"/>
          </w:tcPr>
          <w:p w14:paraId="215EB9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8692</w:t>
            </w:r>
          </w:p>
        </w:tc>
        <w:tc>
          <w:tcPr>
            <w:tcW w:w="2016" w:type="dxa"/>
          </w:tcPr>
          <w:p w14:paraId="4752E5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21,789.39</w:t>
            </w:r>
          </w:p>
        </w:tc>
        <w:tc>
          <w:tcPr>
            <w:tcW w:w="2016" w:type="dxa"/>
          </w:tcPr>
          <w:p w14:paraId="6D69CA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7.65</w:t>
            </w:r>
          </w:p>
        </w:tc>
        <w:tc>
          <w:tcPr>
            <w:tcW w:w="2016" w:type="dxa"/>
          </w:tcPr>
          <w:p w14:paraId="7C7FA4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59.89</w:t>
            </w:r>
          </w:p>
        </w:tc>
      </w:tr>
      <w:tr w14:paraId="4B56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6B046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Hibernating</w:t>
            </w:r>
          </w:p>
        </w:tc>
        <w:tc>
          <w:tcPr>
            <w:tcW w:w="2016" w:type="dxa"/>
          </w:tcPr>
          <w:p w14:paraId="63EBD6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9347</w:t>
            </w:r>
          </w:p>
        </w:tc>
        <w:tc>
          <w:tcPr>
            <w:tcW w:w="2016" w:type="dxa"/>
          </w:tcPr>
          <w:p w14:paraId="0A965A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6,490.42</w:t>
            </w:r>
          </w:p>
        </w:tc>
        <w:tc>
          <w:tcPr>
            <w:tcW w:w="2016" w:type="dxa"/>
          </w:tcPr>
          <w:p w14:paraId="0BFED0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2.59</w:t>
            </w:r>
          </w:p>
        </w:tc>
        <w:tc>
          <w:tcPr>
            <w:tcW w:w="2016" w:type="dxa"/>
          </w:tcPr>
          <w:p w14:paraId="51D33F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578.92</w:t>
            </w:r>
          </w:p>
        </w:tc>
      </w:tr>
      <w:tr w14:paraId="506E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79D38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Loyal Customers</w:t>
            </w:r>
          </w:p>
        </w:tc>
        <w:tc>
          <w:tcPr>
            <w:tcW w:w="2016" w:type="dxa"/>
          </w:tcPr>
          <w:p w14:paraId="757B6B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5644</w:t>
            </w:r>
          </w:p>
        </w:tc>
        <w:tc>
          <w:tcPr>
            <w:tcW w:w="2016" w:type="dxa"/>
          </w:tcPr>
          <w:p w14:paraId="703499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18,300.67</w:t>
            </w:r>
          </w:p>
        </w:tc>
        <w:tc>
          <w:tcPr>
            <w:tcW w:w="2016" w:type="dxa"/>
          </w:tcPr>
          <w:p w14:paraId="24235A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6.97</w:t>
            </w:r>
          </w:p>
        </w:tc>
        <w:tc>
          <w:tcPr>
            <w:tcW w:w="2016" w:type="dxa"/>
          </w:tcPr>
          <w:p w14:paraId="129A9A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153.39</w:t>
            </w:r>
          </w:p>
        </w:tc>
      </w:tr>
      <w:tr w14:paraId="7976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B8270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Need Attention</w:t>
            </w:r>
          </w:p>
        </w:tc>
        <w:tc>
          <w:tcPr>
            <w:tcW w:w="2016" w:type="dxa"/>
          </w:tcPr>
          <w:p w14:paraId="785632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4074</w:t>
            </w:r>
          </w:p>
        </w:tc>
        <w:tc>
          <w:tcPr>
            <w:tcW w:w="2016" w:type="dxa"/>
          </w:tcPr>
          <w:p w14:paraId="3E6CB2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13,901.43</w:t>
            </w:r>
          </w:p>
        </w:tc>
        <w:tc>
          <w:tcPr>
            <w:tcW w:w="2016" w:type="dxa"/>
          </w:tcPr>
          <w:p w14:paraId="3FFED4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4.19</w:t>
            </w:r>
          </w:p>
        </w:tc>
        <w:tc>
          <w:tcPr>
            <w:tcW w:w="2016" w:type="dxa"/>
          </w:tcPr>
          <w:p w14:paraId="5A8CF7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314.09</w:t>
            </w:r>
          </w:p>
        </w:tc>
      </w:tr>
      <w:tr w14:paraId="6FF9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39A5F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Customers</w:t>
            </w:r>
          </w:p>
        </w:tc>
        <w:tc>
          <w:tcPr>
            <w:tcW w:w="2016" w:type="dxa"/>
          </w:tcPr>
          <w:p w14:paraId="4C6E19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2812</w:t>
            </w:r>
          </w:p>
        </w:tc>
        <w:tc>
          <w:tcPr>
            <w:tcW w:w="2016" w:type="dxa"/>
          </w:tcPr>
          <w:p w14:paraId="1EA8CD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6,505.87</w:t>
            </w:r>
          </w:p>
        </w:tc>
        <w:tc>
          <w:tcPr>
            <w:tcW w:w="2016" w:type="dxa"/>
          </w:tcPr>
          <w:p w14:paraId="10FEDF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2.71</w:t>
            </w:r>
          </w:p>
        </w:tc>
        <w:tc>
          <w:tcPr>
            <w:tcW w:w="2016" w:type="dxa"/>
          </w:tcPr>
          <w:p w14:paraId="59E65F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66.41</w:t>
            </w:r>
          </w:p>
        </w:tc>
      </w:tr>
      <w:tr w14:paraId="6214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3E26F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Others</w:t>
            </w:r>
          </w:p>
        </w:tc>
        <w:tc>
          <w:tcPr>
            <w:tcW w:w="2016" w:type="dxa"/>
          </w:tcPr>
          <w:p w14:paraId="11F73B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5111</w:t>
            </w:r>
          </w:p>
        </w:tc>
        <w:tc>
          <w:tcPr>
            <w:tcW w:w="2016" w:type="dxa"/>
          </w:tcPr>
          <w:p w14:paraId="51E70C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8,102.03</w:t>
            </w:r>
          </w:p>
        </w:tc>
        <w:tc>
          <w:tcPr>
            <w:tcW w:w="2016" w:type="dxa"/>
          </w:tcPr>
          <w:p w14:paraId="0C3A0A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3.91</w:t>
            </w:r>
          </w:p>
        </w:tc>
        <w:tc>
          <w:tcPr>
            <w:tcW w:w="2016" w:type="dxa"/>
          </w:tcPr>
          <w:p w14:paraId="31B62F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254.12</w:t>
            </w:r>
          </w:p>
        </w:tc>
      </w:tr>
      <w:tr w14:paraId="35EA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30805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Potential Loyalists</w:t>
            </w:r>
          </w:p>
        </w:tc>
        <w:tc>
          <w:tcPr>
            <w:tcW w:w="2016" w:type="dxa"/>
          </w:tcPr>
          <w:p w14:paraId="746D04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6722</w:t>
            </w:r>
          </w:p>
        </w:tc>
        <w:tc>
          <w:tcPr>
            <w:tcW w:w="2016" w:type="dxa"/>
          </w:tcPr>
          <w:p w14:paraId="56BCBF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12,507.72</w:t>
            </w:r>
          </w:p>
        </w:tc>
        <w:tc>
          <w:tcPr>
            <w:tcW w:w="2016" w:type="dxa"/>
          </w:tcPr>
          <w:p w14:paraId="4C70C6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4.53</w:t>
            </w:r>
          </w:p>
        </w:tc>
        <w:tc>
          <w:tcPr>
            <w:tcW w:w="2016" w:type="dxa"/>
          </w:tcPr>
          <w:p w14:paraId="59C800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64.60</w:t>
            </w:r>
          </w:p>
        </w:tc>
      </w:tr>
    </w:tbl>
    <w:p w14:paraId="61A41B90">
      <w:pPr>
        <w:pStyle w:val="3"/>
      </w:pPr>
    </w:p>
    <w:p w14:paraId="310B23F6">
      <w:pPr>
        <w:pStyle w:val="3"/>
      </w:pPr>
      <w:r>
        <w:rPr>
          <w:sz w:val="28"/>
          <w:szCs w:val="28"/>
        </w:rPr>
        <w:t>6.1 Segment Definitions</w:t>
      </w:r>
    </w:p>
    <w:p w14:paraId="06F40383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Champions — recent, frequent, high-value customers.</w:t>
      </w:r>
    </w:p>
    <w:p w14:paraId="15377E67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Loyal Customers — consistent repeat purchasers.</w:t>
      </w:r>
    </w:p>
    <w:p w14:paraId="68E21740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Potential Loyalists — customers with potential for deeper engagement.</w:t>
      </w:r>
    </w:p>
    <w:p w14:paraId="1FEBACC9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New Customers — recently acquired customers with limited history.</w:t>
      </w:r>
    </w:p>
    <w:p w14:paraId="42D8E70B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At Risk — customers showing declining recency.</w:t>
      </w:r>
    </w:p>
    <w:p w14:paraId="1F3C1F2C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Cannot Lose Them — valuable customers requiring urgent retention.</w:t>
      </w:r>
    </w:p>
    <w:p w14:paraId="0308ABFA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Need Attention — customers with moderate engagement concerns.</w:t>
      </w:r>
    </w:p>
    <w:p w14:paraId="5D7A3ED8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Hibernating — customers with low frequency and long recency.</w:t>
      </w:r>
    </w:p>
    <w:p w14:paraId="42D6B50C">
      <w:r>
        <w:br w:type="page"/>
      </w:r>
    </w:p>
    <w:p w14:paraId="2E9B19D0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Churn Analysis</w:t>
      </w:r>
    </w:p>
    <w:p w14:paraId="62AB9D22">
      <w:pPr>
        <w:numPr>
          <w:numId w:val="0"/>
        </w:numPr>
        <w:ind w:leftChars="0"/>
      </w:pPr>
    </w:p>
    <w:p w14:paraId="74419908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The final analysis recorded 9,942 churned customers and an overall churn rate of approximately 20.01%. Churn was examined across RFM segments and customer risk categories.</w:t>
      </w:r>
    </w:p>
    <w:p w14:paraId="362A5F3B">
      <w:pPr>
        <w:pStyle w:val="3"/>
        <w:rPr>
          <w:sz w:val="28"/>
          <w:szCs w:val="28"/>
        </w:rPr>
      </w:pPr>
      <w:r>
        <w:rPr>
          <w:sz w:val="28"/>
          <w:szCs w:val="28"/>
        </w:rPr>
        <w:t>7.1 Churn by RFM Segment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90"/>
        <w:gridCol w:w="2520"/>
      </w:tblGrid>
      <w:tr w14:paraId="45A1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</w:tcPr>
          <w:p w14:paraId="177713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Customer_Segment</w:t>
            </w:r>
          </w:p>
        </w:tc>
        <w:tc>
          <w:tcPr>
            <w:tcW w:w="2520" w:type="dxa"/>
            <w:shd w:val="clear" w:color="auto" w:fill="D9EAF7"/>
          </w:tcPr>
          <w:p w14:paraId="6F505F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Customers</w:t>
            </w:r>
          </w:p>
        </w:tc>
        <w:tc>
          <w:tcPr>
            <w:tcW w:w="2520" w:type="dxa"/>
            <w:shd w:val="clear" w:color="auto" w:fill="D9EAF7"/>
          </w:tcPr>
          <w:p w14:paraId="5E09AB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Churned_Customers</w:t>
            </w:r>
          </w:p>
        </w:tc>
        <w:tc>
          <w:tcPr>
            <w:tcW w:w="2520" w:type="dxa"/>
            <w:shd w:val="clear" w:color="auto" w:fill="D9EAF7"/>
          </w:tcPr>
          <w:p w14:paraId="65B059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Churn_Rate</w:t>
            </w:r>
          </w:p>
        </w:tc>
      </w:tr>
      <w:tr w14:paraId="56D79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3F6A5E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 Risk</w:t>
            </w:r>
          </w:p>
        </w:tc>
        <w:tc>
          <w:tcPr>
            <w:tcW w:w="2520" w:type="dxa"/>
          </w:tcPr>
          <w:p w14:paraId="68C5EA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7271</w:t>
            </w:r>
          </w:p>
        </w:tc>
        <w:tc>
          <w:tcPr>
            <w:tcW w:w="2520" w:type="dxa"/>
          </w:tcPr>
          <w:p w14:paraId="7168E1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1396</w:t>
            </w:r>
          </w:p>
        </w:tc>
        <w:tc>
          <w:tcPr>
            <w:tcW w:w="2520" w:type="dxa"/>
          </w:tcPr>
          <w:p w14:paraId="0CF3A9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19.20</w:t>
            </w:r>
          </w:p>
        </w:tc>
      </w:tr>
      <w:tr w14:paraId="4272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4EA786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Champions</w:t>
            </w:r>
          </w:p>
        </w:tc>
        <w:tc>
          <w:tcPr>
            <w:tcW w:w="2520" w:type="dxa"/>
          </w:tcPr>
          <w:p w14:paraId="01D828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8692</w:t>
            </w:r>
          </w:p>
        </w:tc>
        <w:tc>
          <w:tcPr>
            <w:tcW w:w="2520" w:type="dxa"/>
          </w:tcPr>
          <w:p w14:paraId="63652A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1714</w:t>
            </w:r>
          </w:p>
        </w:tc>
        <w:tc>
          <w:tcPr>
            <w:tcW w:w="2520" w:type="dxa"/>
          </w:tcPr>
          <w:p w14:paraId="41BD34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19.72</w:t>
            </w:r>
          </w:p>
        </w:tc>
      </w:tr>
      <w:tr w14:paraId="04834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39D9FD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Hibernating</w:t>
            </w:r>
          </w:p>
        </w:tc>
        <w:tc>
          <w:tcPr>
            <w:tcW w:w="2520" w:type="dxa"/>
          </w:tcPr>
          <w:p w14:paraId="25F071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9347</w:t>
            </w:r>
          </w:p>
        </w:tc>
        <w:tc>
          <w:tcPr>
            <w:tcW w:w="2520" w:type="dxa"/>
          </w:tcPr>
          <w:p w14:paraId="37D878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1883</w:t>
            </w:r>
          </w:p>
        </w:tc>
        <w:tc>
          <w:tcPr>
            <w:tcW w:w="2520" w:type="dxa"/>
          </w:tcPr>
          <w:p w14:paraId="2D0FE3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20.15</w:t>
            </w:r>
          </w:p>
        </w:tc>
      </w:tr>
      <w:tr w14:paraId="32C7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105C6C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Loyal Customers</w:t>
            </w:r>
          </w:p>
        </w:tc>
        <w:tc>
          <w:tcPr>
            <w:tcW w:w="2520" w:type="dxa"/>
          </w:tcPr>
          <w:p w14:paraId="783A04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5644</w:t>
            </w:r>
          </w:p>
        </w:tc>
        <w:tc>
          <w:tcPr>
            <w:tcW w:w="2520" w:type="dxa"/>
          </w:tcPr>
          <w:p w14:paraId="7579DA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1137</w:t>
            </w:r>
          </w:p>
        </w:tc>
        <w:tc>
          <w:tcPr>
            <w:tcW w:w="2520" w:type="dxa"/>
          </w:tcPr>
          <w:p w14:paraId="58C609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20.15</w:t>
            </w:r>
          </w:p>
        </w:tc>
      </w:tr>
      <w:tr w14:paraId="6FDFA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0BD443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Need Attention</w:t>
            </w:r>
          </w:p>
        </w:tc>
        <w:tc>
          <w:tcPr>
            <w:tcW w:w="2520" w:type="dxa"/>
          </w:tcPr>
          <w:p w14:paraId="268738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4074</w:t>
            </w:r>
          </w:p>
        </w:tc>
        <w:tc>
          <w:tcPr>
            <w:tcW w:w="2520" w:type="dxa"/>
          </w:tcPr>
          <w:p w14:paraId="3EF9DF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827</w:t>
            </w:r>
          </w:p>
        </w:tc>
        <w:tc>
          <w:tcPr>
            <w:tcW w:w="2520" w:type="dxa"/>
          </w:tcPr>
          <w:p w14:paraId="30B305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20.30</w:t>
            </w:r>
          </w:p>
        </w:tc>
      </w:tr>
      <w:tr w14:paraId="15B1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BCF0A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Customers</w:t>
            </w:r>
          </w:p>
        </w:tc>
        <w:tc>
          <w:tcPr>
            <w:tcW w:w="2520" w:type="dxa"/>
          </w:tcPr>
          <w:p w14:paraId="437514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2812</w:t>
            </w:r>
          </w:p>
        </w:tc>
        <w:tc>
          <w:tcPr>
            <w:tcW w:w="2520" w:type="dxa"/>
          </w:tcPr>
          <w:p w14:paraId="4F8C36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551</w:t>
            </w:r>
          </w:p>
        </w:tc>
        <w:tc>
          <w:tcPr>
            <w:tcW w:w="2520" w:type="dxa"/>
          </w:tcPr>
          <w:p w14:paraId="68F2DE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19.59</w:t>
            </w:r>
          </w:p>
        </w:tc>
      </w:tr>
      <w:tr w14:paraId="409E1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99789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Others</w:t>
            </w:r>
          </w:p>
        </w:tc>
        <w:tc>
          <w:tcPr>
            <w:tcW w:w="2520" w:type="dxa"/>
          </w:tcPr>
          <w:p w14:paraId="2CED03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5111</w:t>
            </w:r>
          </w:p>
        </w:tc>
        <w:tc>
          <w:tcPr>
            <w:tcW w:w="2520" w:type="dxa"/>
          </w:tcPr>
          <w:p w14:paraId="019AFB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1024</w:t>
            </w:r>
          </w:p>
        </w:tc>
        <w:tc>
          <w:tcPr>
            <w:tcW w:w="2520" w:type="dxa"/>
          </w:tcPr>
          <w:p w14:paraId="31EB98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20.04</w:t>
            </w:r>
          </w:p>
        </w:tc>
      </w:tr>
      <w:tr w14:paraId="1B05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0DDBED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Potential Loyalists</w:t>
            </w:r>
          </w:p>
        </w:tc>
        <w:tc>
          <w:tcPr>
            <w:tcW w:w="2520" w:type="dxa"/>
          </w:tcPr>
          <w:p w14:paraId="2CECDC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6722</w:t>
            </w:r>
          </w:p>
        </w:tc>
        <w:tc>
          <w:tcPr>
            <w:tcW w:w="2520" w:type="dxa"/>
          </w:tcPr>
          <w:p w14:paraId="5B2C7E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1410</w:t>
            </w:r>
          </w:p>
        </w:tc>
        <w:tc>
          <w:tcPr>
            <w:tcW w:w="2520" w:type="dxa"/>
          </w:tcPr>
          <w:p w14:paraId="76CEFC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20.98</w:t>
            </w:r>
          </w:p>
        </w:tc>
      </w:tr>
    </w:tbl>
    <w:p w14:paraId="7B7B6B6F">
      <w:pPr>
        <w:pStyle w:val="3"/>
        <w:rPr>
          <w:sz w:val="28"/>
          <w:szCs w:val="28"/>
        </w:rPr>
      </w:pPr>
    </w:p>
    <w:p w14:paraId="7FE063D6">
      <w:pPr>
        <w:pStyle w:val="3"/>
        <w:rPr>
          <w:sz w:val="28"/>
          <w:szCs w:val="28"/>
        </w:rPr>
      </w:pPr>
      <w:r>
        <w:rPr>
          <w:sz w:val="28"/>
          <w:szCs w:val="28"/>
        </w:rPr>
        <w:t>7.2 High-Value At-Risk Customers</w:t>
      </w:r>
    </w:p>
    <w:p w14:paraId="2EFB12BE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The project identified 4,226 high-value at-risk customers. These customers have generated substantial value but show signs of reduced recent engagement and should be prioritized for retention and win-back activity.</w:t>
      </w:r>
    </w:p>
    <w:p w14:paraId="0D096CA8">
      <w:pPr>
        <w:pStyle w:val="3"/>
        <w:rPr>
          <w:sz w:val="28"/>
          <w:szCs w:val="28"/>
        </w:rPr>
      </w:pPr>
      <w:r>
        <w:rPr>
          <w:sz w:val="28"/>
          <w:szCs w:val="28"/>
        </w:rPr>
        <w:t>7.3 Churn Risk Logic</w:t>
      </w:r>
    </w:p>
    <w:p w14:paraId="77496838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Churned — customers already marked as churned.</w:t>
      </w:r>
    </w:p>
    <w:p w14:paraId="6CF2E834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High Risk — low recency combined with low frequency.</w:t>
      </w:r>
    </w:p>
    <w:p w14:paraId="2CFB5288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Medium Risk — low recency requiring additional monitoring.</w:t>
      </w:r>
    </w:p>
    <w:p w14:paraId="54AE632E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Moderate Risk — customers requiring continued observation.</w:t>
      </w:r>
    </w:p>
    <w:p w14:paraId="3BBD6B63">
      <w:pPr>
        <w:pStyle w:val="23"/>
        <w:spacing w:after="40"/>
      </w:pPr>
      <w:r>
        <w:rPr>
          <w:sz w:val="24"/>
          <w:szCs w:val="24"/>
        </w:rPr>
        <w:t>Low Risk — recent and comparatively healthy customer activity</w:t>
      </w:r>
      <w:r>
        <w:t>.</w:t>
      </w:r>
    </w:p>
    <w:p w14:paraId="49EB3FAA">
      <w:r>
        <w:br w:type="page"/>
      </w:r>
    </w:p>
    <w:p w14:paraId="62FEEFDE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Key Business Insights</w:t>
      </w:r>
    </w:p>
    <w:p w14:paraId="370A331D">
      <w:pPr>
        <w:numPr>
          <w:numId w:val="0"/>
        </w:numPr>
        <w:ind w:leftChars="0"/>
      </w:pPr>
    </w:p>
    <w:p w14:paraId="1476D214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The project analyzed 250,000 transactions and approximately 49,673 customers.</w:t>
      </w:r>
    </w:p>
    <w:p w14:paraId="712223B2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Total revenue was approximately 681,342,683, with an average order value of 2,725.37.</w:t>
      </w:r>
    </w:p>
    <w:p w14:paraId="1444051A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Books was the highest-revenue product category.</w:t>
      </w:r>
    </w:p>
    <w:p w14:paraId="1AD9C37C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Wednesday was the best purchase day.</w:t>
      </w:r>
    </w:p>
    <w:p w14:paraId="127F6F17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17:00 was the peak purchase hour.</w:t>
      </w:r>
    </w:p>
    <w:p w14:paraId="4076ED0F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Credit Card was the most-used payment method.</w:t>
      </w:r>
    </w:p>
    <w:p w14:paraId="2B5D887B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Hibernating was the largest customer segment, while Champions contributed the highest segment revenue.</w:t>
      </w:r>
    </w:p>
    <w:p w14:paraId="2FFA964B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The overall customer churn rate was approximately 20.01%.</w:t>
      </w:r>
    </w:p>
    <w:p w14:paraId="150824A9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4,226 high-value at-risk customers were identified.</w:t>
      </w:r>
    </w:p>
    <w:p w14:paraId="3D48AA92">
      <w:pPr>
        <w:pStyle w:val="23"/>
        <w:numPr>
          <w:numId w:val="0"/>
        </w:numPr>
        <w:spacing w:after="40" w:line="276" w:lineRule="auto"/>
        <w:contextualSpacing/>
        <w:rPr>
          <w:sz w:val="24"/>
          <w:szCs w:val="24"/>
        </w:rPr>
      </w:pPr>
    </w:p>
    <w:p w14:paraId="4F55E6B6">
      <w:pPr>
        <w:pStyle w:val="23"/>
        <w:numPr>
          <w:numId w:val="0"/>
        </w:numPr>
        <w:spacing w:after="40" w:line="276" w:lineRule="auto"/>
        <w:contextualSpacing/>
        <w:rPr>
          <w:sz w:val="24"/>
          <w:szCs w:val="24"/>
        </w:rPr>
      </w:pPr>
    </w:p>
    <w:p w14:paraId="1049064E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Recommended KPIs</w:t>
      </w:r>
    </w:p>
    <w:p w14:paraId="05375AE5">
      <w:pPr>
        <w:numPr>
          <w:numId w:val="0"/>
        </w:numPr>
        <w:ind w:leftChars="0"/>
      </w:pPr>
    </w:p>
    <w:p w14:paraId="5E43AF4E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Total revenue</w:t>
      </w:r>
    </w:p>
    <w:p w14:paraId="19C0482D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Total transactions</w:t>
      </w:r>
    </w:p>
    <w:p w14:paraId="1E2EEA3A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Unique customers</w:t>
      </w:r>
    </w:p>
    <w:p w14:paraId="344D6580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Average order value</w:t>
      </w:r>
    </w:p>
    <w:p w14:paraId="796AEC48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Total quantity sold</w:t>
      </w:r>
    </w:p>
    <w:p w14:paraId="305510F5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Return rate</w:t>
      </w:r>
    </w:p>
    <w:p w14:paraId="3E683A5E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Churn rate</w:t>
      </w:r>
    </w:p>
    <w:p w14:paraId="45A5E54E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Revenue by product category</w:t>
      </w:r>
    </w:p>
    <w:p w14:paraId="1A5352A6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RFM segment revenue and customer count</w:t>
      </w:r>
    </w:p>
    <w:p w14:paraId="4F76A298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High-value at-risk customer count</w:t>
      </w:r>
    </w:p>
    <w:p w14:paraId="04A2E8FF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Purchase activity by weekday and hour</w:t>
      </w:r>
    </w:p>
    <w:p w14:paraId="5B5D9D95">
      <w:pPr>
        <w:pStyle w:val="23"/>
        <w:numPr>
          <w:numId w:val="0"/>
        </w:numPr>
        <w:spacing w:after="40" w:line="276" w:lineRule="auto"/>
        <w:contextualSpacing/>
        <w:rPr>
          <w:sz w:val="24"/>
          <w:szCs w:val="24"/>
        </w:rPr>
      </w:pPr>
    </w:p>
    <w:p w14:paraId="20985FEE">
      <w:pPr>
        <w:pStyle w:val="23"/>
        <w:numPr>
          <w:numId w:val="0"/>
        </w:numPr>
        <w:spacing w:after="40" w:line="276" w:lineRule="auto"/>
        <w:contextualSpacing/>
        <w:rPr>
          <w:sz w:val="24"/>
          <w:szCs w:val="24"/>
        </w:rPr>
      </w:pPr>
    </w:p>
    <w:p w14:paraId="64AC406E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Power BI Dashboard</w:t>
      </w:r>
    </w:p>
    <w:p w14:paraId="031DC524">
      <w:pPr>
        <w:numPr>
          <w:numId w:val="0"/>
        </w:numPr>
        <w:ind w:leftChars="0"/>
      </w:pPr>
    </w:p>
    <w:p w14:paraId="7B7E303E">
      <w:pPr>
        <w:spacing w:after="100" w:line="252" w:lineRule="auto"/>
        <w:rPr>
          <w:sz w:val="24"/>
          <w:szCs w:val="24"/>
        </w:rPr>
      </w:pPr>
      <w:r>
        <w:rPr>
          <w:sz w:val="24"/>
          <w:szCs w:val="24"/>
        </w:rPr>
        <w:t>The project prepared Power BI-ready fact and dimension tables. Recommended dashboard pages include Executive Overview, Customer Behavior, RFM Segmentation, Churn Analysis, and Product &amp; Purchase Patterns.</w:t>
      </w:r>
    </w:p>
    <w:p w14:paraId="648F0998">
      <w:r>
        <w:br w:type="page"/>
      </w:r>
    </w:p>
    <w:p w14:paraId="1298EC6D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Five Business Recommendations</w:t>
      </w:r>
    </w:p>
    <w:p w14:paraId="59EDE24C">
      <w:pPr>
        <w:numPr>
          <w:numId w:val="0"/>
        </w:numPr>
        <w:ind w:leftChars="0"/>
      </w:pPr>
    </w:p>
    <w:p w14:paraId="62E8991F">
      <w:pPr>
        <w:rPr>
          <w:sz w:val="24"/>
          <w:szCs w:val="24"/>
        </w:rPr>
      </w:pPr>
      <w:r>
        <w:rPr>
          <w:b/>
          <w:sz w:val="24"/>
          <w:szCs w:val="24"/>
        </w:rPr>
        <w:t>1. Recommendation</w:t>
      </w:r>
    </w:p>
    <w:p w14:paraId="303E6048">
      <w:pPr>
        <w:spacing w:after="140"/>
        <w:ind w:left="288"/>
        <w:rPr>
          <w:sz w:val="24"/>
          <w:szCs w:val="24"/>
        </w:rPr>
      </w:pPr>
      <w:r>
        <w:rPr>
          <w:sz w:val="24"/>
          <w:szCs w:val="24"/>
        </w:rPr>
        <w:t>Launch a targeted retention campaign for high-value at-risk customers. The analysis identified 4,226 customers who have high monetary value but low recent engagement. Use personalized offers, reminders and exclusive benefits to encourage repeat purchases.</w:t>
      </w:r>
    </w:p>
    <w:p w14:paraId="03F46E27">
      <w:pPr>
        <w:rPr>
          <w:sz w:val="24"/>
          <w:szCs w:val="24"/>
        </w:rPr>
      </w:pPr>
      <w:r>
        <w:rPr>
          <w:b/>
          <w:sz w:val="24"/>
          <w:szCs w:val="24"/>
        </w:rPr>
        <w:t>2. Recommendation</w:t>
      </w:r>
    </w:p>
    <w:p w14:paraId="02E17384">
      <w:pPr>
        <w:spacing w:after="140"/>
        <w:ind w:left="288"/>
        <w:rPr>
          <w:sz w:val="24"/>
          <w:szCs w:val="24"/>
        </w:rPr>
      </w:pPr>
      <w:r>
        <w:rPr>
          <w:sz w:val="24"/>
          <w:szCs w:val="24"/>
        </w:rPr>
        <w:t>Use RFM-based customer segmentation for personalized marketing. Prioritize the 'Champions' segment for loyalty programs and cross-selling, while using reactivation campaigns for low-recency segments.</w:t>
      </w:r>
    </w:p>
    <w:p w14:paraId="5FAB888C">
      <w:pPr>
        <w:rPr>
          <w:sz w:val="24"/>
          <w:szCs w:val="24"/>
        </w:rPr>
      </w:pPr>
      <w:r>
        <w:rPr>
          <w:b/>
          <w:sz w:val="24"/>
          <w:szCs w:val="24"/>
        </w:rPr>
        <w:t>3. Recommendation</w:t>
      </w:r>
    </w:p>
    <w:p w14:paraId="12C31B52">
      <w:pPr>
        <w:spacing w:after="140"/>
        <w:ind w:left="288"/>
        <w:rPr>
          <w:sz w:val="24"/>
          <w:szCs w:val="24"/>
        </w:rPr>
      </w:pPr>
      <w:r>
        <w:rPr>
          <w:sz w:val="24"/>
          <w:szCs w:val="24"/>
        </w:rPr>
        <w:t>Focus inventory and marketing efforts on the 'Books' category because it generates the highest revenue in the analyzed dataset. Combine this category with cross-selling and bundle offers to increase customer order value.</w:t>
      </w:r>
    </w:p>
    <w:p w14:paraId="0632B4D0">
      <w:pPr>
        <w:rPr>
          <w:sz w:val="24"/>
          <w:szCs w:val="24"/>
        </w:rPr>
      </w:pPr>
      <w:r>
        <w:rPr>
          <w:b/>
          <w:sz w:val="24"/>
          <w:szCs w:val="24"/>
        </w:rPr>
        <w:t>4. Recommendation</w:t>
      </w:r>
    </w:p>
    <w:p w14:paraId="21D4C2AF">
      <w:pPr>
        <w:spacing w:after="140"/>
        <w:ind w:left="288"/>
        <w:rPr>
          <w:sz w:val="24"/>
          <w:szCs w:val="24"/>
        </w:rPr>
      </w:pPr>
      <w:r>
        <w:rPr>
          <w:sz w:val="24"/>
          <w:szCs w:val="24"/>
        </w:rPr>
        <w:t>Schedule promotional campaigns around the strongest customer purchase period. The peak transaction period is Wednesday at approximately 17:00. Use this period for flash sales, personalized offers and campaign reminders.</w:t>
      </w:r>
    </w:p>
    <w:p w14:paraId="3F8A026F">
      <w:pPr>
        <w:rPr>
          <w:sz w:val="24"/>
          <w:szCs w:val="24"/>
        </w:rPr>
      </w:pPr>
      <w:r>
        <w:rPr>
          <w:b/>
          <w:sz w:val="24"/>
          <w:szCs w:val="24"/>
        </w:rPr>
        <w:t>5. Recommendation</w:t>
      </w:r>
    </w:p>
    <w:p w14:paraId="50FE00C4">
      <w:pPr>
        <w:spacing w:after="140"/>
        <w:ind w:left="288"/>
        <w:rPr>
          <w:sz w:val="24"/>
          <w:szCs w:val="24"/>
        </w:rPr>
      </w:pPr>
      <w:r>
        <w:rPr>
          <w:sz w:val="24"/>
          <w:szCs w:val="24"/>
        </w:rPr>
        <w:t>Implement an early-warning churn system. The overall churn rate is approximately 20.01%. Customers showing declining recency and frequency should receive automated retention messages before they become fully inactive.</w:t>
      </w:r>
    </w:p>
    <w:p w14:paraId="504D5A97">
      <w:r>
        <w:br w:type="page"/>
      </w:r>
    </w:p>
    <w:p w14:paraId="3E901D00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Data Limitations</w:t>
      </w:r>
    </w:p>
    <w:p w14:paraId="343FA325">
      <w:pPr>
        <w:numPr>
          <w:numId w:val="0"/>
        </w:numPr>
        <w:ind w:leftChars="0"/>
      </w:pPr>
    </w:p>
    <w:p w14:paraId="32274DA3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The dataset is synthetic and may not represent every real-world customer behavior.</w:t>
      </w:r>
    </w:p>
    <w:p w14:paraId="17FE1ED5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Missing return values were interpreted as zero recorded returns.</w:t>
      </w:r>
    </w:p>
    <w:p w14:paraId="09DB8E8A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The churn field was used as supplied and was not independently predicted using machine learning.</w:t>
      </w:r>
    </w:p>
    <w:p w14:paraId="357E1888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The analysis is descriptive and does not establish causal relationships.</w:t>
      </w:r>
    </w:p>
    <w:p w14:paraId="22A35023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Discounts, campaign exposure, delivery time, customer satisfaction, and support interactions were not available.</w:t>
      </w:r>
    </w:p>
    <w:p w14:paraId="627AE7A0">
      <w:pPr>
        <w:pStyle w:val="23"/>
        <w:numPr>
          <w:numId w:val="0"/>
        </w:numPr>
        <w:spacing w:after="40"/>
        <w:ind w:leftChars="0"/>
        <w:rPr>
          <w:sz w:val="24"/>
          <w:szCs w:val="24"/>
        </w:rPr>
      </w:pPr>
    </w:p>
    <w:p w14:paraId="03B5AA8C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Conclusion</w:t>
      </w:r>
    </w:p>
    <w:p w14:paraId="2F03CACB">
      <w:pPr>
        <w:numPr>
          <w:numId w:val="0"/>
        </w:numPr>
        <w:ind w:leftChars="0"/>
      </w:pPr>
    </w:p>
    <w:p w14:paraId="7B892A5E">
      <w:pPr>
        <w:spacing w:after="100" w:line="252" w:lineRule="auto"/>
        <w:rPr>
          <w:sz w:val="28"/>
          <w:szCs w:val="28"/>
        </w:rPr>
      </w:pPr>
      <w:r>
        <w:rPr>
          <w:sz w:val="28"/>
          <w:szCs w:val="28"/>
        </w:rPr>
        <w:t>The Customer Behavior Analysis project demonstrates a complete analytics workflow from raw e-commerce transactions to actionable business recommendations. The project combines data cleaning, exploratory analysis, customer-level feature engineering, RFM segmentation, purchase pattern analysis, churn analysis, and Power BI preparation.</w:t>
      </w:r>
    </w:p>
    <w:p w14:paraId="75C388AC">
      <w:pPr>
        <w:spacing w:after="100" w:line="252" w:lineRule="auto"/>
        <w:rPr>
          <w:sz w:val="28"/>
          <w:szCs w:val="28"/>
        </w:rPr>
      </w:pPr>
      <w:r>
        <w:rPr>
          <w:sz w:val="28"/>
          <w:szCs w:val="28"/>
        </w:rPr>
        <w:t>The analysis provides a practical framework for understanding customer value and risk. Identifying high-value at-risk customers allows the business to prioritize retention resources where they can potentially create the greatest value.</w:t>
      </w:r>
    </w:p>
    <w:p w14:paraId="79971B26">
      <w:pPr>
        <w:spacing w:after="100" w:line="252" w:lineRule="auto"/>
        <w:rPr>
          <w:sz w:val="28"/>
          <w:szCs w:val="28"/>
        </w:rPr>
      </w:pPr>
    </w:p>
    <w:p w14:paraId="1F2F2E1F">
      <w:pPr>
        <w:spacing w:after="100" w:line="252" w:lineRule="auto"/>
        <w:rPr>
          <w:sz w:val="28"/>
          <w:szCs w:val="28"/>
        </w:rPr>
      </w:pPr>
    </w:p>
    <w:p w14:paraId="41777F9B">
      <w:pPr>
        <w:pStyle w:val="2"/>
        <w:numPr>
          <w:ilvl w:val="0"/>
          <w:numId w:val="8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Future Scope</w:t>
      </w:r>
    </w:p>
    <w:p w14:paraId="7CD542E0">
      <w:pPr>
        <w:numPr>
          <w:numId w:val="0"/>
        </w:numPr>
        <w:ind w:leftChars="0"/>
      </w:pPr>
      <w:bookmarkStart w:id="0" w:name="_GoBack"/>
      <w:bookmarkEnd w:id="0"/>
    </w:p>
    <w:p w14:paraId="0F47D4A6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Build a machine learning model for churn prediction.</w:t>
      </w:r>
    </w:p>
    <w:p w14:paraId="01E87AD8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Develop customer lifetime value prediction.</w:t>
      </w:r>
    </w:p>
    <w:p w14:paraId="263B5C81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Add product recommendation capabilities.</w:t>
      </w:r>
    </w:p>
    <w:p w14:paraId="5C983FF6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Measure the impact of discounts and campaigns.</w:t>
      </w:r>
    </w:p>
    <w:p w14:paraId="263AB945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Connect Power BI to a live database.</w:t>
      </w:r>
    </w:p>
    <w:p w14:paraId="504D6013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Automate recurring customer-health reports.</w:t>
      </w:r>
    </w:p>
    <w:p w14:paraId="005814AF">
      <w:pPr>
        <w:pStyle w:val="2"/>
        <w:rPr>
          <w:sz w:val="32"/>
          <w:szCs w:val="32"/>
        </w:rPr>
      </w:pPr>
    </w:p>
    <w:p w14:paraId="546826BE">
      <w:pPr>
        <w:pStyle w:val="2"/>
      </w:pPr>
      <w:r>
        <w:rPr>
          <w:sz w:val="32"/>
          <w:szCs w:val="32"/>
        </w:rPr>
        <w:t>References</w:t>
      </w:r>
    </w:p>
    <w:p w14:paraId="254C419E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Python Documentation — https://docs.python.org/</w:t>
      </w:r>
    </w:p>
    <w:p w14:paraId="20CA4B7C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Pandas Documentation — https://pandas.pydata.org/docs/</w:t>
      </w:r>
    </w:p>
    <w:p w14:paraId="6EEF8DB4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NumPy Documentation — https://numpy.org/doc/</w:t>
      </w:r>
    </w:p>
    <w:p w14:paraId="25E2F673">
      <w:pPr>
        <w:pStyle w:val="23"/>
        <w:spacing w:after="40"/>
        <w:rPr>
          <w:sz w:val="28"/>
          <w:szCs w:val="28"/>
        </w:rPr>
      </w:pPr>
      <w:r>
        <w:rPr>
          <w:sz w:val="28"/>
          <w:szCs w:val="28"/>
        </w:rPr>
        <w:t>Matplotlib Documentation — https://matplotlib.org/stable/</w:t>
      </w:r>
    </w:p>
    <w:p w14:paraId="5E1524FB">
      <w:pPr>
        <w:pStyle w:val="23"/>
        <w:spacing w:after="40"/>
      </w:pPr>
      <w:r>
        <w:rPr>
          <w:sz w:val="28"/>
          <w:szCs w:val="28"/>
        </w:rPr>
        <w:t>Seaborn Documentation — https://seaborn.pydata.org/</w:t>
      </w:r>
    </w:p>
    <w:p w14:paraId="1F542C19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Microsoft Power BI Documentation — https://learn.microsoft.com/power-bi/</w:t>
      </w:r>
    </w:p>
    <w:p w14:paraId="5CA5E76F">
      <w:pPr>
        <w:pStyle w:val="23"/>
        <w:spacing w:after="40"/>
        <w:rPr>
          <w:sz w:val="24"/>
          <w:szCs w:val="24"/>
        </w:rPr>
      </w:pPr>
      <w:r>
        <w:rPr>
          <w:sz w:val="24"/>
          <w:szCs w:val="24"/>
        </w:rPr>
        <w:t>Dataset source — Kaggle: E-Commerce Customer Data For Behavior Analysis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0EE53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2F455"/>
    <w:multiLevelType w:val="multilevel"/>
    <w:tmpl w:val="9002F45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A581C5E"/>
    <w:multiLevelType w:val="singleLevel"/>
    <w:tmpl w:val="CA581C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3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212</Words>
  <Characters>1364</Characters>
  <Lines>0</Lines>
  <Paragraphs>0</Paragraphs>
  <TotalTime>15</TotalTime>
  <ScaleCrop>false</ScaleCrop>
  <LinksUpToDate>false</LinksUpToDate>
  <CharactersWithSpaces>1530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Ankit kumar Mahto</cp:lastModifiedBy>
  <dcterms:modified xsi:type="dcterms:W3CDTF">2026-09-12T05:04:49Z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eyJoZGlkIjoiOTFlMjRkMzE2MzczYTY3YWUyNTFjMDdmZTNjODJhZGMiLCJ1c2VySWQiOiI1NjcwODg2MjUxMjcifQ==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AC2E272D15574D5CBBECD9B935B8E24F_12</vt:lpwstr>
  </property>
</Properties>
</file>