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r>
        <w:t xml:space="preserve"/>
      </w:r>
    </w:p>
    <w:p>
      <w:pPr>
        <w:spacing w:after="40"/>
        <w:jc w:val="center"/>
      </w:pPr>
      <w:r>
        <w:rPr>
          <w:rFonts w:ascii="Arial" w:cs="Arial" w:eastAsia="Arial" w:hAnsi="Arial"/>
          <w:b/>
          <w:bCs/>
          <w:color w:val="1A5C38"/>
          <w:sz w:val="72"/>
          <w:szCs w:val="72"/>
        </w:rPr>
        <w:t xml:space="preserve">FOOFOO RE</w:t>
      </w:r>
    </w:p>
    <w:p>
      <w:pPr>
        <w:spacing w:after="40"/>
        <w:jc w:val="center"/>
      </w:pPr>
      <w:r>
        <w:rPr>
          <w:rFonts w:ascii="Arial" w:cs="Arial" w:eastAsia="Arial" w:hAnsi="Arial"/>
          <w:color w:val="555555"/>
          <w:sz w:val="24"/>
          <w:szCs w:val="24"/>
        </w:rPr>
        <w:t xml:space="preserve">Recommendation Engine Document Set</w:t>
      </w:r>
    </w:p>
    <w:p>
      <w:pPr>
        <w:spacing w:after="0"/>
        <w:jc w:val="center"/>
      </w:pPr>
      <w:r>
        <w:rPr>
          <w:rFonts w:ascii="Arial" w:cs="Arial" w:eastAsia="Arial" w:hAnsi="Arial"/>
          <w:color w:val="CCCCCC"/>
          <w:sz w:val="22"/>
          <w:szCs w:val="22"/>
        </w:rPr>
        <w:t xml:space="preserve">────────────────────────────────────</w:t>
      </w:r>
    </w:p>
    <w:p>
      <w:pPr>
        <w:spacing w:after="60"/>
      </w:pPr>
      <w:r>
        <w:t xml:space="preserve"/>
      </w:r>
    </w:p>
    <w:p>
      <w:pPr>
        <w:spacing w:after="60"/>
        <w:jc w:val="center"/>
      </w:pPr>
      <w:r>
        <w:rPr>
          <w:rFonts w:ascii="Arial" w:cs="Arial" w:eastAsia="Arial" w:hAnsi="Arial"/>
          <w:b/>
          <w:bCs/>
          <w:color w:val="C04A0A"/>
          <w:sz w:val="24"/>
          <w:szCs w:val="24"/>
        </w:rPr>
        <w:t xml:space="preserve">RE-DOC-05  ·  RE Evolution Roadmap — 4 States, Phase Progression &amp; ML Upgrade Path</w:t>
      </w:r>
    </w:p>
    <w:p>
      <w:pPr>
        <w:spacing w:after="40"/>
        <w:jc w:val="center"/>
      </w:pPr>
      <w:r>
        <w:rPr>
          <w:rFonts w:ascii="Arial" w:cs="Arial" w:eastAsia="Arial" w:hAnsi="Arial"/>
          <w:color w:val="888888"/>
          <w:sz w:val="20"/>
          <w:szCs w:val="20"/>
        </w:rPr>
        <w:t xml:space="preserve">Version 1.0  ·  Confidential  ·  June 2026</w:t>
      </w:r>
    </w:p>
    <w:p>
      <w:r>
        <w:br w:type="page"/>
      </w:r>
    </w:p>
    <w:p>
      <w:pPr>
        <w:pStyle w:val="Heading1"/>
        <w:spacing w:after="80" w:before="320"/>
      </w:pPr>
      <w:r>
        <w:rPr>
          <w:rFonts w:ascii="Arial" w:cs="Arial" w:eastAsia="Arial" w:hAnsi="Arial"/>
          <w:b/>
          <w:bCs/>
          <w:color w:val="1A5C38"/>
          <w:sz w:val="30"/>
          <w:szCs w:val="30"/>
        </w:rPr>
        <w:t xml:space="preserve">01  The 4-state model — how RE evolves with users and scale</w:t>
      </w:r>
    </w:p>
    <w:p>
      <w:pPr>
        <w:pBdr>
          <w:bottom w:val="single" w:color="1A5C38" w:sz="6" w:space="1"/>
        </w:pBdr>
        <w:spacing w:after="160" w:before="80"/>
      </w:pPr>
      <w:r>
        <w:t xml:space="preserve"/>
      </w:r>
    </w:p>
    <w:p>
      <w:pPr>
        <w:spacing w:after="140"/>
      </w:pPr>
      <w:r>
        <w:rPr>
          <w:rFonts w:ascii="Arial" w:cs="Arial" w:eastAsia="Arial" w:hAnsi="Arial"/>
          <w:b w:val="false"/>
          <w:bCs w:val="false"/>
          <w:i w:val="false"/>
          <w:iCs w:val="false"/>
          <w:color w:val="222222"/>
          <w:sz w:val="22"/>
          <w:szCs w:val="22"/>
        </w:rPr>
        <w:t xml:space="preserve">The RE must behave differently depending on two independent axes: how many users exist in the system, and how mature any individual user is. These two axes create four distinct RE operating states, each requiring a different strategy.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600"/>
        <w:gridCol w:w="2600"/>
        <w:gridCol w:w="2960"/>
      </w:tblGrid>
      <w:tr>
        <w:trPr>
          <w:tblHeader/>
        </w:trPr>
        <w:tc>
          <w:tcPr>
            <w:tcW w:type="dxa" w:w="1200"/>
            <w:tcBorders>
              <w:top w:val="none" w:color="FFFFFF" w:sz="0"/>
              <w:left w:val="none" w:color="FFFFFF" w:sz="0"/>
              <w:bottom w:val="none" w:color="FFFFFF" w:sz="0"/>
              <w:right w:val="none" w:color="FFFFFF" w:sz="0"/>
            </w:tcBorders>
            <w:shd w:fill="1A5C38" w:val="clear"/>
            <w:tcMar>
              <w:top w:type="dxa" w:w="100"/>
              <w:left w:type="dxa" w:w="140"/>
              <w:bottom w:type="dxa" w:w="100"/>
              <w:right w:type="dxa" w:w="140"/>
            </w:tcMar>
          </w:tcPr>
          <w:p>
            <w:r>
              <w:rPr>
                <w:rFonts w:ascii="Arial" w:cs="Arial" w:eastAsia="Arial" w:hAnsi="Arial"/>
                <w:b/>
                <w:bCs/>
                <w:color w:val="FFFFFF"/>
                <w:sz w:val="20"/>
                <w:szCs w:val="20"/>
              </w:rPr>
              <w:t xml:space="preserve">State</w:t>
            </w:r>
          </w:p>
        </w:tc>
        <w:tc>
          <w:tcPr>
            <w:tcW w:type="dxa" w:w="1600"/>
            <w:tcBorders>
              <w:top w:val="none" w:color="FFFFFF" w:sz="0"/>
              <w:left w:val="none" w:color="FFFFFF" w:sz="0"/>
              <w:bottom w:val="none" w:color="FFFFFF" w:sz="0"/>
              <w:right w:val="none" w:color="FFFFFF" w:sz="0"/>
            </w:tcBorders>
            <w:shd w:fill="1A5C38" w:val="clear"/>
            <w:tcMar>
              <w:top w:type="dxa" w:w="100"/>
              <w:left w:type="dxa" w:w="140"/>
              <w:bottom w:type="dxa" w:w="100"/>
              <w:right w:type="dxa" w:w="140"/>
            </w:tcMar>
          </w:tcPr>
          <w:p>
            <w:r>
              <w:rPr>
                <w:rFonts w:ascii="Arial" w:cs="Arial" w:eastAsia="Arial" w:hAnsi="Arial"/>
                <w:b/>
                <w:bCs/>
                <w:color w:val="FFFFFF"/>
                <w:sz w:val="20"/>
                <w:szCs w:val="20"/>
              </w:rPr>
              <w:t xml:space="preserve">User base</w:t>
            </w:r>
          </w:p>
        </w:tc>
        <w:tc>
          <w:tcPr>
            <w:tcW w:type="dxa" w:w="1600"/>
            <w:tcBorders>
              <w:top w:val="none" w:color="FFFFFF" w:sz="0"/>
              <w:left w:val="none" w:color="FFFFFF" w:sz="0"/>
              <w:bottom w:val="none" w:color="FFFFFF" w:sz="0"/>
              <w:right w:val="none" w:color="FFFFFF" w:sz="0"/>
            </w:tcBorders>
            <w:shd w:fill="1A5C38" w:val="clear"/>
            <w:tcMar>
              <w:top w:type="dxa" w:w="100"/>
              <w:left w:type="dxa" w:w="140"/>
              <w:bottom w:type="dxa" w:w="100"/>
              <w:right w:type="dxa" w:w="140"/>
            </w:tcMar>
          </w:tcPr>
          <w:p>
            <w:r>
              <w:rPr>
                <w:rFonts w:ascii="Arial" w:cs="Arial" w:eastAsia="Arial" w:hAnsi="Arial"/>
                <w:b/>
                <w:bCs/>
                <w:color w:val="FFFFFF"/>
                <w:sz w:val="20"/>
                <w:szCs w:val="20"/>
              </w:rPr>
              <w:t xml:space="preserve">Individual user</w:t>
            </w:r>
          </w:p>
        </w:tc>
        <w:tc>
          <w:tcPr>
            <w:tcW w:type="dxa" w:w="2600"/>
            <w:tcBorders>
              <w:top w:val="none" w:color="FFFFFF" w:sz="0"/>
              <w:left w:val="none" w:color="FFFFFF" w:sz="0"/>
              <w:bottom w:val="none" w:color="FFFFFF" w:sz="0"/>
              <w:right w:val="none" w:color="FFFFFF" w:sz="0"/>
            </w:tcBorders>
            <w:shd w:fill="1A5C38" w:val="clear"/>
            <w:tcMar>
              <w:top w:type="dxa" w:w="100"/>
              <w:left w:type="dxa" w:w="140"/>
              <w:bottom w:type="dxa" w:w="100"/>
              <w:right w:type="dxa" w:w="140"/>
            </w:tcMar>
          </w:tcPr>
          <w:p>
            <w:r>
              <w:rPr>
                <w:rFonts w:ascii="Arial" w:cs="Arial" w:eastAsia="Arial" w:hAnsi="Arial"/>
                <w:b/>
                <w:bCs/>
                <w:color w:val="FFFFFF"/>
                <w:sz w:val="20"/>
                <w:szCs w:val="20"/>
              </w:rPr>
              <w:t xml:space="preserve">Primary strategy</w:t>
            </w:r>
          </w:p>
        </w:tc>
        <w:tc>
          <w:tcPr>
            <w:tcW w:type="dxa" w:w="2960"/>
            <w:tcBorders>
              <w:top w:val="none" w:color="FFFFFF" w:sz="0"/>
              <w:left w:val="none" w:color="FFFFFF" w:sz="0"/>
              <w:bottom w:val="none" w:color="FFFFFF" w:sz="0"/>
              <w:right w:val="none" w:color="FFFFFF" w:sz="0"/>
            </w:tcBorders>
            <w:shd w:fill="1A5C38" w:val="clear"/>
            <w:tcMar>
              <w:top w:type="dxa" w:w="100"/>
              <w:left w:type="dxa" w:w="140"/>
              <w:bottom w:type="dxa" w:w="100"/>
              <w:right w:type="dxa" w:w="140"/>
            </w:tcMar>
          </w:tcPr>
          <w:p>
            <w:r>
              <w:rPr>
                <w:rFonts w:ascii="Arial" w:cs="Arial" w:eastAsia="Arial" w:hAnsi="Arial"/>
                <w:b/>
                <w:bCs/>
                <w:color w:val="FFFFFF"/>
                <w:sz w:val="20"/>
                <w:szCs w:val="20"/>
              </w:rPr>
              <w:t xml:space="preserve">Key challenge</w:t>
            </w:r>
          </w:p>
        </w:tc>
      </w:tr>
      <w:tr>
        <w:tc>
          <w:tcPr>
            <w:tcW w:type="dxa" w:w="12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State A — Research Mode</w:t>
            </w:r>
          </w:p>
        </w:tc>
        <w:tc>
          <w:tcPr>
            <w:tcW w:type="dxa" w:w="16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&lt; 1,000 DAU (launch)</w:t>
            </w:r>
          </w:p>
        </w:tc>
        <w:tc>
          <w:tcPr>
            <w:tcW w:type="dxa" w:w="16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New user (&lt; 7 days)</w:t>
            </w:r>
          </w:p>
        </w:tc>
        <w:tc>
          <w:tcPr>
            <w:tcW w:type="dxa" w:w="26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Pure secondary research + onboarding cohort. Bandit exploration.</w:t>
            </w:r>
          </w:p>
        </w:tc>
        <w:tc>
          <w:tcPr>
            <w:tcW w:type="dxa" w:w="296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No behavioural data. Every plan is a guess calibrated by research.</w:t>
            </w:r>
          </w:p>
        </w:tc>
      </w:tr>
      <w:tr>
        <w:tc>
          <w:tcPr>
            <w:tcW w:type="dxa" w:w="12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bCs/>
                <w:color w:val="222222"/>
                <w:sz w:val="20"/>
                <w:szCs w:val="20"/>
              </w:rPr>
              <w:t xml:space="preserve">State B — Learning Mode</w:t>
            </w:r>
          </w:p>
        </w:tc>
        <w:tc>
          <w:tcPr>
            <w:tcW w:type="dxa" w:w="16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&lt; 1,000 DAU</w:t>
            </w:r>
          </w:p>
        </w:tc>
        <w:tc>
          <w:tcPr>
            <w:tcW w:type="dxa" w:w="16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Mature user (30+ days)</w:t>
            </w:r>
          </w:p>
        </w:tc>
        <w:tc>
          <w:tcPr>
            <w:tcW w:type="dxa" w:w="26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Personal history dominates. Cohort as fallback. Content match for discovery.</w:t>
            </w:r>
          </w:p>
        </w:tc>
        <w:tc>
          <w:tcPr>
            <w:tcW w:type="dxa" w:w="296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RE knows this user well but cannot learn from user clusters — not enough users.</w:t>
            </w:r>
          </w:p>
        </w:tc>
      </w:tr>
      <w:tr>
        <w:tc>
          <w:tcPr>
            <w:tcW w:type="dxa" w:w="12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State C — Cluster Mode</w:t>
            </w:r>
          </w:p>
        </w:tc>
        <w:tc>
          <w:tcPr>
            <w:tcW w:type="dxa" w:w="16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5,000+ DAU</w:t>
            </w:r>
          </w:p>
        </w:tc>
        <w:tc>
          <w:tcPr>
            <w:tcW w:type="dxa" w:w="16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New user</w:t>
            </w:r>
          </w:p>
        </w:tc>
        <w:tc>
          <w:tcPr>
            <w:tcW w:type="dxa" w:w="26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Cluster matching: find the cluster whose historical behaviour best matches this user's onboarding profile.</w:t>
            </w:r>
          </w:p>
        </w:tc>
        <w:tc>
          <w:tcPr>
            <w:tcW w:type="dxa" w:w="296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The cluster exists. The question is which cluster this new user belongs to.</w:t>
            </w:r>
          </w:p>
        </w:tc>
      </w:tr>
      <w:tr>
        <w:tc>
          <w:tcPr>
            <w:tcW w:type="dxa" w:w="12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bCs/>
                <w:color w:val="222222"/>
                <w:sz w:val="20"/>
                <w:szCs w:val="20"/>
              </w:rPr>
              <w:t xml:space="preserve">State D — Full Intelligence</w:t>
            </w:r>
          </w:p>
        </w:tc>
        <w:tc>
          <w:tcPr>
            <w:tcW w:type="dxa" w:w="16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5,000+ DAU</w:t>
            </w:r>
          </w:p>
        </w:tc>
        <w:tc>
          <w:tcPr>
            <w:tcW w:type="dxa" w:w="16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Mature user</w:t>
            </w:r>
          </w:p>
        </w:tc>
        <w:tc>
          <w:tcPr>
            <w:tcW w:type="dxa" w:w="26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Personal history + cluster trend signals + optional CF layer. RE v3+.</w:t>
            </w:r>
          </w:p>
        </w:tc>
        <w:tc>
          <w:tcPr>
            <w:tcW w:type="dxa" w:w="296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Balance personal preference with fresh discovery. Prevent filter bubble.</w:t>
            </w:r>
          </w:p>
        </w:tc>
      </w:tr>
    </w:tbl>
    <w:p>
      <w:pPr>
        <w:spacing w:after="80"/>
      </w:pPr>
      <w:r>
        <w:t xml:space="preserve"/>
      </w:r>
    </w:p>
    <w:p>
      <w:pPr>
        <w:pStyle w:val="Heading2"/>
        <w:spacing w:after="80" w:before="240"/>
      </w:pPr>
      <w:r>
        <w:rPr>
          <w:rFonts w:ascii="Arial" w:cs="Arial" w:eastAsia="Arial" w:hAnsi="Arial"/>
          <w:b/>
          <w:bCs/>
          <w:color w:val="1A5C38"/>
          <w:sz w:val="24"/>
          <w:szCs w:val="24"/>
        </w:rPr>
        <w:t xml:space="preserve">State A — Research Mode (MVP launch, 0–1,000 DAU)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none" w:color="FFFFFF" w:sz="0"/>
              <w:left w:val="none" w:color="FFFFFF" w:sz="0"/>
              <w:bottom w:val="none" w:color="FFFFFF" w:sz="0"/>
              <w:right w:val="none" w:color="FFFFFF" w:sz="0"/>
            </w:tcBorders>
            <w:shd w:fill="1A5C38"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6960"/>
            <w:tcBorders>
              <w:top w:val="none" w:color="FFFFFF" w:sz="0"/>
              <w:left w:val="none" w:color="FFFFFF" w:sz="0"/>
              <w:bottom w:val="none" w:color="FFFFFF" w:sz="0"/>
              <w:right w:val="none" w:color="FFFFFF" w:sz="0"/>
            </w:tcBorders>
            <w:shd w:fill="1A5C38"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24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Candidate generation</w:t>
            </w:r>
          </w:p>
        </w:tc>
        <w:tc>
          <w:tcPr>
            <w:tcW w:type="dxa" w:w="696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Class filter → research cohort popularity ranking within class</w:t>
            </w:r>
          </w:p>
        </w:tc>
      </w:tr>
      <w:tr>
        <w:tc>
          <w:tcPr>
            <w:tcW w:type="dxa" w:w="24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bCs/>
                <w:color w:val="222222"/>
                <w:sz w:val="20"/>
                <w:szCs w:val="20"/>
              </w:rPr>
              <w:t xml:space="preserve">Scoring weights</w:t>
            </w:r>
          </w:p>
        </w:tc>
        <w:tc>
          <w:tcPr>
            <w:tcW w:type="dxa" w:w="696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w_cohort: 0.55, w_content: 0.20, w_history: 0.00, w_context: 0.15, w_explore: 0.10</w:t>
            </w:r>
          </w:p>
        </w:tc>
      </w:tr>
      <w:tr>
        <w:tc>
          <w:tcPr>
            <w:tcW w:type="dxa" w:w="24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Confidence score</w:t>
            </w:r>
          </w:p>
        </w:tc>
        <w:tc>
          <w:tcPr>
            <w:tcW w:type="dxa" w:w="696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0.40–0.65 depending on onboarding completeness</w:t>
            </w:r>
          </w:p>
        </w:tc>
      </w:tr>
      <w:tr>
        <w:tc>
          <w:tcPr>
            <w:tcW w:type="dxa" w:w="24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bCs/>
                <w:color w:val="222222"/>
                <w:sz w:val="20"/>
                <w:szCs w:val="20"/>
              </w:rPr>
              <w:t xml:space="preserve">Data sources</w:t>
            </w:r>
          </w:p>
        </w:tc>
        <w:tc>
          <w:tcPr>
            <w:tcW w:type="dxa" w:w="696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Secondary research DB (regional food patterns, cohort meal rhythms). Onboarding answers. Context signals.</w:t>
            </w:r>
          </w:p>
        </w:tc>
      </w:tr>
      <w:tr>
        <w:tc>
          <w:tcPr>
            <w:tcW w:type="dxa" w:w="24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Exploration strategy</w:t>
            </w:r>
          </w:p>
        </w:tc>
        <w:tc>
          <w:tcPr>
            <w:tcW w:type="dxa" w:w="696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Thompson Sampling bandit with Beta(1,1) prior adjusted to cohort base rates. Explore ~10% of slate.</w:t>
            </w:r>
          </w:p>
        </w:tc>
      </w:tr>
      <w:tr>
        <w:tc>
          <w:tcPr>
            <w:tcW w:type="dxa" w:w="24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bCs/>
                <w:color w:val="222222"/>
                <w:sz w:val="20"/>
                <w:szCs w:val="20"/>
              </w:rPr>
              <w:t xml:space="preserve">Success metric</w:t>
            </w:r>
          </w:p>
        </w:tc>
        <w:tc>
          <w:tcPr>
            <w:tcW w:type="dxa" w:w="696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Day 0 cold-start acceptance rate &gt; 25%. If below: review cohort-to-class mapping and research data quality.</w:t>
            </w:r>
          </w:p>
        </w:tc>
      </w:tr>
    </w:tbl>
    <w:p>
      <w:pPr>
        <w:spacing w:after="80"/>
      </w:pPr>
      <w:r>
        <w:t xml:space="preserve"/>
      </w:r>
    </w:p>
    <w:p>
      <w:pPr>
        <w:pStyle w:val="Heading2"/>
        <w:spacing w:after="80" w:before="240"/>
      </w:pPr>
      <w:r>
        <w:rPr>
          <w:rFonts w:ascii="Arial" w:cs="Arial" w:eastAsia="Arial" w:hAnsi="Arial"/>
          <w:b/>
          <w:bCs/>
          <w:color w:val="1A5C38"/>
          <w:sz w:val="24"/>
          <w:szCs w:val="24"/>
        </w:rPr>
        <w:t xml:space="preserve">State B — Learning Mode (MVP, mature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none" w:color="FFFFFF" w:sz="0"/>
              <w:left w:val="none" w:color="FFFFFF" w:sz="0"/>
              <w:bottom w:val="none" w:color="FFFFFF" w:sz="0"/>
              <w:right w:val="none" w:color="FFFFFF" w:sz="0"/>
            </w:tcBorders>
            <w:shd w:fill="1A5C38"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6960"/>
            <w:tcBorders>
              <w:top w:val="none" w:color="FFFFFF" w:sz="0"/>
              <w:left w:val="none" w:color="FFFFFF" w:sz="0"/>
              <w:bottom w:val="none" w:color="FFFFFF" w:sz="0"/>
              <w:right w:val="none" w:color="FFFFFF" w:sz="0"/>
            </w:tcBorders>
            <w:shd w:fill="1A5C38"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24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Candidate generation</w:t>
            </w:r>
          </w:p>
        </w:tc>
        <w:tc>
          <w:tcPr>
            <w:tcW w:type="dxa" w:w="696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Class filter → personal history ranking + content match</w:t>
            </w:r>
          </w:p>
        </w:tc>
      </w:tr>
      <w:tr>
        <w:tc>
          <w:tcPr>
            <w:tcW w:type="dxa" w:w="24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bCs/>
                <w:color w:val="222222"/>
                <w:sz w:val="20"/>
                <w:szCs w:val="20"/>
              </w:rPr>
              <w:t xml:space="preserve">Scoring weights</w:t>
            </w:r>
          </w:p>
        </w:tc>
        <w:tc>
          <w:tcPr>
            <w:tcW w:type="dxa" w:w="696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w_cohort: 0.05–0.20, w_content: 0.20, w_history: 0.50–0.65, w_context: 0.15, w_explore: 0.00–0.05</w:t>
            </w:r>
          </w:p>
        </w:tc>
      </w:tr>
      <w:tr>
        <w:tc>
          <w:tcPr>
            <w:tcW w:type="dxa" w:w="24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Confidence score</w:t>
            </w:r>
          </w:p>
        </w:tc>
        <w:tc>
          <w:tcPr>
            <w:tcW w:type="dxa" w:w="696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0.80–0.96 for users with 150+ interactions</w:t>
            </w:r>
          </w:p>
        </w:tc>
      </w:tr>
      <w:tr>
        <w:tc>
          <w:tcPr>
            <w:tcW w:type="dxa" w:w="24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bCs/>
                <w:color w:val="222222"/>
                <w:sz w:val="20"/>
                <w:szCs w:val="20"/>
              </w:rPr>
              <w:t xml:space="preserve">Data sources</w:t>
            </w:r>
          </w:p>
        </w:tc>
        <w:tc>
          <w:tcPr>
            <w:tcW w:type="dxa" w:w="696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User's full event log (swipes, locks, nevers, ratings, cooks). Taste vector derived from genome of accepted dishes.</w:t>
            </w:r>
          </w:p>
        </w:tc>
      </w:tr>
      <w:tr>
        <w:tc>
          <w:tcPr>
            <w:tcW w:type="dxa" w:w="24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Exploration strategy</w:t>
            </w:r>
          </w:p>
        </w:tc>
        <w:tc>
          <w:tcPr>
            <w:tcW w:type="dxa" w:w="696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Minimal bandit. RE exploits known preferences. Occasional cuisine rotation via MMR variety guard.</w:t>
            </w:r>
          </w:p>
        </w:tc>
      </w:tr>
      <w:tr>
        <w:tc>
          <w:tcPr>
            <w:tcW w:type="dxa" w:w="24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bCs/>
                <w:color w:val="222222"/>
                <w:sz w:val="20"/>
                <w:szCs w:val="20"/>
              </w:rPr>
              <w:t xml:space="preserve">Success metric</w:t>
            </w:r>
          </w:p>
        </w:tc>
        <w:tc>
          <w:tcPr>
            <w:tcW w:type="dxa" w:w="696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Suggestion acceptance rate &gt; 50% for 30-day+ users. Never rate &lt; 10%.</w:t>
            </w:r>
          </w:p>
        </w:tc>
      </w:tr>
    </w:tbl>
    <w:p>
      <w:pPr>
        <w:spacing w:after="80"/>
      </w:pPr>
      <w:r>
        <w:t xml:space="preserve"/>
      </w:r>
    </w:p>
    <w:p>
      <w:pPr>
        <w:pStyle w:val="Heading2"/>
        <w:spacing w:after="80" w:before="240"/>
      </w:pPr>
      <w:r>
        <w:rPr>
          <w:rFonts w:ascii="Arial" w:cs="Arial" w:eastAsia="Arial" w:hAnsi="Arial"/>
          <w:b/>
          <w:bCs/>
          <w:color w:val="4A3FA0"/>
          <w:sz w:val="24"/>
          <w:szCs w:val="24"/>
        </w:rPr>
        <w:t xml:space="preserve">State C — Cluster Mode (5,000+ DAU, new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none" w:color="FFFFFF" w:sz="0"/>
              <w:left w:val="none" w:color="FFFFFF" w:sz="0"/>
              <w:bottom w:val="none" w:color="FFFFFF" w:sz="0"/>
              <w:right w:val="none" w:color="FFFFFF" w:sz="0"/>
            </w:tcBorders>
            <w:shd w:fill="4A3FA0"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6960"/>
            <w:tcBorders>
              <w:top w:val="none" w:color="FFFFFF" w:sz="0"/>
              <w:left w:val="none" w:color="FFFFFF" w:sz="0"/>
              <w:bottom w:val="none" w:color="FFFFFF" w:sz="0"/>
              <w:right w:val="none" w:color="FFFFFF" w:sz="0"/>
            </w:tcBorders>
            <w:shd w:fill="4A3FA0"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24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Cluster definition</w:t>
            </w:r>
          </w:p>
        </w:tc>
        <w:tc>
          <w:tcPr>
            <w:tcW w:type="dxa" w:w="696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Users grouped by interaction patterns: which meal classes they accept most, which dishes they repeat, which they never. Clusters refreshed weekly.</w:t>
            </w:r>
          </w:p>
        </w:tc>
      </w:tr>
      <w:tr>
        <w:tc>
          <w:tcPr>
            <w:tcW w:type="dxa" w:w="24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bCs/>
                <w:color w:val="222222"/>
                <w:sz w:val="20"/>
                <w:szCs w:val="20"/>
              </w:rPr>
              <w:t xml:space="preserve">New user matching</w:t>
            </w:r>
          </w:p>
        </w:tc>
        <w:tc>
          <w:tcPr>
            <w:tcW w:type="dxa" w:w="696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Onboarding profile (cohort + state + diet + cook capability) mapped to the best-matching cluster using cosine similarity of profile vectors.</w:t>
            </w:r>
          </w:p>
        </w:tc>
      </w:tr>
      <w:tr>
        <w:tc>
          <w:tcPr>
            <w:tcW w:type="dxa" w:w="24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Scoring weights</w:t>
            </w:r>
          </w:p>
        </w:tc>
        <w:tc>
          <w:tcPr>
            <w:tcW w:type="dxa" w:w="696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w_cohort: 0.25 (from cluster, not raw research), w_content: 0.25, w_history: 0.25 (cluster history), w_context: 0.15, w_explore: 0.10</w:t>
            </w:r>
          </w:p>
        </w:tc>
      </w:tr>
      <w:tr>
        <w:tc>
          <w:tcPr>
            <w:tcW w:type="dxa" w:w="24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bCs/>
                <w:color w:val="222222"/>
                <w:sz w:val="20"/>
                <w:szCs w:val="20"/>
              </w:rPr>
              <w:t xml:space="preserve">Advantage over State A</w:t>
            </w:r>
          </w:p>
        </w:tc>
        <w:tc>
          <w:tcPr>
            <w:tcW w:type="dxa" w:w="696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Cluster behaviour is real user data, not research assumptions. New user in State C gets a richer, more accurate Day-0 plan than State A ever could.</w:t>
            </w:r>
          </w:p>
        </w:tc>
      </w:tr>
      <w:tr>
        <w:tc>
          <w:tcPr>
            <w:tcW w:type="dxa" w:w="24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Confidence score</w:t>
            </w:r>
          </w:p>
        </w:tc>
        <w:tc>
          <w:tcPr>
            <w:tcW w:type="dxa" w:w="696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0.55–0.75 for new users with good cluster match (score &gt; 0.7 similarity)</w:t>
            </w:r>
          </w:p>
        </w:tc>
      </w:tr>
      <w:tr>
        <w:tc>
          <w:tcPr>
            <w:tcW w:type="dxa" w:w="24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bCs/>
                <w:color w:val="222222"/>
                <w:sz w:val="20"/>
                <w:szCs w:val="20"/>
              </w:rPr>
              <w:t xml:space="preserve">Success metric</w:t>
            </w:r>
          </w:p>
        </w:tc>
        <w:tc>
          <w:tcPr>
            <w:tcW w:type="dxa" w:w="696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Day 0 acceptance rate &gt; 35% (vs &gt;25% in State A). Cluster match quality monitored weekly.</w:t>
            </w:r>
          </w:p>
        </w:tc>
      </w:tr>
    </w:tbl>
    <w:p>
      <w:pPr>
        <w:spacing w:after="80"/>
      </w:pPr>
      <w:r>
        <w:t xml:space="preserve"/>
      </w:r>
    </w:p>
    <w:p>
      <w:pPr>
        <w:pStyle w:val="Heading2"/>
        <w:spacing w:after="80" w:before="240"/>
      </w:pPr>
      <w:r>
        <w:rPr>
          <w:rFonts w:ascii="Arial" w:cs="Arial" w:eastAsia="Arial" w:hAnsi="Arial"/>
          <w:b/>
          <w:bCs/>
          <w:color w:val="1A5C38"/>
          <w:sz w:val="24"/>
          <w:szCs w:val="24"/>
        </w:rPr>
        <w:t xml:space="preserve">State D — Full Intelligence (5,000+ DAU, mature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none" w:color="FFFFFF" w:sz="0"/>
              <w:left w:val="none" w:color="FFFFFF" w:sz="0"/>
              <w:bottom w:val="none" w:color="FFFFFF" w:sz="0"/>
              <w:right w:val="none" w:color="FFFFFF" w:sz="0"/>
            </w:tcBorders>
            <w:shd w:fill="1A5C38"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6960"/>
            <w:tcBorders>
              <w:top w:val="none" w:color="FFFFFF" w:sz="0"/>
              <w:left w:val="none" w:color="FFFFFF" w:sz="0"/>
              <w:bottom w:val="none" w:color="FFFFFF" w:sz="0"/>
              <w:right w:val="none" w:color="FFFFFF" w:sz="0"/>
            </w:tcBorders>
            <w:shd w:fill="1A5C38"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24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RE version</w:t>
            </w:r>
          </w:p>
        </w:tc>
        <w:tc>
          <w:tcPr>
            <w:tcW w:type="dxa" w:w="696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cluster_v1 or later (ltr_v1 if LTR training data sufficient)</w:t>
            </w:r>
          </w:p>
        </w:tc>
      </w:tr>
      <w:tr>
        <w:tc>
          <w:tcPr>
            <w:tcW w:type="dxa" w:w="24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bCs/>
                <w:color w:val="222222"/>
                <w:sz w:val="20"/>
                <w:szCs w:val="20"/>
              </w:rPr>
              <w:t xml:space="preserve">Personal model</w:t>
            </w:r>
          </w:p>
        </w:tc>
        <w:tc>
          <w:tcPr>
            <w:tcW w:type="dxa" w:w="696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Full personal history (w_history: 0.60+) + cluster trend signal (what's trending in user's cluster recently)</w:t>
            </w:r>
          </w:p>
        </w:tc>
      </w:tr>
      <w:tr>
        <w:tc>
          <w:tcPr>
            <w:tcW w:type="dxa" w:w="24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Cluster evolution</w:t>
            </w:r>
          </w:p>
        </w:tc>
        <w:tc>
          <w:tcPr>
            <w:tcW w:type="dxa" w:w="696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User's cluster membership updates weekly based on behaviour. A user who starts as 'South Indian veg family' and starts accepting North Indian dishes may migrate to a mixed-cuisine cluster.</w:t>
            </w:r>
          </w:p>
        </w:tc>
      </w:tr>
      <w:tr>
        <w:tc>
          <w:tcPr>
            <w:tcW w:type="dxa" w:w="24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bCs/>
                <w:color w:val="222222"/>
                <w:sz w:val="20"/>
                <w:szCs w:val="20"/>
              </w:rPr>
              <w:t xml:space="preserve">Anti-filter-bubble mechanism</w:t>
            </w:r>
          </w:p>
        </w:tc>
        <w:tc>
          <w:tcPr>
            <w:tcW w:type="dxa" w:w="696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If user's accepted dishes come from &lt; 3 cuisine families for 30 consecutive days, exploration bonus activates (+0.10 for dishes from unexplored cuisines)</w:t>
            </w:r>
          </w:p>
        </w:tc>
      </w:tr>
      <w:tr>
        <w:tc>
          <w:tcPr>
            <w:tcW w:type="dxa" w:w="24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CF layer (when available)</w:t>
            </w:r>
          </w:p>
        </w:tc>
        <w:tc>
          <w:tcPr>
            <w:tcW w:type="dxa" w:w="696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Collaborative filtering via Matrix Factorization (ALS) once interaction matrix density &gt; 1%. Provides 'users like you also liked...' signal as an additional scoring component.</w:t>
            </w:r>
          </w:p>
        </w:tc>
      </w:tr>
      <w:tr>
        <w:tc>
          <w:tcPr>
            <w:tcW w:type="dxa" w:w="24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bCs/>
                <w:color w:val="222222"/>
                <w:sz w:val="20"/>
                <w:szCs w:val="20"/>
              </w:rPr>
              <w:t xml:space="preserve">Success metric</w:t>
            </w:r>
          </w:p>
        </w:tc>
        <w:tc>
          <w:tcPr>
            <w:tcW w:type="dxa" w:w="696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Day 30 retention &gt; 30%. Suggestion acceptance &gt; 55%. Never rate &lt; 8%.</w:t>
            </w:r>
          </w:p>
        </w:tc>
      </w:tr>
    </w:tbl>
    <w:p>
      <w:pPr>
        <w:spacing w:after="100"/>
      </w:pPr>
      <w:r>
        <w:t xml:space="preserve"/>
      </w:r>
    </w:p>
    <w:p>
      <w:pPr>
        <w:pStyle w:val="Heading1"/>
        <w:spacing w:after="80" w:before="320"/>
      </w:pPr>
      <w:r>
        <w:rPr>
          <w:rFonts w:ascii="Arial" w:cs="Arial" w:eastAsia="Arial" w:hAnsi="Arial"/>
          <w:b/>
          <w:bCs/>
          <w:color w:val="1A5C38"/>
          <w:sz w:val="30"/>
          <w:szCs w:val="30"/>
        </w:rPr>
        <w:t xml:space="preserve">02  The ML upgrade path — rule-based to full ML</w:t>
      </w:r>
    </w:p>
    <w:p>
      <w:pPr>
        <w:pBdr>
          <w:bottom w:val="single" w:color="1A5C38" w:sz="6" w:space="1"/>
        </w:pBdr>
        <w:spacing w:after="160" w:before="80"/>
      </w:pPr>
      <w:r>
        <w:t xml:space="preserve"/>
      </w:r>
    </w:p>
    <w:p>
      <w:pPr>
        <w:spacing w:after="140"/>
      </w:pPr>
      <w:r>
        <w:rPr>
          <w:rFonts w:ascii="Arial" w:cs="Arial" w:eastAsia="Arial" w:hAnsi="Arial"/>
          <w:b w:val="false"/>
          <w:bCs w:val="false"/>
          <w:i w:val="false"/>
          <w:iCs w:val="false"/>
          <w:color w:val="222222"/>
          <w:sz w:val="22"/>
          <w:szCs w:val="22"/>
        </w:rPr>
        <w:t xml:space="preserve">The RE is designed so that the app integration contract never changes as the internal algorithm evolves from rules to ML. Each upgrade is a swap of the scoring stage, not a rewrite of the system.</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000"/>
        <w:gridCol w:w="2400"/>
        <w:gridCol w:w="1560"/>
      </w:tblGrid>
      <w:tr>
        <w:trPr>
          <w:tblHeader/>
        </w:trPr>
        <w:tc>
          <w:tcPr>
            <w:tcW w:type="dxa" w:w="1400"/>
            <w:tcBorders>
              <w:top w:val="none" w:color="FFFFFF" w:sz="0"/>
              <w:left w:val="none" w:color="FFFFFF" w:sz="0"/>
              <w:bottom w:val="none" w:color="FFFFFF" w:sz="0"/>
              <w:right w:val="none" w:color="FFFFFF" w:sz="0"/>
            </w:tcBorders>
            <w:shd w:fill="1A5C38" w:val="clear"/>
            <w:tcMar>
              <w:top w:type="dxa" w:w="100"/>
              <w:left w:type="dxa" w:w="140"/>
              <w:bottom w:type="dxa" w:w="100"/>
              <w:right w:type="dxa" w:w="140"/>
            </w:tcMar>
          </w:tcPr>
          <w:p>
            <w:r>
              <w:rPr>
                <w:rFonts w:ascii="Arial" w:cs="Arial" w:eastAsia="Arial" w:hAnsi="Arial"/>
                <w:b/>
                <w:bCs/>
                <w:color w:val="FFFFFF"/>
                <w:sz w:val="20"/>
                <w:szCs w:val="20"/>
              </w:rPr>
              <w:t xml:space="preserve">RE version</w:t>
            </w:r>
          </w:p>
        </w:tc>
        <w:tc>
          <w:tcPr>
            <w:tcW w:type="dxa" w:w="2200"/>
            <w:tcBorders>
              <w:top w:val="none" w:color="FFFFFF" w:sz="0"/>
              <w:left w:val="none" w:color="FFFFFF" w:sz="0"/>
              <w:bottom w:val="none" w:color="FFFFFF" w:sz="0"/>
              <w:right w:val="none" w:color="FFFFFF" w:sz="0"/>
            </w:tcBorders>
            <w:shd w:fill="1A5C38" w:val="clear"/>
            <w:tcMar>
              <w:top w:type="dxa" w:w="100"/>
              <w:left w:type="dxa" w:w="140"/>
              <w:bottom w:type="dxa" w:w="100"/>
              <w:right w:type="dxa" w:w="140"/>
            </w:tcMar>
          </w:tcPr>
          <w:p>
            <w:r>
              <w:rPr>
                <w:rFonts w:ascii="Arial" w:cs="Arial" w:eastAsia="Arial" w:hAnsi="Arial"/>
                <w:b/>
                <w:bCs/>
                <w:color w:val="FFFFFF"/>
                <w:sz w:val="20"/>
                <w:szCs w:val="20"/>
              </w:rPr>
              <w:t xml:space="preserve">Algorithm</w:t>
            </w:r>
          </w:p>
        </w:tc>
        <w:tc>
          <w:tcPr>
            <w:tcW w:type="dxa" w:w="2000"/>
            <w:tcBorders>
              <w:top w:val="none" w:color="FFFFFF" w:sz="0"/>
              <w:left w:val="none" w:color="FFFFFF" w:sz="0"/>
              <w:bottom w:val="none" w:color="FFFFFF" w:sz="0"/>
              <w:right w:val="none" w:color="FFFFFF" w:sz="0"/>
            </w:tcBorders>
            <w:shd w:fill="1A5C38" w:val="clear"/>
            <w:tcMar>
              <w:top w:type="dxa" w:w="100"/>
              <w:left w:type="dxa" w:w="140"/>
              <w:bottom w:type="dxa" w:w="100"/>
              <w:right w:type="dxa" w:w="140"/>
            </w:tcMar>
          </w:tcPr>
          <w:p>
            <w:r>
              <w:rPr>
                <w:rFonts w:ascii="Arial" w:cs="Arial" w:eastAsia="Arial" w:hAnsi="Arial"/>
                <w:b/>
                <w:bCs/>
                <w:color w:val="FFFFFF"/>
                <w:sz w:val="20"/>
                <w:szCs w:val="20"/>
              </w:rPr>
              <w:t xml:space="preserve">Training data needed</w:t>
            </w:r>
          </w:p>
        </w:tc>
        <w:tc>
          <w:tcPr>
            <w:tcW w:type="dxa" w:w="2400"/>
            <w:tcBorders>
              <w:top w:val="none" w:color="FFFFFF" w:sz="0"/>
              <w:left w:val="none" w:color="FFFFFF" w:sz="0"/>
              <w:bottom w:val="none" w:color="FFFFFF" w:sz="0"/>
              <w:right w:val="none" w:color="FFFFFF" w:sz="0"/>
            </w:tcBorders>
            <w:shd w:fill="1A5C38" w:val="clear"/>
            <w:tcMar>
              <w:top w:type="dxa" w:w="100"/>
              <w:left w:type="dxa" w:w="140"/>
              <w:bottom w:type="dxa" w:w="100"/>
              <w:right w:type="dxa" w:w="140"/>
            </w:tcMar>
          </w:tcPr>
          <w:p>
            <w:r>
              <w:rPr>
                <w:rFonts w:ascii="Arial" w:cs="Arial" w:eastAsia="Arial" w:hAnsi="Arial"/>
                <w:b/>
                <w:bCs/>
                <w:color w:val="FFFFFF"/>
                <w:sz w:val="20"/>
                <w:szCs w:val="20"/>
              </w:rPr>
              <w:t xml:space="preserve">Trigger to activate</w:t>
            </w:r>
          </w:p>
        </w:tc>
        <w:tc>
          <w:tcPr>
            <w:tcW w:type="dxa" w:w="1560"/>
            <w:tcBorders>
              <w:top w:val="none" w:color="FFFFFF" w:sz="0"/>
              <w:left w:val="none" w:color="FFFFFF" w:sz="0"/>
              <w:bottom w:val="none" w:color="FFFFFF" w:sz="0"/>
              <w:right w:val="none" w:color="FFFFFF" w:sz="0"/>
            </w:tcBorders>
            <w:shd w:fill="1A5C38" w:val="clear"/>
            <w:tcMar>
              <w:top w:type="dxa" w:w="100"/>
              <w:left w:type="dxa" w:w="140"/>
              <w:bottom w:type="dxa" w:w="100"/>
              <w:right w:type="dxa" w:w="140"/>
            </w:tcMar>
          </w:tcPr>
          <w:p>
            <w:r>
              <w:rPr>
                <w:rFonts w:ascii="Arial" w:cs="Arial" w:eastAsia="Arial" w:hAnsi="Arial"/>
                <w:b/>
                <w:bCs/>
                <w:color w:val="FFFFFF"/>
                <w:sz w:val="20"/>
                <w:szCs w:val="20"/>
              </w:rPr>
              <w:t xml:space="preserve">Expected improvement</w:t>
            </w:r>
          </w:p>
        </w:tc>
      </w:tr>
      <w:tr>
        <w:tc>
          <w:tcPr>
            <w:tcW w:type="dxa" w:w="14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classfirst_v1 (MVP)</w:t>
            </w:r>
          </w:p>
        </w:tc>
        <w:tc>
          <w:tcPr>
            <w:tcW w:type="dxa" w:w="22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Rule-based scoring with hand-tuned weights. MMR variety guard. Bandit exploration.</w:t>
            </w:r>
          </w:p>
        </w:tc>
        <w:tc>
          <w:tcPr>
            <w:tcW w:type="dxa" w:w="20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None — pure rules</w:t>
            </w:r>
          </w:p>
        </w:tc>
        <w:tc>
          <w:tcPr>
            <w:tcW w:type="dxa" w:w="24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Live at launch</w:t>
            </w:r>
          </w:p>
        </w:tc>
        <w:tc>
          <w:tcPr>
            <w:tcW w:type="dxa" w:w="156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Baseline: Day-0 acceptance &gt; 25%</w:t>
            </w:r>
          </w:p>
        </w:tc>
      </w:tr>
      <w:tr>
        <w:tc>
          <w:tcPr>
            <w:tcW w:type="dxa" w:w="14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bCs/>
                <w:color w:val="222222"/>
                <w:sz w:val="20"/>
                <w:szCs w:val="20"/>
              </w:rPr>
              <w:t xml:space="preserve">classfirst_v2 (Sprint 6)</w:t>
            </w:r>
          </w:p>
        </w:tc>
        <w:tc>
          <w:tcPr>
            <w:tcW w:type="dxa" w:w="22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classfirst_v1 + personal history learning. Weights auto-adjusted per user interaction count.</w:t>
            </w:r>
          </w:p>
        </w:tc>
        <w:tc>
          <w:tcPr>
            <w:tcW w:type="dxa" w:w="20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100+ events per active user</w:t>
            </w:r>
          </w:p>
        </w:tc>
        <w:tc>
          <w:tcPr>
            <w:tcW w:type="dxa" w:w="24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7 days post-launch for active users</w:t>
            </w:r>
          </w:p>
        </w:tc>
        <w:tc>
          <w:tcPr>
            <w:tcW w:type="dxa" w:w="156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Day-7 acceptance improvement 8–12%</w:t>
            </w:r>
          </w:p>
        </w:tc>
      </w:tr>
      <w:tr>
        <w:tc>
          <w:tcPr>
            <w:tcW w:type="dxa" w:w="14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classfirst_v3 (Phase 1)</w:t>
            </w:r>
          </w:p>
        </w:tc>
        <w:tc>
          <w:tcPr>
            <w:tcW w:type="dxa" w:w="22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classfirst_v2 + dish embeddings (Word2Vec trained on accepted dish sequences). Better content match.</w:t>
            </w:r>
          </w:p>
        </w:tc>
        <w:tc>
          <w:tcPr>
            <w:tcW w:type="dxa" w:w="20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2,000+ events total; 50+ dish co-occurrence pairs</w:t>
            </w:r>
          </w:p>
        </w:tc>
        <w:tc>
          <w:tcPr>
            <w:tcW w:type="dxa" w:w="24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When 1,000+ events accumulated</w:t>
            </w:r>
          </w:p>
        </w:tc>
        <w:tc>
          <w:tcPr>
            <w:tcW w:type="dxa" w:w="156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Cross-cuisine discovery improves. Serendipity metric +15%.</w:t>
            </w:r>
          </w:p>
        </w:tc>
      </w:tr>
      <w:tr>
        <w:tc>
          <w:tcPr>
            <w:tcW w:type="dxa" w:w="14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bCs/>
                <w:color w:val="222222"/>
                <w:sz w:val="20"/>
                <w:szCs w:val="20"/>
              </w:rPr>
              <w:t xml:space="preserve">cluster_v1 (Phase 2)</w:t>
            </w:r>
          </w:p>
        </w:tc>
        <w:tc>
          <w:tcPr>
            <w:tcW w:type="dxa" w:w="22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Cluster-based cold start for new users. K-means or hierarchical clustering on interaction patterns.</w:t>
            </w:r>
          </w:p>
        </w:tc>
        <w:tc>
          <w:tcPr>
            <w:tcW w:type="dxa" w:w="20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5,000+ DAU with 30+ days history each</w:t>
            </w:r>
          </w:p>
        </w:tc>
        <w:tc>
          <w:tcPr>
            <w:tcW w:type="dxa" w:w="24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5,000 DAU milestone</w:t>
            </w:r>
          </w:p>
        </w:tc>
        <w:tc>
          <w:tcPr>
            <w:tcW w:type="dxa" w:w="156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New user Day-0 acceptance improves from &gt;25% to &gt;35%</w:t>
            </w:r>
          </w:p>
        </w:tc>
      </w:tr>
      <w:tr>
        <w:tc>
          <w:tcPr>
            <w:tcW w:type="dxa" w:w="14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ltr_v1 (Phase 3)</w:t>
            </w:r>
          </w:p>
        </w:tc>
        <w:tc>
          <w:tcPr>
            <w:tcW w:type="dxa" w:w="22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Learning-to-Rank (Gradient Boosted Trees) replaces hand-tuned weights. Trained on accept/reject events.</w:t>
            </w:r>
          </w:p>
        </w:tc>
        <w:tc>
          <w:tcPr>
            <w:tcW w:type="dxa" w:w="20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10,000+ labeled accept/reject events with diverse contexts</w:t>
            </w:r>
          </w:p>
        </w:tc>
        <w:tc>
          <w:tcPr>
            <w:tcW w:type="dxa" w:w="24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10K events + offline eval MRR improvement &gt; 8%</w:t>
            </w:r>
          </w:p>
        </w:tc>
        <w:tc>
          <w:tcPr>
            <w:tcW w:type="dxa" w:w="156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Overall acceptance improvement 10–15%. API version: /v2.</w:t>
            </w:r>
          </w:p>
        </w:tc>
      </w:tr>
      <w:tr>
        <w:tc>
          <w:tcPr>
            <w:tcW w:type="dxa" w:w="14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bCs/>
                <w:color w:val="222222"/>
                <w:sz w:val="20"/>
                <w:szCs w:val="20"/>
              </w:rPr>
              <w:t xml:space="preserve">ml_v1 (Year 2)</w:t>
            </w:r>
          </w:p>
        </w:tc>
        <w:tc>
          <w:tcPr>
            <w:tcW w:type="dxa" w:w="22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Two-tower retrieval + neural re-ranking + collaborative filtering (ALS). Full ML stack.</w:t>
            </w:r>
          </w:p>
        </w:tc>
        <w:tc>
          <w:tcPr>
            <w:tcW w:type="dxa" w:w="20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1M+ events; interaction density &gt; 1%</w:t>
            </w:r>
          </w:p>
        </w:tc>
        <w:tc>
          <w:tcPr>
            <w:tcW w:type="dxa" w:w="24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1M interactions milestone + CF viability check</w:t>
            </w:r>
          </w:p>
        </w:tc>
        <w:tc>
          <w:tcPr>
            <w:tcW w:type="dxa" w:w="156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Full personalisation. Cluster-to-individual accuracy maximised.</w:t>
            </w:r>
          </w:p>
        </w:tc>
      </w:tr>
    </w:tbl>
    <w:p>
      <w:pPr>
        <w:spacing w:after="80"/>
      </w:pPr>
      <w:r>
        <w:t xml:space="preserve"/>
      </w:r>
    </w:p>
    <w:p>
      <w:pPr>
        <w:pStyle w:val="Heading2"/>
        <w:spacing w:after="80" w:before="240"/>
      </w:pPr>
      <w:r>
        <w:rPr>
          <w:rFonts w:ascii="Arial" w:cs="Arial" w:eastAsia="Arial" w:hAnsi="Arial"/>
          <w:b/>
          <w:bCs/>
          <w:color w:val="1A5C38"/>
          <w:sz w:val="24"/>
          <w:szCs w:val="24"/>
        </w:rPr>
        <w:t xml:space="preserve">Feature store — what to log from day 1</w:t>
      </w:r>
    </w:p>
    <w:p>
      <w:pPr>
        <w:spacing w:after="140"/>
      </w:pPr>
      <w:r>
        <w:rPr>
          <w:rFonts w:ascii="Arial" w:cs="Arial" w:eastAsia="Arial" w:hAnsi="Arial"/>
          <w:b w:val="false"/>
          <w:bCs w:val="false"/>
          <w:i w:val="false"/>
          <w:iCs w:val="false"/>
          <w:color w:val="222222"/>
          <w:sz w:val="22"/>
          <w:szCs w:val="22"/>
        </w:rPr>
        <w:t xml:space="preserve">Even though ML is not used at MVP, the feature store must be built and populated from launch day. When ML is introduced, it trains on the data logged from Day 1. Features not logged cannot be used in future models. There is no retroactive recovery.</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rPr>
          <w:tblHeader/>
        </w:trPr>
        <w:tc>
          <w:tcPr>
            <w:tcW w:type="dxa" w:w="2000"/>
            <w:tcBorders>
              <w:top w:val="none" w:color="FFFFFF" w:sz="0"/>
              <w:left w:val="none" w:color="FFFFFF" w:sz="0"/>
              <w:bottom w:val="none" w:color="FFFFFF" w:sz="0"/>
              <w:right w:val="none" w:color="FFFFFF" w:sz="0"/>
            </w:tcBorders>
            <w:shd w:fill="1A5C38" w:val="clear"/>
            <w:tcMar>
              <w:top w:type="dxa" w:w="100"/>
              <w:left w:type="dxa" w:w="140"/>
              <w:bottom w:type="dxa" w:w="100"/>
              <w:right w:type="dxa" w:w="140"/>
            </w:tcMar>
          </w:tcPr>
          <w:p>
            <w:r>
              <w:rPr>
                <w:rFonts w:ascii="Arial" w:cs="Arial" w:eastAsia="Arial" w:hAnsi="Arial"/>
                <w:b/>
                <w:bCs/>
                <w:color w:val="FFFFFF"/>
                <w:sz w:val="20"/>
                <w:szCs w:val="20"/>
              </w:rPr>
              <w:t xml:space="preserve">Feature category</w:t>
            </w:r>
          </w:p>
        </w:tc>
        <w:tc>
          <w:tcPr>
            <w:tcW w:type="dxa" w:w="3600"/>
            <w:tcBorders>
              <w:top w:val="none" w:color="FFFFFF" w:sz="0"/>
              <w:left w:val="none" w:color="FFFFFF" w:sz="0"/>
              <w:bottom w:val="none" w:color="FFFFFF" w:sz="0"/>
              <w:right w:val="none" w:color="FFFFFF" w:sz="0"/>
            </w:tcBorders>
            <w:shd w:fill="1A5C38" w:val="clear"/>
            <w:tcMar>
              <w:top w:type="dxa" w:w="100"/>
              <w:left w:type="dxa" w:w="140"/>
              <w:bottom w:type="dxa" w:w="100"/>
              <w:right w:type="dxa" w:w="140"/>
            </w:tcMar>
          </w:tcPr>
          <w:p>
            <w:r>
              <w:rPr>
                <w:rFonts w:ascii="Arial" w:cs="Arial" w:eastAsia="Arial" w:hAnsi="Arial"/>
                <w:b/>
                <w:bCs/>
                <w:color w:val="FFFFFF"/>
                <w:sz w:val="20"/>
                <w:szCs w:val="20"/>
              </w:rPr>
              <w:t xml:space="preserve">Features to log</w:t>
            </w:r>
          </w:p>
        </w:tc>
        <w:tc>
          <w:tcPr>
            <w:tcW w:type="dxa" w:w="3760"/>
            <w:tcBorders>
              <w:top w:val="none" w:color="FFFFFF" w:sz="0"/>
              <w:left w:val="none" w:color="FFFFFF" w:sz="0"/>
              <w:bottom w:val="none" w:color="FFFFFF" w:sz="0"/>
              <w:right w:val="none" w:color="FFFFFF" w:sz="0"/>
            </w:tcBorders>
            <w:shd w:fill="1A5C38" w:val="clear"/>
            <w:tcMar>
              <w:top w:type="dxa" w:w="100"/>
              <w:left w:type="dxa" w:w="140"/>
              <w:bottom w:type="dxa" w:w="100"/>
              <w:right w:type="dxa" w:w="140"/>
            </w:tcMar>
          </w:tcPr>
          <w:p>
            <w:r>
              <w:rPr>
                <w:rFonts w:ascii="Arial" w:cs="Arial" w:eastAsia="Arial" w:hAnsi="Arial"/>
                <w:b/>
                <w:bCs/>
                <w:color w:val="FFFFFF"/>
                <w:sz w:val="20"/>
                <w:szCs w:val="20"/>
              </w:rPr>
              <w:t xml:space="preserve">Storage location</w:t>
            </w:r>
          </w:p>
        </w:tc>
      </w:tr>
      <w:tr>
        <w:tc>
          <w:tcPr>
            <w:tcW w:type="dxa" w:w="20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User features</w:t>
            </w:r>
          </w:p>
        </w:tc>
        <w:tc>
          <w:tcPr>
            <w:tcW w:type="dxa" w:w="36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household_type, home_state, current_city, diet_type, cook_capability, member_segments[], confidence_score, interaction_count</w:t>
            </w:r>
          </w:p>
        </w:tc>
        <w:tc>
          <w:tcPr>
            <w:tcW w:type="dxa" w:w="376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users table + feature_store.user_features</w:t>
            </w:r>
          </w:p>
        </w:tc>
      </w:tr>
      <w:tr>
        <w:tc>
          <w:tcPr>
            <w:tcW w:type="dxa" w:w="20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bCs/>
                <w:color w:val="222222"/>
                <w:sz w:val="20"/>
                <w:szCs w:val="20"/>
              </w:rPr>
              <w:t xml:space="preserve">Dish features</w:t>
            </w:r>
          </w:p>
        </w:tc>
        <w:tc>
          <w:tcPr>
            <w:tcW w:type="dxa" w:w="36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dish_id, all 20 genome dimensions, meal_class_code, regional_origin, popularity_score</w:t>
            </w:r>
          </w:p>
        </w:tc>
        <w:tc>
          <w:tcPr>
            <w:tcW w:type="dxa" w:w="376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dishes table + feature_store.dish_features</w:t>
            </w:r>
          </w:p>
        </w:tc>
      </w:tr>
      <w:tr>
        <w:tc>
          <w:tcPr>
            <w:tcW w:type="dxa" w:w="20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Interaction features</w:t>
            </w:r>
          </w:p>
        </w:tc>
        <w:tc>
          <w:tcPr>
            <w:tcW w:type="dxa" w:w="36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event_type, dish_id, meal_slot, rank_at_selection, time_viewed_ms, day_of_week, weather, season, confidence_at_time</w:t>
            </w:r>
          </w:p>
        </w:tc>
        <w:tc>
          <w:tcPr>
            <w:tcW w:type="dxa" w:w="376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event_logs table (append-only)</w:t>
            </w:r>
          </w:p>
        </w:tc>
      </w:tr>
      <w:tr>
        <w:tc>
          <w:tcPr>
            <w:tcW w:type="dxa" w:w="20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bCs/>
                <w:color w:val="222222"/>
                <w:sz w:val="20"/>
                <w:szCs w:val="20"/>
              </w:rPr>
              <w:t xml:space="preserve">Context features</w:t>
            </w:r>
          </w:p>
        </w:tc>
        <w:tc>
          <w:tcPr>
            <w:tcW w:type="dxa" w:w="36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weather_condition, temp_c, city, day_of_week, is_weekend, season, time_of_day, festival_proximity</w:t>
            </w:r>
          </w:p>
        </w:tc>
        <w:tc>
          <w:tcPr>
            <w:tcW w:type="dxa" w:w="376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context_log (per request)</w:t>
            </w:r>
          </w:p>
        </w:tc>
      </w:tr>
      <w:tr>
        <w:tc>
          <w:tcPr>
            <w:tcW w:type="dxa" w:w="20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Plan features</w:t>
            </w:r>
          </w:p>
        </w:tc>
        <w:tc>
          <w:tcPr>
            <w:tcW w:type="dxa" w:w="36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slate_id, class_code, confidence_score, re_version, cold_start_mode, n_candidates_before_filter</w:t>
            </w:r>
          </w:p>
        </w:tc>
        <w:tc>
          <w:tcPr>
            <w:tcW w:type="dxa" w:w="376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plan_logs table</w:t>
            </w:r>
          </w:p>
        </w:tc>
      </w:tr>
    </w:tbl>
    <w:p>
      <w:pPr>
        <w:spacing w:after="100"/>
      </w:pPr>
      <w:r>
        <w:t xml:space="preserve"/>
      </w:r>
    </w:p>
    <w:p>
      <w:pPr>
        <w:pStyle w:val="Heading1"/>
        <w:spacing w:after="80" w:before="320"/>
      </w:pPr>
      <w:r>
        <w:rPr>
          <w:rFonts w:ascii="Arial" w:cs="Arial" w:eastAsia="Arial" w:hAnsi="Arial"/>
          <w:b/>
          <w:bCs/>
          <w:color w:val="1A5C38"/>
          <w:sz w:val="30"/>
          <w:szCs w:val="30"/>
        </w:rPr>
        <w:t xml:space="preserve">03  RE evolution across product phases</w:t>
      </w:r>
    </w:p>
    <w:p>
      <w:pPr>
        <w:pBdr>
          <w:bottom w:val="single" w:color="1A5C38" w:sz="6" w:space="1"/>
        </w:pBdr>
        <w:spacing w:after="16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800"/>
        <w:gridCol w:w="2800"/>
        <w:gridCol w:w="2160"/>
      </w:tblGrid>
      <w:tr>
        <w:trPr>
          <w:tblHeader/>
        </w:trPr>
        <w:tc>
          <w:tcPr>
            <w:tcW w:type="dxa" w:w="1400"/>
            <w:tcBorders>
              <w:top w:val="none" w:color="FFFFFF" w:sz="0"/>
              <w:left w:val="none" w:color="FFFFFF" w:sz="0"/>
              <w:bottom w:val="none" w:color="FFFFFF" w:sz="0"/>
              <w:right w:val="none" w:color="FFFFFF" w:sz="0"/>
            </w:tcBorders>
            <w:shd w:fill="1A5C38" w:val="clear"/>
            <w:tcMar>
              <w:top w:type="dxa" w:w="100"/>
              <w:left w:type="dxa" w:w="140"/>
              <w:bottom w:type="dxa" w:w="100"/>
              <w:right w:type="dxa" w:w="140"/>
            </w:tcMar>
          </w:tcPr>
          <w:p>
            <w:r>
              <w:rPr>
                <w:rFonts w:ascii="Arial" w:cs="Arial" w:eastAsia="Arial" w:hAnsi="Arial"/>
                <w:b/>
                <w:bCs/>
                <w:color w:val="FFFFFF"/>
                <w:sz w:val="20"/>
                <w:szCs w:val="20"/>
              </w:rPr>
              <w:t xml:space="preserve">Product phase</w:t>
            </w:r>
          </w:p>
        </w:tc>
        <w:tc>
          <w:tcPr>
            <w:tcW w:type="dxa" w:w="1200"/>
            <w:tcBorders>
              <w:top w:val="none" w:color="FFFFFF" w:sz="0"/>
              <w:left w:val="none" w:color="FFFFFF" w:sz="0"/>
              <w:bottom w:val="none" w:color="FFFFFF" w:sz="0"/>
              <w:right w:val="none" w:color="FFFFFF" w:sz="0"/>
            </w:tcBorders>
            <w:shd w:fill="1A5C38" w:val="clear"/>
            <w:tcMar>
              <w:top w:type="dxa" w:w="100"/>
              <w:left w:type="dxa" w:w="140"/>
              <w:bottom w:type="dxa" w:w="100"/>
              <w:right w:type="dxa" w:w="140"/>
            </w:tcMar>
          </w:tcPr>
          <w:p>
            <w:r>
              <w:rPr>
                <w:rFonts w:ascii="Arial" w:cs="Arial" w:eastAsia="Arial" w:hAnsi="Arial"/>
                <w:b/>
                <w:bCs/>
                <w:color w:val="FFFFFF"/>
                <w:sz w:val="20"/>
                <w:szCs w:val="20"/>
              </w:rPr>
              <w:t xml:space="preserve">Timeline</w:t>
            </w:r>
          </w:p>
        </w:tc>
        <w:tc>
          <w:tcPr>
            <w:tcW w:type="dxa" w:w="1800"/>
            <w:tcBorders>
              <w:top w:val="none" w:color="FFFFFF" w:sz="0"/>
              <w:left w:val="none" w:color="FFFFFF" w:sz="0"/>
              <w:bottom w:val="none" w:color="FFFFFF" w:sz="0"/>
              <w:right w:val="none" w:color="FFFFFF" w:sz="0"/>
            </w:tcBorders>
            <w:shd w:fill="1A5C38" w:val="clear"/>
            <w:tcMar>
              <w:top w:type="dxa" w:w="100"/>
              <w:left w:type="dxa" w:w="140"/>
              <w:bottom w:type="dxa" w:w="100"/>
              <w:right w:type="dxa" w:w="140"/>
            </w:tcMar>
          </w:tcPr>
          <w:p>
            <w:r>
              <w:rPr>
                <w:rFonts w:ascii="Arial" w:cs="Arial" w:eastAsia="Arial" w:hAnsi="Arial"/>
                <w:b/>
                <w:bCs/>
                <w:color w:val="FFFFFF"/>
                <w:sz w:val="20"/>
                <w:szCs w:val="20"/>
              </w:rPr>
              <w:t xml:space="preserve">RE state</w:t>
            </w:r>
          </w:p>
        </w:tc>
        <w:tc>
          <w:tcPr>
            <w:tcW w:type="dxa" w:w="2800"/>
            <w:tcBorders>
              <w:top w:val="none" w:color="FFFFFF" w:sz="0"/>
              <w:left w:val="none" w:color="FFFFFF" w:sz="0"/>
              <w:bottom w:val="none" w:color="FFFFFF" w:sz="0"/>
              <w:right w:val="none" w:color="FFFFFF" w:sz="0"/>
            </w:tcBorders>
            <w:shd w:fill="1A5C38" w:val="clear"/>
            <w:tcMar>
              <w:top w:type="dxa" w:w="100"/>
              <w:left w:type="dxa" w:w="140"/>
              <w:bottom w:type="dxa" w:w="100"/>
              <w:right w:type="dxa" w:w="140"/>
            </w:tcMar>
          </w:tcPr>
          <w:p>
            <w:r>
              <w:rPr>
                <w:rFonts w:ascii="Arial" w:cs="Arial" w:eastAsia="Arial" w:hAnsi="Arial"/>
                <w:b/>
                <w:bCs/>
                <w:color w:val="FFFFFF"/>
                <w:sz w:val="20"/>
                <w:szCs w:val="20"/>
              </w:rPr>
              <w:t xml:space="preserve">New RE capabilities</w:t>
            </w:r>
          </w:p>
        </w:tc>
        <w:tc>
          <w:tcPr>
            <w:tcW w:type="dxa" w:w="2160"/>
            <w:tcBorders>
              <w:top w:val="none" w:color="FFFFFF" w:sz="0"/>
              <w:left w:val="none" w:color="FFFFFF" w:sz="0"/>
              <w:bottom w:val="none" w:color="FFFFFF" w:sz="0"/>
              <w:right w:val="none" w:color="FFFFFF" w:sz="0"/>
            </w:tcBorders>
            <w:shd w:fill="1A5C38" w:val="clear"/>
            <w:tcMar>
              <w:top w:type="dxa" w:w="100"/>
              <w:left w:type="dxa" w:w="140"/>
              <w:bottom w:type="dxa" w:w="100"/>
              <w:right w:type="dxa" w:w="140"/>
            </w:tcMar>
          </w:tcPr>
          <w:p>
            <w:r>
              <w:rPr>
                <w:rFonts w:ascii="Arial" w:cs="Arial" w:eastAsia="Arial" w:hAnsi="Arial"/>
                <w:b/>
                <w:bCs/>
                <w:color w:val="FFFFFF"/>
                <w:sz w:val="20"/>
                <w:szCs w:val="20"/>
              </w:rPr>
              <w:t xml:space="preserve">Success metric</w:t>
            </w:r>
          </w:p>
        </w:tc>
      </w:tr>
      <w:tr>
        <w:tc>
          <w:tcPr>
            <w:tcW w:type="dxa" w:w="14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MVP — Sprint 1–7</w:t>
            </w:r>
          </w:p>
        </w:tc>
        <w:tc>
          <w:tcPr>
            <w:tcW w:type="dxa" w:w="12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Weeks 1–14</w:t>
            </w:r>
          </w:p>
        </w:tc>
        <w:tc>
          <w:tcPr>
            <w:tcW w:type="dxa" w:w="18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State A (all users)</w:t>
            </w:r>
          </w:p>
        </w:tc>
        <w:tc>
          <w:tcPr>
            <w:tcW w:type="dxa" w:w="28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classfirst_v1: cohort-first class plan, MMR variety, bandit exploration, hard constraint safety gates</w:t>
            </w:r>
          </w:p>
        </w:tc>
        <w:tc>
          <w:tcPr>
            <w:tcW w:type="dxa" w:w="216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Day-0 acceptance &gt; 25%; zero constraint violations</w:t>
            </w:r>
          </w:p>
        </w:tc>
      </w:tr>
      <w:tr>
        <w:tc>
          <w:tcPr>
            <w:tcW w:type="dxa" w:w="14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bCs/>
                <w:color w:val="222222"/>
                <w:sz w:val="20"/>
                <w:szCs w:val="20"/>
              </w:rPr>
              <w:t xml:space="preserve">Sprint 6 personal learning</w:t>
            </w:r>
          </w:p>
        </w:tc>
        <w:tc>
          <w:tcPr>
            <w:tcW w:type="dxa" w:w="12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Week 11–12</w:t>
            </w:r>
          </w:p>
        </w:tc>
        <w:tc>
          <w:tcPr>
            <w:tcW w:type="dxa" w:w="18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State A→B transition</w:t>
            </w:r>
          </w:p>
        </w:tc>
        <w:tc>
          <w:tcPr>
            <w:tcW w:type="dxa" w:w="28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classfirst_v2: personal history weights activate after 7 days of user data</w:t>
            </w:r>
          </w:p>
        </w:tc>
        <w:tc>
          <w:tcPr>
            <w:tcW w:type="dxa" w:w="216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Day-7 acceptance improvement vs Day-1</w:t>
            </w:r>
          </w:p>
        </w:tc>
      </w:tr>
      <w:tr>
        <w:tc>
          <w:tcPr>
            <w:tcW w:type="dxa" w:w="14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Phase 0.5</w:t>
            </w:r>
          </w:p>
        </w:tc>
        <w:tc>
          <w:tcPr>
            <w:tcW w:type="dxa" w:w="12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Weeks 15–20</w:t>
            </w:r>
          </w:p>
        </w:tc>
        <w:tc>
          <w:tcPr>
            <w:tcW w:type="dxa" w:w="18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State B for old users, A for new</w:t>
            </w:r>
          </w:p>
        </w:tc>
        <w:tc>
          <w:tcPr>
            <w:tcW w:type="dxa" w:w="28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Feature store enriched with pantry data (when added). Class weights refined from first batch of real user data.</w:t>
            </w:r>
          </w:p>
        </w:tc>
        <w:tc>
          <w:tcPr>
            <w:tcW w:type="dxa" w:w="216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Day-30 acceptance &gt; 45%</w:t>
            </w:r>
          </w:p>
        </w:tc>
      </w:tr>
      <w:tr>
        <w:tc>
          <w:tcPr>
            <w:tcW w:type="dxa" w:w="14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bCs/>
                <w:color w:val="222222"/>
                <w:sz w:val="20"/>
                <w:szCs w:val="20"/>
              </w:rPr>
              <w:t xml:space="preserve">Phase 1</w:t>
            </w:r>
          </w:p>
        </w:tc>
        <w:tc>
          <w:tcPr>
            <w:tcW w:type="dxa" w:w="12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Weeks 21–28</w:t>
            </w:r>
          </w:p>
        </w:tc>
        <w:tc>
          <w:tcPr>
            <w:tcW w:type="dxa" w:w="18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State B for most users</w:t>
            </w:r>
          </w:p>
        </w:tc>
        <w:tc>
          <w:tcPr>
            <w:tcW w:type="dxa" w:w="28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Mood selector signal added to ContextFit. Calorie targeting overlay. Fitness mode (protein boost).</w:t>
            </w:r>
          </w:p>
        </w:tc>
        <w:tc>
          <w:tcPr>
            <w:tcW w:type="dxa" w:w="216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Day-30 acceptance &gt; 50%; fitness users: 45%+ macro satisfaction</w:t>
            </w:r>
          </w:p>
        </w:tc>
      </w:tr>
      <w:tr>
        <w:tc>
          <w:tcPr>
            <w:tcW w:type="dxa" w:w="14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Phase 2</w:t>
            </w:r>
          </w:p>
        </w:tc>
        <w:tc>
          <w:tcPr>
            <w:tcW w:type="dxa" w:w="12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Weeks 37–50</w:t>
            </w:r>
          </w:p>
        </w:tc>
        <w:tc>
          <w:tcPr>
            <w:tcW w:type="dxa" w:w="18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State C for new users, B/D for old</w:t>
            </w:r>
          </w:p>
        </w:tc>
        <w:tc>
          <w:tcPr>
            <w:tcW w:type="dxa" w:w="28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cluster_v1 activated. Festival calendar. RE v3 embeddings if data sufficient.</w:t>
            </w:r>
          </w:p>
        </w:tc>
        <w:tc>
          <w:tcPr>
            <w:tcW w:type="dxa" w:w="216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New user Day-0 &gt; 35%; old user Day-30 &gt; 55%</w:t>
            </w:r>
          </w:p>
        </w:tc>
      </w:tr>
      <w:tr>
        <w:tc>
          <w:tcPr>
            <w:tcW w:type="dxa" w:w="14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bCs/>
                <w:color w:val="222222"/>
                <w:sz w:val="20"/>
                <w:szCs w:val="20"/>
              </w:rPr>
              <w:t xml:space="preserve">Phase 3</w:t>
            </w:r>
          </w:p>
        </w:tc>
        <w:tc>
          <w:tcPr>
            <w:tcW w:type="dxa" w:w="12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Year 2</w:t>
            </w:r>
          </w:p>
        </w:tc>
        <w:tc>
          <w:tcPr>
            <w:tcW w:type="dxa" w:w="18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State D for most users</w:t>
            </w:r>
          </w:p>
        </w:tc>
        <w:tc>
          <w:tcPr>
            <w:tcW w:type="dxa" w:w="28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ltr_v1 (if data sufficient). CF layer. Full ML candidate retrieval.</w:t>
            </w:r>
          </w:p>
        </w:tc>
        <w:tc>
          <w:tcPr>
            <w:tcW w:type="dxa" w:w="216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Acceptance &gt; 60%; retention improvement measurable vs rule-based baseline</w:t>
            </w:r>
          </w:p>
        </w:tc>
      </w:tr>
      <w:tr>
        <w:tc>
          <w:tcPr>
            <w:tcW w:type="dxa" w:w="14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Year 2+</w:t>
            </w:r>
          </w:p>
        </w:tc>
        <w:tc>
          <w:tcPr>
            <w:tcW w:type="dxa" w:w="12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Year 2+</w:t>
            </w:r>
          </w:p>
        </w:tc>
        <w:tc>
          <w:tcPr>
            <w:tcW w:type="dxa" w:w="18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Full State D</w:t>
            </w:r>
          </w:p>
        </w:tc>
        <w:tc>
          <w:tcPr>
            <w:tcW w:type="dxa" w:w="28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ml_v1: two-tower, neural ranking, full CF. Continuous model updates.</w:t>
            </w:r>
          </w:p>
        </w:tc>
        <w:tc>
          <w:tcPr>
            <w:tcW w:type="dxa" w:w="216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Product-market fit metrics sustained at scale</w:t>
            </w:r>
          </w:p>
        </w:tc>
      </w:tr>
    </w:tbl>
    <w:p>
      <w:pPr>
        <w:spacing w:after="100"/>
      </w:pPr>
      <w:r>
        <w:t xml:space="preserve"/>
      </w:r>
    </w:p>
    <w:p>
      <w:pPr>
        <w:pStyle w:val="Heading1"/>
        <w:spacing w:after="80" w:before="320"/>
      </w:pPr>
      <w:r>
        <w:rPr>
          <w:rFonts w:ascii="Arial" w:cs="Arial" w:eastAsia="Arial" w:hAnsi="Arial"/>
          <w:b/>
          <w:bCs/>
          <w:color w:val="1A5C38"/>
          <w:sz w:val="30"/>
          <w:szCs w:val="30"/>
        </w:rPr>
        <w:t xml:space="preserve">04  Testing and validation plan</w:t>
      </w:r>
    </w:p>
    <w:p>
      <w:pPr>
        <w:pBdr>
          <w:bottom w:val="single" w:color="1A5C38" w:sz="6" w:space="1"/>
        </w:pBdr>
        <w:spacing w:after="160" w:before="80"/>
      </w:pPr>
      <w:r>
        <w:t xml:space="preserve"/>
      </w:r>
    </w:p>
    <w:p>
      <w:pPr>
        <w:pStyle w:val="Heading2"/>
        <w:spacing w:after="80" w:before="240"/>
      </w:pPr>
      <w:r>
        <w:rPr>
          <w:rFonts w:ascii="Arial" w:cs="Arial" w:eastAsia="Arial" w:hAnsi="Arial"/>
          <w:b/>
          <w:bCs/>
          <w:color w:val="1A5C38"/>
          <w:sz w:val="24"/>
          <w:szCs w:val="24"/>
        </w:rPr>
        <w:t xml:space="preserve">Proxy metrics — usable from Day 1 without A/B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800"/>
        <w:gridCol w:w="2560"/>
      </w:tblGrid>
      <w:tr>
        <w:trPr>
          <w:tblHeader/>
        </w:trPr>
        <w:tc>
          <w:tcPr>
            <w:tcW w:type="dxa" w:w="2200"/>
            <w:tcBorders>
              <w:top w:val="none" w:color="FFFFFF" w:sz="0"/>
              <w:left w:val="none" w:color="FFFFFF" w:sz="0"/>
              <w:bottom w:val="none" w:color="FFFFFF" w:sz="0"/>
              <w:right w:val="none" w:color="FFFFFF" w:sz="0"/>
            </w:tcBorders>
            <w:shd w:fill="1A5C38"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2800"/>
            <w:tcBorders>
              <w:top w:val="none" w:color="FFFFFF" w:sz="0"/>
              <w:left w:val="none" w:color="FFFFFF" w:sz="0"/>
              <w:bottom w:val="none" w:color="FFFFFF" w:sz="0"/>
              <w:right w:val="none" w:color="FFFFFF" w:sz="0"/>
            </w:tcBorders>
            <w:shd w:fill="1A5C38" w:val="clear"/>
            <w:tcMar>
              <w:top w:type="dxa" w:w="100"/>
              <w:left w:type="dxa" w:w="140"/>
              <w:bottom w:type="dxa" w:w="100"/>
              <w:right w:type="dxa" w:w="140"/>
            </w:tcMar>
          </w:tcPr>
          <w:p>
            <w:r>
              <w:rPr>
                <w:rFonts w:ascii="Arial" w:cs="Arial" w:eastAsia="Arial" w:hAnsi="Arial"/>
                <w:b/>
                <w:bCs/>
                <w:color w:val="FFFFFF"/>
                <w:sz w:val="20"/>
                <w:szCs w:val="20"/>
              </w:rPr>
              <w:t xml:space="preserve">Definition</w:t>
            </w:r>
          </w:p>
        </w:tc>
        <w:tc>
          <w:tcPr>
            <w:tcW w:type="dxa" w:w="1800"/>
            <w:tcBorders>
              <w:top w:val="none" w:color="FFFFFF" w:sz="0"/>
              <w:left w:val="none" w:color="FFFFFF" w:sz="0"/>
              <w:bottom w:val="none" w:color="FFFFFF" w:sz="0"/>
              <w:right w:val="none" w:color="FFFFFF" w:sz="0"/>
            </w:tcBorders>
            <w:shd w:fill="1A5C38" w:val="clear"/>
            <w:tcMar>
              <w:top w:type="dxa" w:w="100"/>
              <w:left w:type="dxa" w:w="140"/>
              <w:bottom w:type="dxa" w:w="100"/>
              <w:right w:type="dxa" w:w="140"/>
            </w:tcMar>
          </w:tcPr>
          <w:p>
            <w:r>
              <w:rPr>
                <w:rFonts w:ascii="Arial" w:cs="Arial" w:eastAsia="Arial" w:hAnsi="Arial"/>
                <w:b/>
                <w:bCs/>
                <w:color w:val="FFFFFF"/>
                <w:sz w:val="20"/>
                <w:szCs w:val="20"/>
              </w:rPr>
              <w:t xml:space="preserve">Target</w:t>
            </w:r>
          </w:p>
        </w:tc>
        <w:tc>
          <w:tcPr>
            <w:tcW w:type="dxa" w:w="2560"/>
            <w:tcBorders>
              <w:top w:val="none" w:color="FFFFFF" w:sz="0"/>
              <w:left w:val="none" w:color="FFFFFF" w:sz="0"/>
              <w:bottom w:val="none" w:color="FFFFFF" w:sz="0"/>
              <w:right w:val="none" w:color="FFFFFF" w:sz="0"/>
            </w:tcBorders>
            <w:shd w:fill="1A5C38" w:val="clear"/>
            <w:tcMar>
              <w:top w:type="dxa" w:w="100"/>
              <w:left w:type="dxa" w:w="140"/>
              <w:bottom w:type="dxa" w:w="100"/>
              <w:right w:type="dxa" w:w="140"/>
            </w:tcMar>
          </w:tcPr>
          <w:p>
            <w:r>
              <w:rPr>
                <w:rFonts w:ascii="Arial" w:cs="Arial" w:eastAsia="Arial" w:hAnsi="Arial"/>
                <w:b/>
                <w:bCs/>
                <w:color w:val="FFFFFF"/>
                <w:sz w:val="20"/>
                <w:szCs w:val="20"/>
              </w:rPr>
              <w:t xml:space="preserve">What failure tells you</w:t>
            </w:r>
          </w:p>
        </w:tc>
      </w:tr>
      <w:tr>
        <w:tc>
          <w:tcPr>
            <w:tcW w:type="dxa" w:w="22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Acceptance rate</w:t>
            </w:r>
          </w:p>
        </w:tc>
        <w:tc>
          <w:tcPr>
            <w:tcW w:type="dxa" w:w="28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Dishes accepted (locked/cooked/ordered) ÷ dishes shown</w:t>
            </w:r>
          </w:p>
        </w:tc>
        <w:tc>
          <w:tcPr>
            <w:tcW w:type="dxa" w:w="18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Day 0: &gt;25%. Day 30: &gt;45%. Day 90: &gt;50%</w:t>
            </w:r>
          </w:p>
        </w:tc>
        <w:tc>
          <w:tcPr>
            <w:tcW w:type="dxa" w:w="256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Low: genome miscalibrated or cohort mapping wrong</w:t>
            </w:r>
          </w:p>
        </w:tc>
      </w:tr>
      <w:tr>
        <w:tc>
          <w:tcPr>
            <w:tcW w:type="dxa" w:w="22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bCs/>
                <w:color w:val="222222"/>
                <w:sz w:val="20"/>
                <w:szCs w:val="20"/>
              </w:rPr>
              <w:t xml:space="preserve">Never rate</w:t>
            </w:r>
          </w:p>
        </w:tc>
        <w:tc>
          <w:tcPr>
            <w:tcW w:type="dxa" w:w="28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Never gestures ÷ total dishes shown</w:t>
            </w:r>
          </w:p>
        </w:tc>
        <w:tc>
          <w:tcPr>
            <w:tcW w:type="dxa" w:w="18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&lt; 15% Day 30. &lt; 10% Day 90.</w:t>
            </w:r>
          </w:p>
        </w:tc>
        <w:tc>
          <w:tcPr>
            <w:tcW w:type="dxa" w:w="256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High: wrong dishes for household/region. Check class mapping.</w:t>
            </w:r>
          </w:p>
        </w:tc>
      </w:tr>
      <w:tr>
        <w:tc>
          <w:tcPr>
            <w:tcW w:type="dxa" w:w="22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Session depth</w:t>
            </w:r>
          </w:p>
        </w:tc>
        <w:tc>
          <w:tcPr>
            <w:tcW w:type="dxa" w:w="28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Swipe count before user accepts a dish</w:t>
            </w:r>
          </w:p>
        </w:tc>
        <w:tc>
          <w:tcPr>
            <w:tcW w:type="dxa" w:w="18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&lt; 3 swipes median. &lt; 5 at 90th percentile.</w:t>
            </w:r>
          </w:p>
        </w:tc>
        <w:tc>
          <w:tcPr>
            <w:tcW w:type="dxa" w:w="256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High: RE ranking is wrong — right dishes not surfacing at top</w:t>
            </w:r>
          </w:p>
        </w:tc>
      </w:tr>
      <w:tr>
        <w:tc>
          <w:tcPr>
            <w:tcW w:type="dxa" w:w="22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bCs/>
                <w:color w:val="222222"/>
                <w:sz w:val="20"/>
                <w:szCs w:val="20"/>
              </w:rPr>
              <w:t xml:space="preserve">Class hit rate</w:t>
            </w:r>
          </w:p>
        </w:tc>
        <w:tc>
          <w:tcPr>
            <w:tcW w:type="dxa" w:w="28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 of sessions where plan_class matches user's actual accepted dish class</w:t>
            </w:r>
          </w:p>
        </w:tc>
        <w:tc>
          <w:tcPr>
            <w:tcW w:type="dxa" w:w="18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&gt; 80%</w:t>
            </w:r>
          </w:p>
        </w:tc>
        <w:tc>
          <w:tcPr>
            <w:tcW w:type="dxa" w:w="256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Low: cohort-to-class mapping needs recalibration</w:t>
            </w:r>
          </w:p>
        </w:tc>
      </w:tr>
      <w:tr>
        <w:tc>
          <w:tcPr>
            <w:tcW w:type="dxa" w:w="22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Constraint compliance rate</w:t>
            </w:r>
          </w:p>
        </w:tc>
        <w:tc>
          <w:tcPr>
            <w:tcW w:type="dxa" w:w="28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 of slates with zero hard constraint violations</w:t>
            </w:r>
          </w:p>
        </w:tc>
        <w:tc>
          <w:tcPr>
            <w:tcW w:type="dxa" w:w="18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100% always — any violation is P0</w:t>
            </w:r>
          </w:p>
        </w:tc>
        <w:tc>
          <w:tcPr>
            <w:tcW w:type="dxa" w:w="256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Any failure: block deployment, root cause immediately</w:t>
            </w:r>
          </w:p>
        </w:tc>
      </w:tr>
      <w:tr>
        <w:tc>
          <w:tcPr>
            <w:tcW w:type="dxa" w:w="22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bCs/>
                <w:color w:val="222222"/>
                <w:sz w:val="20"/>
                <w:szCs w:val="20"/>
              </w:rPr>
              <w:t xml:space="preserve">Cold start quality</w:t>
            </w:r>
          </w:p>
        </w:tc>
        <w:tc>
          <w:tcPr>
            <w:tcW w:type="dxa" w:w="28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Day-0 acceptance rate for users who complete full onboarding</w:t>
            </w:r>
          </w:p>
        </w:tc>
        <w:tc>
          <w:tcPr>
            <w:tcW w:type="dxa" w:w="18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&gt; 30%</w:t>
            </w:r>
          </w:p>
        </w:tc>
        <w:tc>
          <w:tcPr>
            <w:tcW w:type="dxa" w:w="256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Low: research cohort data quality issue. Check cohort matrix.</w:t>
            </w:r>
          </w:p>
        </w:tc>
      </w:tr>
      <w:tr>
        <w:tc>
          <w:tcPr>
            <w:tcW w:type="dxa" w:w="22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Variety score</w:t>
            </w:r>
          </w:p>
        </w:tc>
        <w:tc>
          <w:tcPr>
            <w:tcW w:type="dxa" w:w="28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Average pairwise dissimilarity of dishes in a 7-day plan</w:t>
            </w:r>
          </w:p>
        </w:tc>
        <w:tc>
          <w:tcPr>
            <w:tcW w:type="dxa" w:w="18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&gt; 0.55 (on 0–1 genome similarity scale)</w:t>
            </w:r>
          </w:p>
        </w:tc>
        <w:tc>
          <w:tcPr>
            <w:tcW w:type="dxa" w:w="256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Low: MMR variety guard not working. Check λ parameter.</w:t>
            </w:r>
          </w:p>
        </w:tc>
      </w:tr>
    </w:tbl>
    <w:p>
      <w:pPr>
        <w:spacing w:after="80"/>
      </w:pPr>
      <w:r>
        <w:t xml:space="preserve"/>
      </w:r>
    </w:p>
    <w:p>
      <w:pPr>
        <w:pStyle w:val="Heading2"/>
        <w:spacing w:after="80" w:before="240"/>
      </w:pPr>
      <w:r>
        <w:rPr>
          <w:rFonts w:ascii="Arial" w:cs="Arial" w:eastAsia="Arial" w:hAnsi="Arial"/>
          <w:b/>
          <w:bCs/>
          <w:color w:val="C04A0A"/>
          <w:sz w:val="24"/>
          <w:szCs w:val="24"/>
        </w:rPr>
        <w:t xml:space="preserve">Safety gate queries — run after every RE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0EA" w:val="clear"/>
            <w:tcMar>
              <w:top w:type="dxa" w:w="200"/>
              <w:left w:type="dxa" w:w="280"/>
              <w:bottom w:type="dxa" w:w="200"/>
              <w:right w:type="dxa" w:w="280"/>
            </w:tcMar>
          </w:tcPr>
          <w:p>
            <w:pPr>
              <w:spacing w:after="40"/>
            </w:pPr>
            <w:r>
              <w:rPr>
                <w:rFonts w:ascii="Arial" w:cs="Arial" w:eastAsia="Arial" w:hAnsi="Arial"/>
                <w:b/>
                <w:bCs/>
                <w:color w:val="C04A0A"/>
                <w:sz w:val="20"/>
                <w:szCs w:val="20"/>
              </w:rPr>
              <w:t xml:space="preserve">Query 1 — Diet violation check:</w:t>
            </w:r>
          </w:p>
          <w:p>
            <w:pPr>
              <w:spacing w:after="60"/>
            </w:pPr>
            <w:r>
              <w:rPr>
                <w:rFonts w:ascii="Courier New" w:cs="Courier New" w:eastAsia="Courier New" w:hAnsi="Courier New"/>
                <w:color w:val="993C1D"/>
                <w:sz w:val="18"/>
                <w:szCs w:val="18"/>
              </w:rPr>
              <w:t xml:space="preserve">SELECT COUNT(*) FROM suggestion_logs sl JOIN dishes d ON sl.dish_id=d.dish_id JOIN users u ON sl.user_id=u.user_id WHERE d.diet_type NOT IN (SELECT unnest(u.diet_types)) AND sl.created_at &gt; NOW() - INTERVAL '1 hour'; -- Must return 0</w:t>
            </w:r>
          </w:p>
          <w:p>
            <w:pPr>
              <w:spacing w:after="40"/>
            </w:pPr>
            <w:r>
              <w:rPr>
                <w:rFonts w:ascii="Arial" w:cs="Arial" w:eastAsia="Arial" w:hAnsi="Arial"/>
                <w:b/>
                <w:bCs/>
                <w:color w:val="C04A0A"/>
                <w:sz w:val="20"/>
                <w:szCs w:val="20"/>
              </w:rPr>
              <w:t xml:space="preserve">Query 2 — Allergen violation check:</w:t>
            </w:r>
          </w:p>
          <w:p>
            <w:pPr>
              <w:spacing w:after="60"/>
            </w:pPr>
            <w:r>
              <w:rPr>
                <w:rFonts w:ascii="Courier New" w:cs="Courier New" w:eastAsia="Courier New" w:hAnsi="Courier New"/>
                <w:color w:val="993C1D"/>
                <w:sz w:val="18"/>
                <w:szCs w:val="18"/>
              </w:rPr>
              <w:t xml:space="preserve">SELECT COUNT(*) FROM suggestion_logs sl JOIN dish_ingredients di ON sl.dish_id=di.dish_id JOIN ingredients i ON di.ingredient_id=i.ingredient_id JOIN users u ON sl.user_id=u.user_id WHERE i.allergen_flags &amp; u.allergen_exclusions != 0 AND sl.created_at &gt; NOW() - INTERVAL '1 hour'; -- Must return 0</w:t>
            </w:r>
          </w:p>
          <w:p>
            <w:pPr>
              <w:spacing w:after="40"/>
            </w:pPr>
            <w:r>
              <w:rPr>
                <w:rFonts w:ascii="Arial" w:cs="Arial" w:eastAsia="Arial" w:hAnsi="Arial"/>
                <w:b/>
                <w:bCs/>
                <w:color w:val="C04A0A"/>
                <w:sz w:val="20"/>
                <w:szCs w:val="20"/>
              </w:rPr>
              <w:t xml:space="preserve">Query 3 — Jain violation check:</w:t>
            </w:r>
          </w:p>
          <w:p>
            <w:pPr>
              <w:spacing w:after="0"/>
            </w:pPr>
            <w:r>
              <w:rPr>
                <w:rFonts w:ascii="Courier New" w:cs="Courier New" w:eastAsia="Courier New" w:hAnsi="Courier New"/>
                <w:color w:val="993C1D"/>
                <w:sz w:val="18"/>
                <w:szCs w:val="18"/>
              </w:rPr>
              <w:t xml:space="preserve">SELECT COUNT(*) FROM suggestion_logs sl JOIN dishes d ON sl.dish_id=d.dish_id JOIN users u ON sl.user_id=u.user_id WHERE u.religious_pref='jain' AND d.is_jain_compatible=false AND sl.created_at &gt; NOW() - INTERVAL '1 hour'; -- Must return 0</w:t>
            </w:r>
          </w:p>
        </w:tc>
      </w:tr>
    </w:tbl>
    <w:p>
      <w:pPr>
        <w:spacing w:after="80"/>
      </w:pPr>
      <w:r>
        <w:t xml:space="preserve"/>
      </w:r>
    </w:p>
    <w:p>
      <w:pPr>
        <w:pStyle w:val="Heading2"/>
        <w:spacing w:after="80" w:before="240"/>
      </w:pPr>
      <w:r>
        <w:rPr>
          <w:rFonts w:ascii="Arial" w:cs="Arial" w:eastAsia="Arial" w:hAnsi="Arial"/>
          <w:b/>
          <w:bCs/>
          <w:color w:val="1A5C38"/>
          <w:sz w:val="24"/>
          <w:szCs w:val="24"/>
        </w:rPr>
        <w:t xml:space="preserve">Offline evaluation — before any new RE version deploys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800"/>
        <w:gridCol w:w="2160"/>
      </w:tblGrid>
      <w:tr>
        <w:trPr>
          <w:tblHeader/>
        </w:trPr>
        <w:tc>
          <w:tcPr>
            <w:tcW w:type="dxa" w:w="1800"/>
            <w:tcBorders>
              <w:top w:val="none" w:color="FFFFFF" w:sz="0"/>
              <w:left w:val="none" w:color="FFFFFF" w:sz="0"/>
              <w:bottom w:val="none" w:color="FFFFFF" w:sz="0"/>
              <w:right w:val="none" w:color="FFFFFF" w:sz="0"/>
            </w:tcBorders>
            <w:shd w:fill="1A5C38"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2600"/>
            <w:tcBorders>
              <w:top w:val="none" w:color="FFFFFF" w:sz="0"/>
              <w:left w:val="none" w:color="FFFFFF" w:sz="0"/>
              <w:bottom w:val="none" w:color="FFFFFF" w:sz="0"/>
              <w:right w:val="none" w:color="FFFFFF" w:sz="0"/>
            </w:tcBorders>
            <w:shd w:fill="1A5C38" w:val="clear"/>
            <w:tcMar>
              <w:top w:type="dxa" w:w="100"/>
              <w:left w:type="dxa" w:w="140"/>
              <w:bottom w:type="dxa" w:w="100"/>
              <w:right w:type="dxa" w:w="140"/>
            </w:tcMar>
          </w:tcPr>
          <w:p>
            <w:r>
              <w:rPr>
                <w:rFonts w:ascii="Arial" w:cs="Arial" w:eastAsia="Arial" w:hAnsi="Arial"/>
                <w:b/>
                <w:bCs/>
                <w:color w:val="FFFFFF"/>
                <w:sz w:val="20"/>
                <w:szCs w:val="20"/>
              </w:rPr>
              <w:t xml:space="preserve">How computed</w:t>
            </w:r>
          </w:p>
        </w:tc>
        <w:tc>
          <w:tcPr>
            <w:tcW w:type="dxa" w:w="2800"/>
            <w:tcBorders>
              <w:top w:val="none" w:color="FFFFFF" w:sz="0"/>
              <w:left w:val="none" w:color="FFFFFF" w:sz="0"/>
              <w:bottom w:val="none" w:color="FFFFFF" w:sz="0"/>
              <w:right w:val="none" w:color="FFFFFF" w:sz="0"/>
            </w:tcBorders>
            <w:shd w:fill="1A5C38" w:val="clear"/>
            <w:tcMar>
              <w:top w:type="dxa" w:w="100"/>
              <w:left w:type="dxa" w:w="140"/>
              <w:bottom w:type="dxa" w:w="100"/>
              <w:right w:type="dxa" w:w="140"/>
            </w:tcMar>
          </w:tcPr>
          <w:p>
            <w:r>
              <w:rPr>
                <w:rFonts w:ascii="Arial" w:cs="Arial" w:eastAsia="Arial" w:hAnsi="Arial"/>
                <w:b/>
                <w:bCs/>
                <w:color w:val="FFFFFF"/>
                <w:sz w:val="20"/>
                <w:szCs w:val="20"/>
              </w:rPr>
              <w:t xml:space="preserve">Threshold to promote new version</w:t>
            </w:r>
          </w:p>
        </w:tc>
        <w:tc>
          <w:tcPr>
            <w:tcW w:type="dxa" w:w="2160"/>
            <w:tcBorders>
              <w:top w:val="none" w:color="FFFFFF" w:sz="0"/>
              <w:left w:val="none" w:color="FFFFFF" w:sz="0"/>
              <w:bottom w:val="none" w:color="FFFFFF" w:sz="0"/>
              <w:right w:val="none" w:color="FFFFFF" w:sz="0"/>
            </w:tcBorders>
            <w:shd w:fill="1A5C38" w:val="clear"/>
            <w:tcMar>
              <w:top w:type="dxa" w:w="100"/>
              <w:left w:type="dxa" w:w="140"/>
              <w:bottom w:type="dxa" w:w="100"/>
              <w:right w:type="dxa" w:w="140"/>
            </w:tcMar>
          </w:tcPr>
          <w:p>
            <w:r>
              <w:rPr>
                <w:rFonts w:ascii="Arial" w:cs="Arial" w:eastAsia="Arial" w:hAnsi="Arial"/>
                <w:b/>
                <w:bCs/>
                <w:color w:val="FFFFFF"/>
                <w:sz w:val="20"/>
                <w:szCs w:val="20"/>
              </w:rPr>
              <w:t xml:space="preserve">Rollback trigger</w:t>
            </w:r>
          </w:p>
        </w:tc>
      </w:tr>
      <w:tr>
        <w:tc>
          <w:tcPr>
            <w:tcW w:type="dxa" w:w="18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MRR@8</w:t>
            </w:r>
          </w:p>
        </w:tc>
        <w:tc>
          <w:tcPr>
            <w:tcW w:type="dxa" w:w="26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Mean Reciprocal Rank of first accepted dish in 8-item slate, on held-out test set</w:t>
            </w:r>
          </w:p>
        </w:tc>
        <w:tc>
          <w:tcPr>
            <w:tcW w:type="dxa" w:w="28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New version MRR &gt;= current version MRR</w:t>
            </w:r>
          </w:p>
        </w:tc>
        <w:tc>
          <w:tcPr>
            <w:tcW w:type="dxa" w:w="216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New version MRR &lt; current - 0.02</w:t>
            </w:r>
          </w:p>
        </w:tc>
      </w:tr>
      <w:tr>
        <w:tc>
          <w:tcPr>
            <w:tcW w:type="dxa" w:w="18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bCs/>
                <w:color w:val="222222"/>
                <w:sz w:val="20"/>
                <w:szCs w:val="20"/>
              </w:rPr>
              <w:t xml:space="preserve">NDCG@8</w:t>
            </w:r>
          </w:p>
        </w:tc>
        <w:tc>
          <w:tcPr>
            <w:tcW w:type="dxa" w:w="26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Normalized Discounted Cumulative Gain on held-out test set</w:t>
            </w:r>
          </w:p>
        </w:tc>
        <w:tc>
          <w:tcPr>
            <w:tcW w:type="dxa" w:w="28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New version NDCG &gt;= current</w:t>
            </w:r>
          </w:p>
        </w:tc>
        <w:tc>
          <w:tcPr>
            <w:tcW w:type="dxa" w:w="216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New version NDCG &lt; current - 0.02</w:t>
            </w:r>
          </w:p>
        </w:tc>
      </w:tr>
      <w:tr>
        <w:tc>
          <w:tcPr>
            <w:tcW w:type="dxa" w:w="18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Diversity score</w:t>
            </w:r>
          </w:p>
        </w:tc>
        <w:tc>
          <w:tcPr>
            <w:tcW w:type="dxa" w:w="26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Average pairwise genre/class dissimilarity of slates in test set</w:t>
            </w:r>
          </w:p>
        </w:tc>
        <w:tc>
          <w:tcPr>
            <w:tcW w:type="dxa" w:w="28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New version diversity &gt;= current - 0.03</w:t>
            </w:r>
          </w:p>
        </w:tc>
        <w:tc>
          <w:tcPr>
            <w:tcW w:type="dxa" w:w="216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Drop &gt; 0.05 triggers investigation</w:t>
            </w:r>
          </w:p>
        </w:tc>
      </w:tr>
      <w:tr>
        <w:tc>
          <w:tcPr>
            <w:tcW w:type="dxa" w:w="18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bCs/>
                <w:color w:val="222222"/>
                <w:sz w:val="20"/>
                <w:szCs w:val="20"/>
              </w:rPr>
              <w:t xml:space="preserve">Constraint compliance</w:t>
            </w:r>
          </w:p>
        </w:tc>
        <w:tc>
          <w:tcPr>
            <w:tcW w:type="dxa" w:w="26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Zero-violation rate on test set profiles</w:t>
            </w:r>
          </w:p>
        </w:tc>
        <w:tc>
          <w:tcPr>
            <w:tcW w:type="dxa" w:w="28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100% compliance required to promote</w:t>
            </w:r>
          </w:p>
        </w:tc>
        <w:tc>
          <w:tcPr>
            <w:tcW w:type="dxa" w:w="216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Any violation: block promotion, P0 fix required</w:t>
            </w:r>
          </w:p>
        </w:tc>
      </w:tr>
      <w:tr>
        <w:tc>
          <w:tcPr>
            <w:tcW w:type="dxa" w:w="18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Shadow mode acceptance</w:t>
            </w:r>
          </w:p>
        </w:tc>
        <w:tc>
          <w:tcPr>
            <w:tcW w:type="dxa" w:w="26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Run new version in shadow (no user sees results) for 72h; compare implied acceptance from offline replay</w:t>
            </w:r>
          </w:p>
        </w:tc>
        <w:tc>
          <w:tcPr>
            <w:tcW w:type="dxa" w:w="28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Shadow version within 5% of production on acceptance replay</w:t>
            </w:r>
          </w:p>
        </w:tc>
        <w:tc>
          <w:tcPr>
            <w:tcW w:type="dxa" w:w="216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Shadow version worse than production by &gt; 5%</w:t>
            </w:r>
          </w:p>
        </w:tc>
      </w:tr>
    </w:tbl>
    <w:p>
      <w:pPr>
        <w:spacing w:after="100"/>
      </w:pPr>
      <w:r>
        <w:t xml:space="preserve"/>
      </w:r>
    </w:p>
    <w:p>
      <w:pPr>
        <w:pStyle w:val="Heading1"/>
        <w:spacing w:after="80" w:before="320"/>
      </w:pPr>
      <w:r>
        <w:rPr>
          <w:rFonts w:ascii="Arial" w:cs="Arial" w:eastAsia="Arial" w:hAnsi="Arial"/>
          <w:b/>
          <w:bCs/>
          <w:color w:val="1A5C38"/>
          <w:sz w:val="30"/>
          <w:szCs w:val="30"/>
        </w:rPr>
        <w:t xml:space="preserve">05  Sign-off</w:t>
      </w:r>
    </w:p>
    <w:p>
      <w:pPr>
        <w:pBdr>
          <w:bottom w:val="single" w:color="1A5C38" w:sz="6" w:space="1"/>
        </w:pBdr>
        <w:spacing w:after="16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none" w:color="FFFFFF" w:sz="0"/>
              <w:left w:val="none" w:color="FFFFFF" w:sz="0"/>
              <w:bottom w:val="none" w:color="FFFFFF" w:sz="0"/>
              <w:right w:val="none" w:color="FFFFFF" w:sz="0"/>
            </w:tcBorders>
            <w:shd w:fill="1A5C38"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6760"/>
            <w:tcBorders>
              <w:top w:val="none" w:color="FFFFFF" w:sz="0"/>
              <w:left w:val="none" w:color="FFFFFF" w:sz="0"/>
              <w:bottom w:val="none" w:color="FFFFFF" w:sz="0"/>
              <w:right w:val="none" w:color="FFFFFF" w:sz="0"/>
            </w:tcBorders>
            <w:shd w:fill="1A5C38" w:val="clear"/>
            <w:tcMar>
              <w:top w:type="dxa" w:w="100"/>
              <w:left w:type="dxa" w:w="140"/>
              <w:bottom w:type="dxa" w:w="100"/>
              <w:right w:type="dxa" w:w="140"/>
            </w:tcMar>
          </w:tcPr>
          <w:p>
            <w:r>
              <w:rPr>
                <w:rFonts w:ascii="Arial" w:cs="Arial" w:eastAsia="Arial" w:hAnsi="Arial"/>
                <w:b/>
                <w:bCs/>
                <w:color w:val="FFFFFF"/>
                <w:sz w:val="20"/>
                <w:szCs w:val="20"/>
              </w:rPr>
              <w:t xml:space="preserve">Value</w:t>
            </w:r>
          </w:p>
        </w:tc>
      </w:tr>
      <w:tr>
        <w:tc>
          <w:tcPr>
            <w:tcW w:type="dxa" w:w="26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Document</w:t>
            </w:r>
          </w:p>
        </w:tc>
        <w:tc>
          <w:tcPr>
            <w:tcW w:type="dxa" w:w="676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RE-DOC-05 · RE Evolution Roadmap</w:t>
            </w:r>
          </w:p>
        </w:tc>
      </w:tr>
      <w:tr>
        <w:tc>
          <w:tcPr>
            <w:tcW w:type="dxa" w:w="26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bCs/>
                <w:color w:val="222222"/>
                <w:sz w:val="20"/>
                <w:szCs w:val="20"/>
              </w:rPr>
              <w:t xml:space="preserve">Version</w:t>
            </w:r>
          </w:p>
        </w:tc>
        <w:tc>
          <w:tcPr>
            <w:tcW w:type="dxa" w:w="676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1.0</w:t>
            </w:r>
          </w:p>
        </w:tc>
      </w:tr>
      <w:tr>
        <w:tc>
          <w:tcPr>
            <w:tcW w:type="dxa" w:w="26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Date</w:t>
            </w:r>
          </w:p>
        </w:tc>
        <w:tc>
          <w:tcPr>
            <w:tcW w:type="dxa" w:w="676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June 2026</w:t>
            </w:r>
          </w:p>
        </w:tc>
      </w:tr>
      <w:tr>
        <w:tc>
          <w:tcPr>
            <w:tcW w:type="dxa" w:w="26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bCs/>
                <w:color w:val="222222"/>
                <w:sz w:val="20"/>
                <w:szCs w:val="20"/>
              </w:rPr>
              <w:t xml:space="preserve">Status</w:t>
            </w:r>
          </w:p>
        </w:tc>
        <w:tc>
          <w:tcPr>
            <w:tcW w:type="dxa" w:w="676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DRAFT</w:t>
            </w:r>
          </w:p>
        </w:tc>
      </w:tr>
      <w:tr>
        <w:tc>
          <w:tcPr>
            <w:tcW w:type="dxa" w:w="26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Key principle</w:t>
            </w:r>
          </w:p>
        </w:tc>
        <w:tc>
          <w:tcPr>
            <w:tcW w:type="dxa" w:w="676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Every RE upgrade is a swap of the scoring stage. The app-facing API contract never changes within a major version. The app does not know or care which internal RE version is running.</w:t>
            </w:r>
          </w:p>
        </w:tc>
      </w:tr>
      <w:tr>
        <w:tc>
          <w:tcPr>
            <w:tcW w:type="dxa" w:w="26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bCs/>
                <w:color w:val="222222"/>
                <w:sz w:val="20"/>
                <w:szCs w:val="20"/>
              </w:rPr>
              <w:t xml:space="preserve">Next</w:t>
            </w:r>
          </w:p>
        </w:tc>
        <w:tc>
          <w:tcPr>
            <w:tcW w:type="dxa" w:w="676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HTML visual companion documents — interactive RE explorer, cold start visualizer, evolution map</w:t>
            </w:r>
          </w:p>
        </w:tc>
      </w:tr>
    </w:tbl>
    <w:p>
      <w:pPr>
        <w:spacing w:after="120"/>
      </w:pPr>
      <w:r>
        <w:t xml:space="preserve"/>
      </w:r>
    </w:p>
    <w:p>
      <w:pPr>
        <w:spacing w:after="140"/>
      </w:pPr>
      <w:r>
        <w:rPr>
          <w:rFonts w:ascii="Arial" w:cs="Arial" w:eastAsia="Arial" w:hAnsi="Arial"/>
          <w:b w:val="false"/>
          <w:bCs w:val="false"/>
          <w:i w:val="false"/>
          <w:iCs w:val="false"/>
          <w:color w:val="222222"/>
          <w:sz w:val="22"/>
          <w:szCs w:val="22"/>
        </w:rPr>
        <w:t xml:space="preserve">Founder sign-off: ___________________________     Date: _______________</w:t>
      </w:r>
    </w:p>
    <w:p>
      <w:pPr>
        <w:spacing w:after="20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20"/>
      <w:outlineLvl w:val="0"/>
    </w:pPr>
    <w:rPr>
      <w:rFonts w:ascii="Arial" w:cs="Arial" w:eastAsia="Arial" w:hAnsi="Arial"/>
      <w:b/>
      <w:bCs/>
      <w:color w:val="1A5C38"/>
      <w:sz w:val="30"/>
      <w:szCs w:val="30"/>
    </w:rPr>
  </w:style>
  <w:style w:type="paragraph" w:styleId="Heading2">
    <w:name w:val="Heading 2"/>
    <w:basedOn w:val="Normal"/>
    <w:next w:val="Normal"/>
    <w:qFormat/>
    <w:pPr>
      <w:spacing w:after="80" w:before="200"/>
      <w:outlineLvl w:val="1"/>
    </w:pPr>
    <w:rPr>
      <w:rFonts w:ascii="Arial" w:cs="Arial" w:eastAsia="Arial" w:hAnsi="Arial"/>
      <w:b/>
      <w:bCs/>
      <w:color w:val="1A5C38"/>
      <w:sz w:val="24"/>
      <w:szCs w:val="24"/>
    </w:rPr>
  </w:style>
  <w:style w:type="paragraph" w:styleId="Heading3">
    <w:name w:val="Heading 3"/>
    <w:basedOn w:val="Normal"/>
    <w:next w:val="Normal"/>
    <w:qFormat/>
    <w:pPr>
      <w:spacing w:after="60" w:before="160"/>
      <w:outlineLvl w:val="2"/>
    </w:pPr>
    <w:rPr>
      <w:rFonts w:ascii="Arial" w:cs="Arial" w:eastAsia="Arial" w:hAnsi="Arial"/>
      <w:b/>
      <w:bCs/>
      <w:color w:val="1A5C3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2026-06-19T08:43:04.218Z</dcterms:created>
  <dcterms:modified xsi:type="dcterms:W3CDTF">2026-06-19T08:43:04.218Z</dcterms:modified>
</cp:coreProperties>
</file>

<file path=docProps/custom.xml><?xml version="1.0" encoding="utf-8"?>
<Properties xmlns="http://schemas.openxmlformats.org/officeDocument/2006/custom-properties" xmlns:vt="http://schemas.openxmlformats.org/officeDocument/2006/docPropsVTypes"/>
</file>