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MQTT Data Report for California Reservoirs</w:t>
      </w:r>
    </w:p>
    <w:p>
      <w:r>
        <w:t>This report summarizes the daily average Water Mark Levels (TAF) for the Sonoma reservoir, collected and aggregated through an MQTT-based system. The data reflects readings for a week in early October 2024, demonstrating the system's capabilities in handling and processing real-time environmental data.</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Reservoir</w:t>
            </w:r>
          </w:p>
        </w:tc>
        <w:tc>
          <w:tcPr>
            <w:tcW w:type="dxa" w:w="2880"/>
          </w:tcPr>
          <w:p>
            <w:r>
              <w:t>Average TAF</w:t>
            </w:r>
          </w:p>
        </w:tc>
      </w:tr>
      <w:tr>
        <w:tc>
          <w:tcPr>
            <w:tcW w:type="dxa" w:w="2880"/>
          </w:tcPr>
          <w:p>
            <w:r>
              <w:t>9/29/2024</w:t>
            </w:r>
          </w:p>
        </w:tc>
        <w:tc>
          <w:tcPr>
            <w:tcW w:type="dxa" w:w="2880"/>
          </w:tcPr>
          <w:p>
            <w:r>
              <w:t>Sonoma</w:t>
            </w:r>
          </w:p>
        </w:tc>
        <w:tc>
          <w:tcPr>
            <w:tcW w:type="dxa" w:w="2880"/>
          </w:tcPr>
          <w:p>
            <w:r>
              <w:t>192.0</w:t>
            </w:r>
          </w:p>
        </w:tc>
      </w:tr>
      <w:tr>
        <w:tc>
          <w:tcPr>
            <w:tcW w:type="dxa" w:w="2880"/>
          </w:tcPr>
          <w:p>
            <w:r>
              <w:t>9/30/2024</w:t>
            </w:r>
          </w:p>
        </w:tc>
        <w:tc>
          <w:tcPr>
            <w:tcW w:type="dxa" w:w="2880"/>
          </w:tcPr>
          <w:p>
            <w:r>
              <w:t>Sonoma</w:t>
            </w:r>
          </w:p>
        </w:tc>
        <w:tc>
          <w:tcPr>
            <w:tcW w:type="dxa" w:w="2880"/>
          </w:tcPr>
          <w:p>
            <w:r>
              <w:t>193.0</w:t>
            </w:r>
          </w:p>
        </w:tc>
      </w:tr>
      <w:tr>
        <w:tc>
          <w:tcPr>
            <w:tcW w:type="dxa" w:w="2880"/>
          </w:tcPr>
          <w:p>
            <w:r>
              <w:t>10/1/2024</w:t>
            </w:r>
          </w:p>
        </w:tc>
        <w:tc>
          <w:tcPr>
            <w:tcW w:type="dxa" w:w="2880"/>
          </w:tcPr>
          <w:p>
            <w:r>
              <w:t>Sonoma</w:t>
            </w:r>
          </w:p>
        </w:tc>
        <w:tc>
          <w:tcPr>
            <w:tcW w:type="dxa" w:w="2880"/>
          </w:tcPr>
          <w:p>
            <w:r>
              <w:t>192.0</w:t>
            </w:r>
          </w:p>
        </w:tc>
      </w:tr>
      <w:tr>
        <w:tc>
          <w:tcPr>
            <w:tcW w:type="dxa" w:w="2880"/>
          </w:tcPr>
          <w:p>
            <w:r>
              <w:t>10/2/2024</w:t>
            </w:r>
          </w:p>
        </w:tc>
        <w:tc>
          <w:tcPr>
            <w:tcW w:type="dxa" w:w="2880"/>
          </w:tcPr>
          <w:p>
            <w:r>
              <w:t>Sonoma</w:t>
            </w:r>
          </w:p>
        </w:tc>
        <w:tc>
          <w:tcPr>
            <w:tcW w:type="dxa" w:w="2880"/>
          </w:tcPr>
          <w:p>
            <w:r>
              <w:t>194.0</w:t>
            </w:r>
          </w:p>
        </w:tc>
      </w:tr>
      <w:tr>
        <w:tc>
          <w:tcPr>
            <w:tcW w:type="dxa" w:w="2880"/>
          </w:tcPr>
          <w:p>
            <w:r>
              <w:t>10/4/2024</w:t>
            </w:r>
          </w:p>
        </w:tc>
        <w:tc>
          <w:tcPr>
            <w:tcW w:type="dxa" w:w="2880"/>
          </w:tcPr>
          <w:p>
            <w:r>
              <w:t>Sonoma</w:t>
            </w:r>
          </w:p>
        </w:tc>
        <w:tc>
          <w:tcPr>
            <w:tcW w:type="dxa" w:w="2880"/>
          </w:tcPr>
          <w:p>
            <w:r>
              <w:t>191.0</w:t>
            </w:r>
          </w:p>
        </w:tc>
      </w:tr>
      <w:tr>
        <w:tc>
          <w:tcPr>
            <w:tcW w:type="dxa" w:w="2880"/>
          </w:tcPr>
          <w:p>
            <w:r>
              <w:t>10/5/2024</w:t>
            </w:r>
          </w:p>
        </w:tc>
        <w:tc>
          <w:tcPr>
            <w:tcW w:type="dxa" w:w="2880"/>
          </w:tcPr>
          <w:p>
            <w:r>
              <w:t>Sonoma</w:t>
            </w:r>
          </w:p>
        </w:tc>
        <w:tc>
          <w:tcPr>
            <w:tcW w:type="dxa" w:w="2880"/>
          </w:tcPr>
          <w:p>
            <w:r>
              <w:t>193.0</w:t>
            </w:r>
          </w:p>
        </w:tc>
      </w:tr>
      <w:tr>
        <w:tc>
          <w:tcPr>
            <w:tcW w:type="dxa" w:w="2880"/>
          </w:tcPr>
          <w:p>
            <w:r>
              <w:t>10/5/2024</w:t>
            </w:r>
          </w:p>
        </w:tc>
        <w:tc>
          <w:tcPr>
            <w:tcW w:type="dxa" w:w="2880"/>
          </w:tcPr>
          <w:p>
            <w:r>
              <w:t>Sonoma</w:t>
            </w:r>
          </w:p>
        </w:tc>
        <w:tc>
          <w:tcPr>
            <w:tcW w:type="dxa" w:w="2880"/>
          </w:tcPr>
          <w:p>
            <w:r>
              <w:t>193.0</w:t>
            </w:r>
          </w:p>
        </w:tc>
      </w:tr>
      <w:tr>
        <w:tc>
          <w:tcPr>
            <w:tcW w:type="dxa" w:w="2880"/>
          </w:tcPr>
          <w:p>
            <w:r>
              <w:t>10/6/2024</w:t>
            </w:r>
          </w:p>
        </w:tc>
        <w:tc>
          <w:tcPr>
            <w:tcW w:type="dxa" w:w="2880"/>
          </w:tcPr>
          <w:p>
            <w:r>
              <w:t>Sonoma</w:t>
            </w:r>
          </w:p>
        </w:tc>
        <w:tc>
          <w:tcPr>
            <w:tcW w:type="dxa" w:w="2880"/>
          </w:tcPr>
          <w:p>
            <w:r>
              <w:t>192.0</w:t>
            </w:r>
          </w:p>
        </w:tc>
      </w:tr>
      <w:tr>
        <w:tc>
          <w:tcPr>
            <w:tcW w:type="dxa" w:w="2880"/>
          </w:tcPr>
          <w:p>
            <w:r>
              <w:t>10/7/2024</w:t>
            </w:r>
          </w:p>
        </w:tc>
        <w:tc>
          <w:tcPr>
            <w:tcW w:type="dxa" w:w="2880"/>
          </w:tcPr>
          <w:p>
            <w:r>
              <w:t>Sonoma</w:t>
            </w:r>
          </w:p>
        </w:tc>
        <w:tc>
          <w:tcPr>
            <w:tcW w:type="dxa" w:w="2880"/>
          </w:tcPr>
          <w:p>
            <w:r>
              <w:t>192.0</w:t>
            </w:r>
          </w:p>
        </w:tc>
      </w:tr>
    </w:tbl>
    <w:p>
      <w:r>
        <w:t>Below is a screenshot of the system output showing the connection status and received data:</w:t>
      </w:r>
    </w:p>
    <w:p>
      <w:r>
        <w:drawing>
          <wp:inline xmlns:a="http://schemas.openxmlformats.org/drawingml/2006/main" xmlns:pic="http://schemas.openxmlformats.org/drawingml/2006/picture">
            <wp:extent cx="5486400" cy="192119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1921196"/>
                    </a:xfrm>
                    <a:prstGeom prst="rect"/>
                  </pic:spPr>
                </pic:pic>
              </a:graphicData>
            </a:graphic>
          </wp:inline>
        </w:drawing>
      </w:r>
    </w:p>
    <w:p>
      <w:r>
        <w:t>The data shows consistent TAF readings with minor fluctuations over the observed period. Such information is crucial for effective water resource management, especially in regions susceptible to drought and environmental variability.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