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40"/>
        <w:jc w:val="center"/>
        <w:rPr/>
      </w:pPr>
      <w:r>
        <w:rPr>
          <w:b/>
          <w:color w:val="c0392b"/>
          <w:sz w:val="24"/>
        </w:rPr>
        <w:t>6-Month Progress Report</w:t>
      </w:r>
    </w:p>
    <w:p>
      <w:pPr>
        <w:pStyle w:val="style0"/>
        <w:jc w:val="center"/>
        <w:rPr/>
      </w:pPr>
      <w:r>
        <w:rPr>
          <w:color w:val="555555"/>
        </w:rPr>
        <w:t>October – December 2025</w:t>
      </w:r>
      <w:r>
        <w:rPr>
          <w:color w:val="555555"/>
        </w:rPr>
        <w:t xml:space="preserve"> </w:t>
      </w:r>
      <w:r>
        <w:rPr>
          <w:color w:val="555555"/>
        </w:rPr>
        <w:t>&amp;</w:t>
      </w:r>
      <w:r>
        <w:rPr>
          <w:color w:val="555555"/>
        </w:rPr>
        <w:t xml:space="preserve">  </w:t>
      </w:r>
      <w:r>
        <w:rPr>
          <w:color w:val="555555"/>
        </w:rPr>
        <w:t>January</w:t>
      </w:r>
      <w:r>
        <w:rPr>
          <w:color w:val="555555"/>
        </w:rPr>
        <w:t xml:space="preserve"> – March </w:t>
      </w:r>
      <w:r>
        <w:rPr>
          <w:color w:val="555555"/>
        </w:rPr>
        <w:t>2026</w:t>
      </w:r>
    </w:p>
    <w:p>
      <w:pPr>
        <w:pStyle w:val="style0"/>
        <w:spacing w:before="280" w:after="80"/>
        <w:rPr/>
      </w:pPr>
      <w:r>
        <w:rPr>
          <w:b/>
          <w:color w:val="c0392b"/>
          <w:sz w:val="24"/>
        </w:rPr>
        <w:t xml:space="preserve">PART </w:t>
      </w:r>
      <w:r>
        <w:rPr>
          <w:b/>
          <w:color w:val="c0392b"/>
          <w:sz w:val="24"/>
        </w:rPr>
        <w:t>1</w:t>
      </w:r>
      <w:r>
        <w:rPr>
          <w:b/>
          <w:color w:val="c0392b"/>
          <w:sz w:val="24"/>
        </w:rPr>
        <w:t xml:space="preserve">  —</w:t>
      </w:r>
      <w:r>
        <w:rPr>
          <w:b/>
          <w:color w:val="c0392b"/>
          <w:sz w:val="24"/>
        </w:rPr>
        <w:t xml:space="preserve">  Report: October – December 2025</w:t>
      </w:r>
    </w:p>
    <w:p>
      <w:pPr>
        <w:pStyle w:val="style0"/>
        <w:spacing w:before="120" w:after="80"/>
        <w:rPr/>
      </w:pPr>
      <w:r>
        <w:rPr>
          <w:b/>
          <w:color w:val="1f497d"/>
        </w:rPr>
        <w:t>4.2  Sonar</w:t>
      </w:r>
      <w:r>
        <w:rPr>
          <w:b/>
          <w:color w:val="1f497d"/>
        </w:rPr>
        <w:t xml:space="preserve"> Display Rendering</w:t>
      </w:r>
    </w:p>
    <w:p>
      <w:pPr>
        <w:pStyle w:val="style0"/>
        <w:spacing w:before="100" w:after="20"/>
        <w:ind w:left="432"/>
        <w:rPr/>
      </w:pPr>
      <w:r>
        <w:rPr>
          <w:b/>
          <w:color w:val="2e86c1"/>
        </w:rPr>
        <w:t>Range Rings</w:t>
      </w:r>
    </w:p>
    <w:p>
      <w:pPr>
        <w:pStyle w:val="style0"/>
        <w:spacing w:before="20" w:after="40"/>
        <w:ind w:left="864"/>
        <w:rPr/>
      </w:pPr>
      <w:r>
        <w:rPr>
          <w:sz w:val="21"/>
        </w:rPr>
        <w:t>Concentric semi-circular range rings are drawn at 200 m, 400 m, 600 m, and 800 m from the AUV position. Range labels are rendered at both edges of each arc at the intersection with the left and right FOV boundary lines.</w:t>
      </w:r>
    </w:p>
    <w:p>
      <w:pPr>
        <w:pStyle w:val="style0"/>
        <w:spacing w:before="100" w:after="20"/>
        <w:ind w:left="432"/>
        <w:rPr/>
      </w:pPr>
      <w:r>
        <w:rPr>
          <w:b/>
          <w:color w:val="2e86c1"/>
        </w:rPr>
        <w:t>Bearing &amp; Grid Lines</w:t>
      </w:r>
    </w:p>
    <w:p>
      <w:pPr>
        <w:pStyle w:val="style0"/>
        <w:spacing w:before="20" w:after="40"/>
        <w:ind w:left="864"/>
        <w:rPr/>
      </w:pPr>
      <w:r>
        <w:rPr>
          <w:sz w:val="21"/>
        </w:rPr>
        <w:t>Angular grid lines radiate from the AUV position at regular bearing intervals, dividing the sonar fan into directional sectors. A central vertical line represents the 0° forward heading, annotated with the bearing value.</w:t>
      </w:r>
    </w:p>
    <w:p>
      <w:pPr>
        <w:pStyle w:val="style0"/>
        <w:spacing w:before="100" w:after="20"/>
        <w:ind w:left="432"/>
        <w:rPr/>
      </w:pPr>
      <w:r>
        <w:rPr>
          <w:b/>
          <w:color w:val="2e86c1"/>
        </w:rPr>
        <w:t>Colour</w:t>
      </w:r>
      <w:r>
        <w:rPr>
          <w:b/>
          <w:color w:val="2e86c1"/>
        </w:rPr>
        <w:t xml:space="preserve"> Scheme</w:t>
      </w:r>
    </w:p>
    <w:p>
      <w:pPr>
        <w:pStyle w:val="style0"/>
        <w:spacing w:before="20" w:after="40"/>
        <w:ind w:left="864"/>
        <w:rPr/>
      </w:pPr>
      <w:r>
        <w:rPr>
          <w:sz w:val="21"/>
        </w:rPr>
        <w:t xml:space="preserve">Grid and rings are rendered in a subdued blue </w:t>
      </w:r>
      <w:r>
        <w:rPr>
          <w:sz w:val="21"/>
        </w:rPr>
        <w:t>colour</w:t>
      </w:r>
      <w:r>
        <w:rPr>
          <w:sz w:val="21"/>
        </w:rPr>
        <w:t xml:space="preserve"> scheme to maintain visual clarity without interfering with contact markers.</w:t>
      </w:r>
    </w:p>
    <w:p>
      <w:pPr>
        <w:pStyle w:val="style0"/>
        <w:spacing w:before="160" w:after="80"/>
        <w:rPr/>
      </w:pPr>
      <w:r>
        <w:rPr>
          <w:b/>
          <w:color w:val="1f497d"/>
        </w:rPr>
        <w:t>4.3  Track</w:t>
      </w:r>
      <w:r>
        <w:rPr>
          <w:b/>
          <w:color w:val="1f497d"/>
        </w:rPr>
        <w:t xml:space="preserve"> and Data Point Markers</w:t>
      </w:r>
    </w:p>
    <w:p>
      <w:pPr>
        <w:pStyle w:val="style0"/>
        <w:spacing w:before="100" w:after="20"/>
        <w:ind w:left="432"/>
        <w:rPr/>
      </w:pPr>
      <w:r>
        <w:rPr>
          <w:b/>
          <w:color w:val="2e86c1"/>
        </w:rPr>
        <w:t>Contact Markers</w:t>
      </w:r>
    </w:p>
    <w:p>
      <w:pPr>
        <w:pStyle w:val="style0"/>
        <w:spacing w:before="20" w:after="40"/>
        <w:ind w:left="864"/>
        <w:rPr/>
      </w:pPr>
      <w:r>
        <w:rPr>
          <w:sz w:val="21"/>
        </w:rPr>
        <w:t>Each sonar contact is represented by a glowing circular marker, positioned using polar-to-Cartesian coordinate conversion from bearing (degrees) and range (</w:t>
      </w:r>
      <w:r>
        <w:rPr>
          <w:sz w:val="21"/>
        </w:rPr>
        <w:t>metres</w:t>
      </w:r>
      <w:r>
        <w:rPr>
          <w:sz w:val="21"/>
        </w:rPr>
        <w:t>). Each marker displays its track identifier (e.g., C, D, F) along with bearing and range values.</w:t>
      </w:r>
    </w:p>
    <w:p>
      <w:pPr>
        <w:pStyle w:val="style0"/>
        <w:spacing w:before="100" w:after="20"/>
        <w:ind w:left="432"/>
        <w:rPr/>
      </w:pPr>
      <w:r>
        <w:rPr>
          <w:b/>
          <w:color w:val="2e86c1"/>
        </w:rPr>
        <w:t>TRACK INFO Panel &amp; Inline Labels</w:t>
      </w:r>
    </w:p>
    <w:p>
      <w:pPr>
        <w:pStyle w:val="style0"/>
        <w:spacing w:before="20" w:after="40"/>
        <w:ind w:left="864"/>
        <w:rPr/>
      </w:pPr>
      <w:r>
        <w:rPr>
          <w:sz w:val="21"/>
        </w:rPr>
        <w:t>A TRACK INFO panel in the upper-right provides a summarized readout of all active contacts. Inline labels adjacent to each marker display identifier, bearing, and range, with a semi-transparent background for legibility.</w:t>
      </w:r>
    </w:p>
    <w:p>
      <w:pPr>
        <w:pStyle w:val="style0"/>
        <w:spacing w:before="160" w:after="80"/>
        <w:rPr/>
      </w:pPr>
      <w:r>
        <w:rPr>
          <w:b/>
          <w:color w:val="1f497d"/>
        </w:rPr>
        <w:t>4.4  Layer</w:t>
      </w:r>
      <w:r>
        <w:rPr>
          <w:b/>
          <w:color w:val="1f497d"/>
        </w:rPr>
        <w:t xml:space="preserve"> and </w:t>
      </w:r>
      <w:r>
        <w:rPr>
          <w:b/>
          <w:color w:val="1f497d"/>
        </w:rPr>
        <w:t>Colour</w:t>
      </w:r>
      <w:r>
        <w:rPr>
          <w:b/>
          <w:color w:val="1f497d"/>
        </w:rPr>
        <w:t xml:space="preserve"> Management</w:t>
      </w:r>
    </w:p>
    <w:p>
      <w:pPr>
        <w:pStyle w:val="style0"/>
        <w:spacing w:before="100" w:after="20"/>
        <w:ind w:left="432"/>
        <w:rPr/>
      </w:pPr>
      <w:r>
        <w:rPr>
          <w:b/>
          <w:color w:val="2e86c1"/>
        </w:rPr>
        <w:t>Layered Rendering</w:t>
      </w:r>
    </w:p>
    <w:p>
      <w:pPr>
        <w:pStyle w:val="style0"/>
        <w:spacing w:before="20" w:after="40"/>
        <w:ind w:left="864"/>
        <w:rPr/>
      </w:pPr>
      <w:r>
        <w:rPr>
          <w:sz w:val="21"/>
        </w:rPr>
        <w:t>Separate drawing passes for background, range rings, grid lines, and contact markers allow individual layers to be selectively updated or hidden.</w:t>
      </w:r>
    </w:p>
    <w:p>
      <w:pPr>
        <w:pStyle w:val="style0"/>
        <w:spacing w:before="100" w:after="20"/>
        <w:ind w:left="432"/>
        <w:rPr/>
      </w:pPr>
      <w:r>
        <w:rPr>
          <w:b/>
          <w:color w:val="2e86c1"/>
        </w:rPr>
        <w:t>Colour</w:t>
      </w:r>
      <w:r>
        <w:rPr>
          <w:b/>
          <w:color w:val="2e86c1"/>
        </w:rPr>
        <w:t xml:space="preserve"> Scheme</w:t>
      </w:r>
    </w:p>
    <w:p>
      <w:pPr>
        <w:pStyle w:val="style0"/>
        <w:spacing w:before="20" w:after="20"/>
        <w:ind w:left="864"/>
        <w:rPr/>
      </w:pPr>
      <w:r>
        <w:rPr>
          <w:sz w:val="21"/>
        </w:rPr>
        <w:t>•  Background: dark navy</w:t>
      </w:r>
    </w:p>
    <w:p>
      <w:pPr>
        <w:pStyle w:val="style0"/>
        <w:spacing w:before="20" w:after="20"/>
        <w:ind w:left="864"/>
        <w:rPr/>
      </w:pPr>
      <w:r>
        <w:rPr>
          <w:sz w:val="21"/>
        </w:rPr>
        <w:t>•  Contact markers: bright cyan / green</w:t>
      </w:r>
    </w:p>
    <w:p>
      <w:pPr>
        <w:pStyle w:val="style0"/>
        <w:spacing w:before="20" w:after="20"/>
        <w:ind w:left="864"/>
        <w:rPr/>
      </w:pPr>
      <w:r>
        <w:rPr>
          <w:sz w:val="21"/>
        </w:rPr>
        <w:t>•  Range labels: yellow</w:t>
      </w:r>
    </w:p>
    <w:p>
      <w:pPr>
        <w:pStyle w:val="style0"/>
        <w:spacing w:before="100" w:after="20"/>
        <w:ind w:left="432"/>
        <w:rPr/>
      </w:pPr>
      <w:r>
        <w:rPr>
          <w:b/>
          <w:color w:val="2e86c1"/>
        </w:rPr>
        <w:t>Scanning Beam Overlay</w:t>
      </w:r>
    </w:p>
    <w:p>
      <w:pPr>
        <w:pStyle w:val="style0"/>
        <w:spacing w:before="20" w:after="40"/>
        <w:ind w:left="864"/>
        <w:rPr/>
      </w:pPr>
      <w:r>
        <w:rPr>
          <w:sz w:val="21"/>
        </w:rPr>
        <w:t>An optional fan-shaped scanning beam overlay sweeps across the FOV at a configurable angular velocity, reversing at FOV limits to simulate a sector scan sonar. Canvas shadow glow effects are applied to the beam edge and contact markers.</w:t>
      </w:r>
    </w:p>
    <w:p>
      <w:pPr>
        <w:pStyle w:val="style0"/>
        <w:spacing w:before="80" w:after="80"/>
        <w:rPr>
          <w:b/>
          <w:color w:val="c0392b"/>
          <w:sz w:val="24"/>
        </w:rPr>
      </w:pPr>
    </w:p>
    <w:p>
      <w:pPr>
        <w:pStyle w:val="style0"/>
        <w:spacing w:before="80" w:after="80"/>
        <w:rPr/>
      </w:pPr>
      <w:r>
        <w:rPr>
          <w:b/>
          <w:color w:val="c0392b"/>
          <w:sz w:val="24"/>
        </w:rPr>
        <w:t xml:space="preserve">PART </w:t>
      </w:r>
      <w:r>
        <w:rPr>
          <w:b/>
          <w:color w:val="c0392b"/>
          <w:sz w:val="24"/>
        </w:rPr>
        <w:t>2</w:t>
      </w:r>
      <w:r>
        <w:rPr>
          <w:b/>
          <w:color w:val="c0392b"/>
          <w:sz w:val="24"/>
        </w:rPr>
        <w:t xml:space="preserve">  —</w:t>
      </w:r>
      <w:r>
        <w:rPr>
          <w:b/>
          <w:color w:val="c0392b"/>
          <w:sz w:val="24"/>
        </w:rPr>
        <w:t xml:space="preserve">  </w:t>
      </w:r>
      <w:r>
        <w:rPr>
          <w:b/>
          <w:color w:val="c0392b"/>
          <w:sz w:val="24"/>
        </w:rPr>
        <w:t xml:space="preserve"> Report: January – March 20</w:t>
      </w:r>
      <w:r>
        <w:rPr>
          <w:b/>
          <w:color w:val="c0392b"/>
          <w:sz w:val="24"/>
        </w:rPr>
        <w:t>26</w:t>
      </w:r>
    </w:p>
    <w:p>
      <w:pPr>
        <w:pStyle w:val="style0"/>
        <w:spacing w:before="120" w:after="80"/>
        <w:rPr/>
      </w:pPr>
      <w:r>
        <w:rPr>
          <w:b/>
          <w:color w:val="1f497d"/>
        </w:rPr>
        <w:t>4.5  Workflow</w:t>
      </w:r>
    </w:p>
    <w:p>
      <w:pPr>
        <w:pStyle w:val="style0"/>
        <w:spacing w:before="80" w:after="20"/>
        <w:ind w:left="432"/>
        <w:rPr/>
      </w:pPr>
      <w:r>
        <w:rPr>
          <w:b/>
          <w:color w:val="2e86c1"/>
          <w:sz w:val="21"/>
        </w:rPr>
        <w:t>1) Define Scenario</w:t>
      </w:r>
    </w:p>
    <w:p>
      <w:pPr>
        <w:pStyle w:val="style0"/>
        <w:spacing w:before="20" w:after="40"/>
        <w:ind w:left="864"/>
        <w:rPr/>
      </w:pPr>
      <w:r>
        <w:rPr>
          <w:sz w:val="21"/>
        </w:rPr>
        <w:t>Set up the environment, including minefields and search areas.</w:t>
      </w:r>
    </w:p>
    <w:p>
      <w:pPr>
        <w:pStyle w:val="style0"/>
        <w:spacing w:before="80" w:after="20"/>
        <w:ind w:left="432"/>
        <w:rPr/>
      </w:pPr>
      <w:r>
        <w:rPr>
          <w:b/>
          <w:color w:val="2e86c1"/>
          <w:sz w:val="21"/>
        </w:rPr>
        <w:t>2) Plan Mission</w:t>
      </w:r>
    </w:p>
    <w:p>
      <w:pPr>
        <w:pStyle w:val="style0"/>
        <w:spacing w:before="20" w:after="40"/>
        <w:ind w:left="864"/>
        <w:rPr/>
      </w:pPr>
      <w:r>
        <w:rPr>
          <w:sz w:val="21"/>
        </w:rPr>
        <w:t>Configure mission parameters and navigation plan.</w:t>
      </w:r>
    </w:p>
    <w:p>
      <w:pPr>
        <w:pStyle w:val="style0"/>
        <w:spacing w:before="80" w:after="20"/>
        <w:ind w:left="432"/>
        <w:rPr/>
      </w:pPr>
      <w:r>
        <w:rPr>
          <w:b/>
          <w:color w:val="2e86c1"/>
          <w:sz w:val="21"/>
        </w:rPr>
        <w:t>3) Simulate Mission</w:t>
      </w:r>
    </w:p>
    <w:p>
      <w:pPr>
        <w:pStyle w:val="style0"/>
        <w:spacing w:before="20" w:after="40"/>
        <w:ind w:left="864"/>
        <w:rPr/>
      </w:pPr>
      <w:r>
        <w:rPr>
          <w:sz w:val="21"/>
        </w:rPr>
        <w:t>Execute the mission using simulation and sonar visualization.</w:t>
      </w:r>
    </w:p>
    <w:p>
      <w:pPr>
        <w:pStyle w:val="style0"/>
        <w:spacing w:before="80" w:after="20"/>
        <w:ind w:left="432"/>
        <w:rPr/>
      </w:pPr>
      <w:r>
        <w:rPr>
          <w:b/>
          <w:color w:val="2e86c1"/>
          <w:sz w:val="21"/>
        </w:rPr>
        <w:t>4) Display Updates</w:t>
      </w:r>
    </w:p>
    <w:p>
      <w:pPr>
        <w:pStyle w:val="style0"/>
        <w:spacing w:before="20" w:after="40"/>
        <w:ind w:left="864"/>
        <w:rPr/>
      </w:pPr>
      <w:r>
        <w:rPr>
          <w:sz w:val="21"/>
        </w:rPr>
        <w:t>Show results, updates, and outputs on the interface.</w:t>
      </w:r>
    </w:p>
    <w:p>
      <w:pPr>
        <w:pStyle w:val="style0"/>
        <w:spacing w:before="160" w:after="80"/>
        <w:rPr/>
      </w:pPr>
      <w:r>
        <w:rPr>
          <w:b/>
          <w:color w:val="1f497d"/>
        </w:rPr>
        <w:t>4.6  Contributions</w:t>
      </w:r>
    </w:p>
    <w:p>
      <w:pPr>
        <w:pStyle w:val="style0"/>
        <w:spacing w:before="100" w:after="20"/>
        <w:ind w:left="432"/>
        <w:rPr/>
      </w:pPr>
      <w:r>
        <w:rPr>
          <w:b/>
          <w:color w:val="1f497d"/>
          <w:sz w:val="21"/>
        </w:rPr>
        <w:t>Scenario Definition</w:t>
      </w:r>
    </w:p>
    <w:p>
      <w:pPr>
        <w:pStyle w:val="style0"/>
        <w:spacing w:before="20" w:after="20"/>
        <w:ind w:left="864"/>
        <w:rPr/>
      </w:pPr>
      <w:r>
        <w:rPr>
          <w:sz w:val="21"/>
        </w:rPr>
        <w:t>•  Define minefield configuration</w:t>
      </w:r>
    </w:p>
    <w:p>
      <w:pPr>
        <w:pStyle w:val="style0"/>
        <w:spacing w:before="20" w:after="20"/>
        <w:ind w:left="864"/>
        <w:rPr/>
      </w:pPr>
      <w:r>
        <w:rPr>
          <w:sz w:val="21"/>
        </w:rPr>
        <w:t>•  Define search area configuration</w:t>
      </w:r>
    </w:p>
    <w:p>
      <w:pPr>
        <w:pStyle w:val="style0"/>
        <w:spacing w:before="100" w:after="20"/>
        <w:ind w:left="432"/>
        <w:rPr/>
      </w:pPr>
      <w:r>
        <w:rPr>
          <w:b/>
          <w:color w:val="1f497d"/>
          <w:sz w:val="21"/>
        </w:rPr>
        <w:t>Scenario Modification</w:t>
      </w:r>
    </w:p>
    <w:p>
      <w:pPr>
        <w:pStyle w:val="style0"/>
        <w:spacing w:before="20" w:after="20"/>
        <w:ind w:left="864"/>
        <w:rPr/>
      </w:pPr>
      <w:r>
        <w:rPr>
          <w:sz w:val="21"/>
        </w:rPr>
        <w:t>•  Configuration of navigation plan</w:t>
      </w:r>
    </w:p>
    <w:p>
      <w:pPr>
        <w:pStyle w:val="style0"/>
        <w:spacing w:before="100" w:after="20"/>
        <w:ind w:left="432"/>
        <w:rPr/>
      </w:pPr>
      <w:r>
        <w:rPr>
          <w:b/>
          <w:color w:val="1f497d"/>
          <w:sz w:val="21"/>
        </w:rPr>
        <w:t>Bug Identification &amp; Resolution</w:t>
      </w:r>
    </w:p>
    <w:p>
      <w:pPr>
        <w:pStyle w:val="style0"/>
        <w:spacing w:before="20" w:after="20"/>
        <w:ind w:left="864"/>
        <w:rPr/>
      </w:pPr>
      <w:r>
        <w:rPr>
          <w:sz w:val="21"/>
        </w:rPr>
        <w:t>•  Bugs</w:t>
      </w:r>
    </w:p>
    <w:p>
      <w:pPr>
        <w:pStyle w:val="style0"/>
        <w:spacing w:before="20" w:after="20"/>
        <w:ind w:left="864"/>
        <w:rPr/>
      </w:pPr>
      <w:r>
        <w:rPr>
          <w:sz w:val="21"/>
        </w:rPr>
        <w:t>•  Fix and resolve issues</w:t>
      </w:r>
    </w:p>
    <w:sectPr>
      <w:footerReference w:type="default" r:id="rId2"/>
      <w:pgSz w:w="12240" w:h="15840" w:orient="portrait"/>
      <w:pgMar w:top="1296" w:right="1728" w:bottom="1296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>
        <w:color w:val="aaaaaa"/>
        <w:sz w:val="18"/>
      </w:rPr>
      <w:t xml:space="preserve">Mission Simulation &amp; Sonar Display </w:t>
    </w:r>
    <w:r>
      <w:rPr>
        <w:color w:val="aaaaaa"/>
        <w:sz w:val="18"/>
      </w:rPr>
      <w:t>System  |</w:t>
    </w:r>
    <w:r>
      <w:rPr>
        <w:color w:val="aaaaaa"/>
        <w:sz w:val="18"/>
      </w:rPr>
      <w:t xml:space="preserve">  Report: Jan–Mar &amp; Oct–Dec </w:t>
    </w:r>
    <w:r>
      <w:rPr>
        <w:color w:val="aaaaaa"/>
        <w:sz w:val="18"/>
      </w:rPr>
      <w:t>2025  |</w:t>
    </w:r>
    <w:r>
      <w:rPr>
        <w:color w:val="aaaaaa"/>
        <w:sz w:val="18"/>
      </w:rPr>
      <w:t xml:space="preserve">  Page 1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5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9a41e58-8397-46fe-adf8-787dcaa0327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9ef0d442-d16d-4f75-bea3-780338d00869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f0958f9-2d7b-4193-8767-24aeaf3d986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949e0c1-7919-46f0-9592-6a6c25a5743a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25c4e86a-5905-4c01-a79e-c4bc9cbdb7b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0f42c7da-a733-4966-8630-2931db31610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0b57baf-bb21-469f-a563-c1377dc63f8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c5e7065-ec4e-4287-a0a8-9c35402621a2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a788392f-5ec2-46a7-b878-581a96121ad6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98f83675-8027-466c-b7a2-a3065d39a85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ee46a5a-1520-44ac-90af-21e07634283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9fadd59e-9495-45cc-bb02-3d9003e264c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20d142c-90e8-4e15-90aa-439fa2bb7a2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688dcae-b9e1-49ce-9f7a-d1ca23c43f6a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382</Words>
  <Pages>2</Pages>
  <Characters>2145</Characters>
  <Application>WPS Office</Application>
  <DocSecurity>0</DocSecurity>
  <Paragraphs>46</Paragraphs>
  <ScaleCrop>false</ScaleCrop>
  <LinksUpToDate>false</LinksUpToDate>
  <CharactersWithSpaces>2518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2026-04-06T14:44:00Z</dcterms:created>
  <dc:creator>python-docx</dc:creator>
  <dc:description>generated by python-docx</dc:description>
  <lastModifiedBy>RMX5101</lastModifiedBy>
  <lastPrinted>2026-04-06T14:41:00Z</lastPrinted>
  <dcterms:modified xsi:type="dcterms:W3CDTF">2026-04-07T07:33:26Z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e7c40b2f5916411c9e72787dda43bc64</vt:lpwstr>
  </property>
</Properties>
</file>