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Sample Insurance Policy Excerpt</w:t>
      </w:r>
    </w:p>
    <w:p>
      <w:r>
        <w:t>1. Grace Period: A grace period of thirty (30) days shall be allowed for the payment of each renewal premium after the first year, during which period the policy shall continue in force.</w:t>
      </w:r>
    </w:p>
    <w:p>
      <w:r>
        <w:t>2. Waiting Period for Pre‑Existing Diseases: Coverage for any pre‑existing disease (PED) will commence after thirty‑six (36) months of continuous coverage from the policy inception date.</w:t>
      </w:r>
    </w:p>
    <w:p>
      <w:r>
        <w:t>3. Maternity Benefit: The Company will reimburse maternity expenses for up to two deliveries provided the female insured person has been covered for at least twenty‑four (24) consecutive months.</w:t>
      </w:r>
    </w:p>
    <w:p>
      <w:r>
        <w:t>4. Organ Donor Coverage: Medical expenses incurred by an organ donor for harvesting the organ for the insured person are payable, provided they comply with the Transplantation of Human Organs Act, 1994.</w:t>
      </w:r>
    </w:p>
    <w:p>
      <w:r>
        <w:t>5. Room Rent &amp; ICU Limits (Plan A): Room rent is capped at 1% of the Sum Insured per day and ICU charges at 2% of the Sum Insured per day, unless treated in a Preferred Provider Network (PPN) hospital.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