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4e87153a71a9360ff92181c44672cbb82eb0156"/>
    <w:p>
      <w:pPr>
        <w:pStyle w:val="Heading1"/>
      </w:pPr>
      <w:r>
        <w:t xml:space="preserve">K-Merge Phase 3: Share the Slot, Don’t Average It</w:t>
      </w:r>
    </w:p>
    <w:p>
      <w:pPr>
        <w:pStyle w:val="FirstParagraph"/>
      </w:pPr>
      <w:r>
        <w:t xml:space="preserve">5 October 2026 · Ankit Raj Choudhary · Supervisor: Prof. Divya Saxena, IIT Jodhpur (SAIDE)</w:t>
      </w:r>
    </w:p>
    <w:p>
      <w:pPr>
        <w:pStyle w:val="BodyText"/>
      </w:pPr>
      <w:r>
        <w:t xml:space="preserve">In K-Merge’s on-device setting, most of the damage comes from averaging adapters, not from picking the wrong partner. Keeping each task’s own directions inside the slot (</w:t>
      </w:r>
      <w:r>
        <w:t xml:space="preserve">“</w:t>
      </w:r>
      <w:r>
        <w:t xml:space="preserve">sharing</w:t>
      </w:r>
      <w:r>
        <w:t xml:space="preserve">”</w:t>
      </w:r>
      <w:r>
        <w:t xml:space="preserve">) kept 98.9% of single-adapter quality on 12 real tasks with exactly the same storage (split), against 95.6% for the best merging methods (RegMean, TIES) and 90.8% for K-Merge. On the weakest task: 94.6% vs at most 83.5% vs 65.7% (split vs K-Merge and vs RegMean: paired bootstrap, Holm-corrected p &lt; 0.001).</w:t>
      </w:r>
    </w:p>
    <w:bookmarkStart w:id="20" w:name="summary-five-findings"/>
    <w:p>
      <w:pPr>
        <w:pStyle w:val="Heading2"/>
      </w:pPr>
      <w:r>
        <w:t xml:space="preserve">1. Summary: five findings</w:t>
      </w:r>
    </w:p>
    <w:p>
      <w:pPr>
        <w:pStyle w:val="Compact"/>
        <w:numPr>
          <w:ilvl w:val="0"/>
          <w:numId w:val="1001"/>
        </w:numPr>
      </w:pPr>
      <w:r>
        <w:rPr>
          <w:b/>
          <w:bCs/>
        </w:rPr>
        <w:t xml:space="preserve">The averaging step causes the damage, not the partner choice.</w:t>
      </w:r>
      <w:r>
        <w:t xml:space="preserve"> </w:t>
      </w:r>
      <w:r>
        <w:t xml:space="preserve">Over all 24 arrival orders (Qwen2.5-0.5B, 3 seeds), choosing partners better lifted the weakest language from 81.2% to at most 85.7%. Sharing the slot instead of averaging lifted it to 98.8%.</w:t>
      </w:r>
    </w:p>
    <w:p>
      <w:pPr>
        <w:pStyle w:val="Compact"/>
        <w:numPr>
          <w:ilvl w:val="0"/>
          <w:numId w:val="1001"/>
        </w:numPr>
      </w:pPr>
      <w:r>
        <w:rPr>
          <w:b/>
          <w:bCs/>
        </w:rPr>
        <w:t xml:space="preserve">Similarity is not a dependable guide.</w:t>
      </w:r>
      <w:r>
        <w:t xml:space="preserve"> </w:t>
      </w:r>
      <w:r>
        <w:t xml:space="preserve">Cosine similarity’s link to merge damage flipped direction between model sizes: more similar pairs were damaged less on 0.5B (Spearman +0.44 for −cosine vs damage) but more on 1.5B (−0.34). On real data, with K = 2 and a clustered arrival order, K-Merge’s cosine rule put 11 of 12 tasks into one slot (both seeds).</w:t>
      </w:r>
    </w:p>
    <w:p>
      <w:pPr>
        <w:pStyle w:val="Compact"/>
        <w:numPr>
          <w:ilvl w:val="0"/>
          <w:numId w:val="1001"/>
        </w:numPr>
      </w:pPr>
      <w:r>
        <w:rPr>
          <w:b/>
          <w:bCs/>
        </w:rPr>
        <w:t xml:space="preserve">Sharing wins on real tasks.</w:t>
      </w:r>
      <w:r>
        <w:t xml:space="preserve"> </w:t>
      </w:r>
      <w:r>
        <w:t xml:space="preserve">On 12 tasks (grammar correction, summarisation, QA in EN/DE/ES/IT) with K = 2 slots: split 98.9% at exactly the same storage (K-Share the same, with 7.9% extra), RegMean 95.6%, K-Merge 90.8%. Of what the adapters learned beyond the base model, K-Merge keeps 64% and sharing 96%.</w:t>
      </w:r>
    </w:p>
    <w:p>
      <w:pPr>
        <w:pStyle w:val="Compact"/>
        <w:numPr>
          <w:ilvl w:val="0"/>
          <w:numId w:val="1001"/>
        </w:numPr>
      </w:pPr>
      <w:r>
        <w:rPr>
          <w:b/>
          <w:bCs/>
        </w:rPr>
        <w:t xml:space="preserve">Crowded slots need a shared basis.</w:t>
      </w:r>
      <w:r>
        <w:t xml:space="preserve"> </w:t>
      </w:r>
      <w:r>
        <w:t xml:space="preserve">With all 12 tasks in one slot of 4 directions: K-Share 94.4%, split 87.1%, K-Merge 87.9%, RegMean 86.4%. With 16 directions, split and K-Share tie (98.2% vs 97.8%).</w:t>
      </w:r>
    </w:p>
    <w:p>
      <w:pPr>
        <w:pStyle w:val="Compact"/>
        <w:numPr>
          <w:ilvl w:val="0"/>
          <w:numId w:val="1001"/>
        </w:numPr>
      </w:pPr>
      <w:r>
        <w:rPr>
          <w:b/>
          <w:bCs/>
        </w:rPr>
        <w:t xml:space="preserve">Layer-selective merging does not generalise.</w:t>
      </w:r>
      <w:r>
        <w:t xml:space="preserve"> </w:t>
      </w:r>
      <w:r>
        <w:t xml:space="preserve">Keeping the stored adapter in conflicting layers lost to plain K-Merge on both models (0.5B: 91.1% vs 92.4%; 1.5B: 93.7% vs 98.9%).</w:t>
      </w:r>
    </w:p>
    <w:p>
      <w:pPr>
        <w:pStyle w:val="FirstParagraph"/>
      </w:pPr>
      <w:r>
        <w:t xml:space="preserve">What is new: the building blocks are known (split is close to TSV-C, K-Share to JD-Full). New, to our knowledge, is the evidence and diagnosis inside K-Merge’s continual setting (split at exactly equal storage), the who-versus-how test, and the crowding regime map. Our own candidate methods are designed but not yet run on GPU.</w:t>
      </w:r>
    </w:p>
    <w:bookmarkEnd w:id="20"/>
    <w:bookmarkStart w:id="21" w:name="the-problem-and-the-question"/>
    <w:p>
      <w:pPr>
        <w:pStyle w:val="Heading2"/>
      </w:pPr>
      <w:r>
        <w:t xml:space="preserve">2. The problem and the question</w:t>
      </w:r>
    </w:p>
    <w:p>
      <w:pPr>
        <w:pStyle w:val="FirstParagraph"/>
      </w:pPr>
      <w:r>
        <w:t xml:space="preserve">K-Merge stores at most K LoRA adapters on a device. A new adapter takes a free slot if there is one. Otherwise it is compared with every slot by cosine similarity of the flattened update ΔW = BA (Eq. 5), and averaged into the most similar slot with history weights (Eq. 8). The paper defines a LoRA as its pair of matrices (A, B), so the average is taken over A and B:</w:t>
      </w:r>
    </w:p>
    <w:p>
      <w:pPr>
        <w:pStyle w:val="BodyText"/>
      </w:pPr>
      <m:oMathPara>
        <m:oMathParaPr>
          <m:jc m:val="center"/>
        </m:oMathParaPr>
        <m:oMath>
          <m:sSub>
            <m:e>
              <m:r>
                <m:t>L</m:t>
              </m:r>
            </m:e>
            <m:sub>
              <m:r>
                <m:rPr>
                  <m:nor/>
                </m:rPr>
                <m:t>slot</m:t>
              </m:r>
            </m:sub>
          </m:sSub>
          <m:r>
            <m:rPr>
              <m:sty m:val="p"/>
            </m:rPr>
            <m:t>←</m:t>
          </m:r>
          <m:f>
            <m:fPr>
              <m:type m:val="bar"/>
            </m:fPr>
            <m:num>
              <m:r>
                <m:t>n</m:t>
              </m:r>
              <m:r>
                <m:rPr>
                  <m:sty m:val="p"/>
                </m:rPr>
                <m:t>⋅</m:t>
              </m:r>
              <m:sSub>
                <m:e>
                  <m:r>
                    <m:t>L</m:t>
                  </m:r>
                </m:e>
                <m:sub>
                  <m:r>
                    <m:rPr>
                      <m:nor/>
                    </m:rPr>
                    <m:t>slot</m:t>
                  </m:r>
                </m:sub>
              </m:sSub>
              <m:r>
                <m:rPr>
                  <m:sty m:val="p"/>
                </m:rPr>
                <m:t>+</m:t>
              </m:r>
              <m:sSub>
                <m:e>
                  <m:r>
                    <m:t>L</m:t>
                  </m:r>
                </m:e>
                <m:sub>
                  <m:r>
                    <m:rPr>
                      <m:nor/>
                    </m:rPr>
                    <m:t>new</m:t>
                  </m:r>
                </m:sub>
              </m:sSub>
            </m:num>
            <m:den>
              <m:r>
                <m:t>n</m:t>
              </m:r>
              <m:r>
                <m:rPr>
                  <m:sty m:val="p"/>
                </m:rPr>
                <m:t>+</m:t>
              </m:r>
              <m:r>
                <m:t>1</m:t>
              </m:r>
            </m:den>
          </m:f>
          <m:r>
            <m:rPr>
              <m:sty m:val="p"/>
            </m:rPr>
            <m:t>,</m:t>
          </m:r>
          <m:r>
            <m:t>  </m:t>
          </m:r>
          <m:r>
            <m:t>L</m:t>
          </m:r>
          <m:r>
            <m:rPr>
              <m:sty m:val="p"/>
            </m:rPr>
            <m:t>=</m:t>
          </m:r>
          <m:d>
            <m:dPr>
              <m:begChr m:val="("/>
              <m:sepChr m:val=""/>
              <m:endChr m:val=")"/>
              <m:grow/>
            </m:dPr>
            <m:e>
              <m:r>
                <m:t>A</m:t>
              </m:r>
              <m:r>
                <m:rPr>
                  <m:sty m:val="p"/>
                </m:rPr>
                <m:t>,</m:t>
              </m:r>
              <m:r>
                <m:t>B</m:t>
              </m:r>
            </m:e>
          </m:d>
        </m:oMath>
      </m:oMathPara>
    </w:p>
    <w:p>
      <w:pPr>
        <w:pStyle w:val="FirstParagraph"/>
      </w:pPr>
      <w:r>
        <w:t xml:space="preserve">Here n is the number of tasks already in the slot. At inference, each task uses the slot that holds it (task identity is known).</w:t>
      </w:r>
    </w:p>
    <w:p>
      <w:pPr>
        <w:pStyle w:val="BodyText"/>
      </w:pPr>
      <w:r>
        <w:t xml:space="preserve">Your Insight 3 noted that a failure can have two sources: the wrong tasks were grouped together (who), or the averaging rule damaged a reasonable group (how). Phase 1 suggested similarity was a useful guide (DE-FR, the most similar pair, merged best), but Phase 2 found several cases where it was not:</w:t>
      </w:r>
    </w:p>
    <w:p>
      <w:pPr>
        <w:pStyle w:val="Compact"/>
        <w:numPr>
          <w:ilvl w:val="0"/>
          <w:numId w:val="1002"/>
        </w:numPr>
      </w:pPr>
      <w:r>
        <w:t xml:space="preserve">EN-HI had the highest similarity (0.145, above DE-FR at 0.093), yet the effect was lopsided: Hindi gained +0.04 to +0.16 while English changed by −0.03 to +0.02.</w:t>
      </w:r>
    </w:p>
    <w:p>
      <w:pPr>
        <w:pStyle w:val="Compact"/>
        <w:numPr>
          <w:ilvl w:val="0"/>
          <w:numId w:val="1002"/>
        </w:numPr>
      </w:pPr>
      <w:r>
        <w:t xml:space="preserve">The DE-FR pair’s similarity was highest at rank 4 (0.134), where merging gave no net gain (−0.009 combined), and lowest at rank 32 (0.067), where both languages gained (+0.135 combined).</w:t>
      </w:r>
    </w:p>
    <w:p>
      <w:pPr>
        <w:pStyle w:val="Compact"/>
        <w:numPr>
          <w:ilvl w:val="0"/>
          <w:numId w:val="1002"/>
        </w:numPr>
      </w:pPr>
      <w:r>
        <w:t xml:space="preserve">DE-FR merged well as a pair, but EN+DE+FR degraded all three languages in 2 of 3 seeds.</w:t>
      </w:r>
    </w:p>
    <w:p>
      <w:pPr>
        <w:pStyle w:val="FirstParagraph"/>
      </w:pPr>
      <w:r>
        <w:t xml:space="preserve">So Phase 3 asked one question: is the fix a better similarity measure (who), a better merge (how), or not merging at all (sharing)?</w:t>
      </w:r>
    </w:p>
    <w:bookmarkEnd w:id="21"/>
    <w:bookmarkStart w:id="22" w:name="what-we-built-and-ran"/>
    <w:p>
      <w:pPr>
        <w:pStyle w:val="Heading2"/>
      </w:pPr>
      <w:r>
        <w:t xml:space="preserve">3. What we built and ran</w:t>
      </w:r>
    </w:p>
    <w:p>
      <w:pPr>
        <w:pStyle w:val="FirstParagraph"/>
        <w:keepNext/>
      </w:pPr>
      <w:r>
        <w:t xml:space="preserve">We built every method from its paper’s equations (K-Merge’s code is not public) and tested them on three test beds. The real benchmark follows the K-Merge paper’s own setup (Qwen2.5-1.5B-Instruct, LoRA rank 32, α = 128) on a subset of its 40 tasks: 3 of its 5 problem types and 4 of its 8 languages.</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1317"/>
        <w:gridCol w:w="1317"/>
        <w:gridCol w:w="2542"/>
        <w:gridCol w:w="1317"/>
        <w:gridCol w:w="1506"/>
        <w:gridCol w:w="1413"/>
      </w:tblGrid>
      <w:tr>
        <w:trPr>
          <w:cantSplit/>
          <w:tblHeader w:val="true"/>
        </w:trPr>
        <w:tc>
          <w:tcPr>
            <w:tcW w:type="dxa" w:w="1317"/>
            <w:shd w:val="clear" w:color="auto" w:fill="E4ECF1"/>
          </w:tcPr>
          <w:p>
            <w:pPr>
              <w:pStyle w:val="Compact"/>
              <w:keepNext/>
              <w:spacing w:after="0"/>
              <w:jc w:val="left"/>
            </w:pPr>
            <w:r>
              <w:rPr>
                <w:b/>
                <w:sz w:val="18"/>
              </w:rPr>
              <w:t xml:space="preserve">Test bed</w:t>
            </w:r>
          </w:p>
        </w:tc>
        <w:tc>
          <w:tcPr>
            <w:tcW w:type="dxa" w:w="1317"/>
            <w:shd w:val="clear" w:color="auto" w:fill="E4ECF1"/>
          </w:tcPr>
          <w:p>
            <w:pPr>
              <w:pStyle w:val="Compact"/>
              <w:keepNext/>
              <w:spacing w:after="0"/>
              <w:jc w:val="left"/>
            </w:pPr>
            <w:r>
              <w:rPr>
                <w:b/>
                <w:sz w:val="18"/>
              </w:rPr>
              <w:t xml:space="preserve">Model</w:t>
            </w:r>
          </w:p>
        </w:tc>
        <w:tc>
          <w:tcPr>
            <w:tcW w:type="dxa" w:w="2542"/>
            <w:shd w:val="clear" w:color="auto" w:fill="E4ECF1"/>
          </w:tcPr>
          <w:p>
            <w:pPr>
              <w:pStyle w:val="Compact"/>
              <w:keepNext/>
              <w:spacing w:after="0"/>
              <w:jc w:val="left"/>
            </w:pPr>
            <w:r>
              <w:rPr>
                <w:b/>
                <w:sz w:val="18"/>
              </w:rPr>
              <w:t xml:space="preserve">Tasks and data</w:t>
            </w:r>
          </w:p>
        </w:tc>
        <w:tc>
          <w:tcPr>
            <w:tcW w:type="dxa" w:w="1317"/>
            <w:shd w:val="clear" w:color="auto" w:fill="E4ECF1"/>
          </w:tcPr>
          <w:p>
            <w:pPr>
              <w:pStyle w:val="Compact"/>
              <w:keepNext/>
              <w:spacing w:after="0"/>
              <w:jc w:val="left"/>
            </w:pPr>
            <w:r>
              <w:rPr>
                <w:b/>
                <w:sz w:val="18"/>
              </w:rPr>
              <w:t xml:space="preserve">Adapters</w:t>
            </w:r>
          </w:p>
        </w:tc>
        <w:tc>
          <w:tcPr>
            <w:tcW w:type="dxa" w:w="1506"/>
            <w:shd w:val="clear" w:color="auto" w:fill="E4ECF1"/>
          </w:tcPr>
          <w:p>
            <w:pPr>
              <w:pStyle w:val="Compact"/>
              <w:keepNext/>
              <w:spacing w:after="0"/>
              <w:jc w:val="left"/>
            </w:pPr>
            <w:r>
              <w:rPr>
                <w:b/>
                <w:sz w:val="18"/>
              </w:rPr>
              <w:t xml:space="preserve">Repeats</w:t>
            </w:r>
          </w:p>
        </w:tc>
        <w:tc>
          <w:tcPr>
            <w:tcW w:type="dxa" w:w="1413"/>
            <w:shd w:val="clear" w:color="auto" w:fill="E4ECF1"/>
          </w:tcPr>
          <w:p>
            <w:pPr>
              <w:pStyle w:val="Compact"/>
              <w:keepNext/>
              <w:spacing w:after="0"/>
              <w:jc w:val="left"/>
            </w:pPr>
            <w:r>
              <w:rPr>
                <w:b/>
                <w:sz w:val="18"/>
              </w:rPr>
              <w:t xml:space="preserve">Main metric</w:t>
            </w:r>
          </w:p>
        </w:tc>
      </w:tr>
      <w:tr>
        <w:trPr>
          <w:cantSplit/>
        </w:trPr>
        <w:tc>
          <w:tcPr>
            <w:tcW w:type="dxa" w:w="1317"/>
          </w:tcPr>
          <w:p>
            <w:pPr>
              <w:pStyle w:val="Compact"/>
              <w:keepNext/>
              <w:spacing w:after="0"/>
              <w:jc w:val="left"/>
            </w:pPr>
            <w:r>
              <w:rPr>
                <w:sz w:val="18"/>
              </w:rPr>
              <w:t xml:space="preserve">Merge lab (synthetic)</w:t>
            </w:r>
          </w:p>
        </w:tc>
        <w:tc>
          <w:tcPr>
            <w:tcW w:type="dxa" w:w="1317"/>
          </w:tcPr>
          <w:p>
            <w:pPr>
              <w:pStyle w:val="Compact"/>
              <w:keepNext/>
              <w:spacing w:after="0"/>
              <w:jc w:val="left"/>
            </w:pPr>
            <w:r>
              <w:rPr>
                <w:sz w:val="18"/>
              </w:rPr>
              <w:t xml:space="preserve">Qwen2.5-0.5B and 1.5B Instruct</w:t>
            </w:r>
          </w:p>
        </w:tc>
        <w:tc>
          <w:tcPr>
            <w:tcW w:type="dxa" w:w="2542"/>
          </w:tcPr>
          <w:p>
            <w:pPr>
              <w:pStyle w:val="Compact"/>
              <w:keepNext/>
              <w:spacing w:after="0"/>
              <w:jc w:val="left"/>
            </w:pPr>
            <w:r>
              <w:rPr>
                <w:sz w:val="18"/>
              </w:rPr>
              <w:t xml:space="preserve">Grammar correction in EN, DE, FR, HI (templated errors); 128 train / 40 validation / 100 test per language</w:t>
            </w:r>
          </w:p>
        </w:tc>
        <w:tc>
          <w:tcPr>
            <w:tcW w:type="dxa" w:w="1317"/>
          </w:tcPr>
          <w:p>
            <w:pPr>
              <w:pStyle w:val="Compact"/>
              <w:keepNext/>
              <w:spacing w:after="0"/>
              <w:jc w:val="left"/>
            </w:pPr>
            <w:r>
              <w:rPr>
                <w:sz w:val="18"/>
              </w:rPr>
              <w:t xml:space="preserve">LoRA r = 8, α = 16, on q and v</w:t>
            </w:r>
          </w:p>
        </w:tc>
        <w:tc>
          <w:tcPr>
            <w:tcW w:type="dxa" w:w="1506"/>
          </w:tcPr>
          <w:p>
            <w:pPr>
              <w:pStyle w:val="Compact"/>
              <w:keepNext/>
              <w:spacing w:after="0"/>
              <w:jc w:val="left"/>
            </w:pPr>
            <w:r>
              <w:rPr>
                <w:sz w:val="18"/>
              </w:rPr>
              <w:t xml:space="preserve">3 seeds; every pair, every 3- and 4-language set, all 24 arrival orders</w:t>
            </w:r>
          </w:p>
        </w:tc>
        <w:tc>
          <w:tcPr>
            <w:tcW w:type="dxa" w:w="1413"/>
          </w:tcPr>
          <w:p>
            <w:pPr>
              <w:pStyle w:val="Compact"/>
              <w:keepNext/>
              <w:spacing w:after="0"/>
              <w:jc w:val="left"/>
            </w:pPr>
            <w:r>
              <w:rPr>
                <w:sz w:val="18"/>
              </w:rPr>
              <w:t xml:space="preserve">Exact match (also F1, GLEU, edit accuracy)</w:t>
            </w:r>
          </w:p>
        </w:tc>
      </w:tr>
      <w:tr>
        <w:trPr>
          <w:cantSplit/>
        </w:trPr>
        <w:tc>
          <w:tcPr>
            <w:tcW w:type="dxa" w:w="1317"/>
          </w:tcPr>
          <w:p>
            <w:pPr>
              <w:pStyle w:val="Compact"/>
              <w:keepNext/>
              <w:spacing w:after="0"/>
              <w:jc w:val="left"/>
            </w:pPr>
            <w:r>
              <w:rPr>
                <w:sz w:val="18"/>
              </w:rPr>
              <w:t xml:space="preserve">Real benchmark</w:t>
            </w:r>
          </w:p>
        </w:tc>
        <w:tc>
          <w:tcPr>
            <w:tcW w:type="dxa" w:w="1317"/>
          </w:tcPr>
          <w:p>
            <w:pPr>
              <w:pStyle w:val="Compact"/>
              <w:keepNext/>
              <w:spacing w:after="0"/>
              <w:jc w:val="left"/>
            </w:pPr>
            <w:r>
              <w:rPr>
                <w:sz w:val="18"/>
              </w:rPr>
              <w:t xml:space="preserve">Qwen2.5-1.5B Instruct</w:t>
            </w:r>
          </w:p>
        </w:tc>
        <w:tc>
          <w:tcPr>
            <w:tcW w:type="dxa" w:w="2542"/>
          </w:tcPr>
          <w:p>
            <w:pPr>
              <w:pStyle w:val="Compact"/>
              <w:keepNext/>
              <w:spacing w:after="0"/>
              <w:jc w:val="left"/>
            </w:pPr>
            <w:r>
              <w:rPr>
                <w:sz w:val="18"/>
              </w:rPr>
              <w:t xml:space="preserve">12 tasks: grammar correction (W&amp;I+LOCNESS EN, Falko-MERLIN DE, COWS-L2H ES, MERLIN IT), summarisation (SAMSum), QA (SQuAD); summarisation and QA machine-translated to DE/ES/IT; 800 train / 150 test per task</w:t>
            </w:r>
          </w:p>
        </w:tc>
        <w:tc>
          <w:tcPr>
            <w:tcW w:type="dxa" w:w="1317"/>
          </w:tcPr>
          <w:p>
            <w:pPr>
              <w:pStyle w:val="Compact"/>
              <w:keepNext/>
              <w:spacing w:after="0"/>
              <w:jc w:val="left"/>
            </w:pPr>
            <w:r>
              <w:rPr>
                <w:sz w:val="18"/>
              </w:rPr>
              <w:t xml:space="preserve">LoRA r = 32, α = 128, on q, k, v, o</w:t>
            </w:r>
          </w:p>
        </w:tc>
        <w:tc>
          <w:tcPr>
            <w:tcW w:type="dxa" w:w="1506"/>
          </w:tcPr>
          <w:p>
            <w:pPr>
              <w:pStyle w:val="Compact"/>
              <w:keepNext/>
              <w:spacing w:after="0"/>
              <w:jc w:val="left"/>
            </w:pPr>
            <w:r>
              <w:rPr>
                <w:sz w:val="18"/>
              </w:rPr>
              <w:t xml:space="preserve">Seeds 0 and 1; K = 2 and 4; random and clustered arrival orders</w:t>
            </w:r>
          </w:p>
        </w:tc>
        <w:tc>
          <w:tcPr>
            <w:tcW w:type="dxa" w:w="1413"/>
          </w:tcPr>
          <w:p>
            <w:pPr>
              <w:pStyle w:val="Compact"/>
              <w:keepNext/>
              <w:spacing w:after="0"/>
              <w:jc w:val="left"/>
            </w:pPr>
            <w:r>
              <w:rPr>
                <w:sz w:val="18"/>
              </w:rPr>
              <w:t xml:space="preserve">Edit F0.5 (grammar), ROUGE-L (summaries), token F1 (QA)</w:t>
            </w:r>
          </w:p>
        </w:tc>
      </w:tr>
      <w:tr>
        <w:trPr>
          <w:cantSplit/>
        </w:trPr>
        <w:tc>
          <w:tcPr>
            <w:tcW w:type="dxa" w:w="1317"/>
          </w:tcPr>
          <w:p>
            <w:pPr>
              <w:pStyle w:val="Compact"/>
              <w:spacing w:after="0"/>
              <w:jc w:val="left"/>
            </w:pPr>
            <w:r>
              <w:rPr>
                <w:sz w:val="18"/>
              </w:rPr>
              <w:t xml:space="preserve">Stress test</w:t>
            </w:r>
          </w:p>
        </w:tc>
        <w:tc>
          <w:tcPr>
            <w:tcW w:type="dxa" w:w="1317"/>
          </w:tcPr>
          <w:p>
            <w:pPr>
              <w:pStyle w:val="Compact"/>
              <w:spacing w:after="0"/>
              <w:jc w:val="left"/>
            </w:pPr>
            <w:r>
              <w:rPr>
                <w:sz w:val="18"/>
              </w:rPr>
              <w:t xml:space="preserve">Same as real benchmark (seed 0 adapters)</w:t>
            </w:r>
          </w:p>
        </w:tc>
        <w:tc>
          <w:tcPr>
            <w:tcW w:type="dxa" w:w="2542"/>
          </w:tcPr>
          <w:p>
            <w:pPr>
              <w:pStyle w:val="Compact"/>
              <w:spacing w:after="0"/>
              <w:jc w:val="left"/>
            </w:pPr>
            <w:r>
              <w:rPr>
                <w:sz w:val="18"/>
              </w:rPr>
              <w:t xml:space="preserve">All 12 real tasks forced into ONE slot</w:t>
            </w:r>
          </w:p>
        </w:tc>
        <w:tc>
          <w:tcPr>
            <w:tcW w:type="dxa" w:w="1317"/>
          </w:tcPr>
          <w:p>
            <w:pPr>
              <w:pStyle w:val="Compact"/>
              <w:spacing w:after="0"/>
              <w:jc w:val="left"/>
            </w:pPr>
            <w:r>
              <w:rPr>
                <w:sz w:val="18"/>
              </w:rPr>
              <w:t xml:space="preserve">Slot with 16, 8 or 4 directions</w:t>
            </w:r>
          </w:p>
        </w:tc>
        <w:tc>
          <w:tcPr>
            <w:tcW w:type="dxa" w:w="1506"/>
          </w:tcPr>
          <w:p>
            <w:pPr>
              <w:pStyle w:val="Compact"/>
              <w:spacing w:after="0"/>
              <w:jc w:val="left"/>
            </w:pPr>
            <w:r>
              <w:rPr>
                <w:sz w:val="18"/>
              </w:rPr>
              <w:t xml:space="preserve">Seed 0 only</w:t>
            </w:r>
          </w:p>
        </w:tc>
        <w:tc>
          <w:tcPr>
            <w:tcW w:type="dxa" w:w="1413"/>
          </w:tcPr>
          <w:p>
            <w:pPr>
              <w:pStyle w:val="Compact"/>
              <w:spacing w:after="0"/>
              <w:jc w:val="left"/>
            </w:pPr>
            <w:r>
              <w:rPr>
                <w:sz w:val="18"/>
              </w:rPr>
              <w:t xml:space="preserve">Same as real benchmark</w:t>
            </w:r>
          </w:p>
        </w:tc>
      </w:tr>
    </w:tbl>
    <w:p>
      <w:pPr>
        <w:pStyle w:val="BodyText"/>
      </w:pPr>
      <w:r>
        <w:t xml:space="preserve">Every score is normalised: the task’s score after the slot is built, divided by the same task’s own adapter on the same test set (100% = no loss). We report the average over tasks and the weakest task.</w:t>
      </w:r>
    </w:p>
    <w:p>
      <w:pPr>
        <w:pStyle w:val="BodyText"/>
      </w:pPr>
      <w:r>
        <w:rPr>
          <w:b/>
          <w:bCs/>
        </w:rPr>
        <w:t xml:space="preserve">Methods compared (25 in the lab, 11 on real data).</w:t>
      </w:r>
    </w:p>
    <w:p>
      <w:pPr>
        <w:pStyle w:val="Compact"/>
        <w:numPr>
          <w:ilvl w:val="0"/>
          <w:numId w:val="1003"/>
        </w:numPr>
      </w:pPr>
      <w:r>
        <w:t xml:space="preserve">K-Merge (Eq. 8 with its cosine slot rule).</w:t>
      </w:r>
    </w:p>
    <w:p>
      <w:pPr>
        <w:pStyle w:val="Compact"/>
        <w:numPr>
          <w:ilvl w:val="0"/>
          <w:numId w:val="1003"/>
        </w:numPr>
      </w:pPr>
      <w:r>
        <w:t xml:space="preserve">Weight merges: plain average, task arithmetic, SLERP, TIES, DARE, MagMax, KnOTS+TIES, TSV-M, Iso-C.</w:t>
      </w:r>
    </w:p>
    <w:p>
      <w:pPr>
        <w:pStyle w:val="Compact"/>
        <w:numPr>
          <w:ilvl w:val="0"/>
          <w:numId w:val="1003"/>
        </w:numPr>
      </w:pPr>
      <w:r>
        <w:t xml:space="preserve">Functional merges that need a few inputs: RegMean (32 unlabelled inputs per task), our GRAM variants, and GRAM-G (pseudo-inputs the base model writes from the task description).</w:t>
      </w:r>
    </w:p>
    <w:p>
      <w:pPr>
        <w:pStyle w:val="Compact"/>
        <w:numPr>
          <w:ilvl w:val="0"/>
          <w:numId w:val="1003"/>
        </w:numPr>
      </w:pPr>
      <w:r>
        <w:t xml:space="preserve">Our earlier lab ideas: layer-selective merge (from Analysis 4), orthogonal-complement merge, soft cascade.</w:t>
      </w:r>
    </w:p>
    <w:p>
      <w:pPr>
        <w:pStyle w:val="Compact"/>
        <w:numPr>
          <w:ilvl w:val="0"/>
          <w:numId w:val="1003"/>
        </w:numPr>
      </w:pPr>
      <w:r>
        <w:t xml:space="preserve">Sharing: split, K-Share, a storage-exact K-Share, and adaptive or activation-weighted variants (real data only).</w:t>
      </w:r>
    </w:p>
    <w:p>
      <w:pPr>
        <w:pStyle w:val="FirstParagraph"/>
      </w:pPr>
      <w:r>
        <w:rPr>
          <w:b/>
          <w:bCs/>
        </w:rPr>
        <w:t xml:space="preserve">The two sharing methods.</w:t>
      </w:r>
      <w:r>
        <w:t xml:space="preserve"> </w:t>
      </w:r>
      <w:r>
        <w:t xml:space="preserve">Both keep a slot the size of one LoRA. Because task identity is known, each task reads only its own part:</w:t>
      </w:r>
    </w:p>
    <w:p>
      <w:pPr>
        <w:pStyle w:val="BodyText"/>
      </w:pPr>
      <m:oMathPara>
        <m:oMathParaPr>
          <m:jc m:val="center"/>
        </m:oMathParaPr>
        <m:oMath>
          <m:r>
            <m:rPr>
              <m:nor/>
            </m:rPr>
            <m:t>split:</m:t>
          </m:r>
          <m:r>
            <m:t> </m:t>
          </m:r>
          <m:r>
            <m:t> </m:t>
          </m:r>
          <m:sSub>
            <m:e>
              <m:acc>
                <m:accPr>
                  <m:chr m:val="̂"/>
                </m:accPr>
                <m:e>
                  <m:r>
                    <m:t>Δ</m:t>
                  </m:r>
                  <m:r>
                    <m:t>W</m:t>
                  </m:r>
                </m:e>
              </m:acc>
            </m:e>
            <m:sub>
              <m:r>
                <m:t>t</m:t>
              </m:r>
            </m:sub>
          </m:sSub>
          <m:r>
            <m:rPr>
              <m:sty m:val="p"/>
            </m:rPr>
            <m:t>=</m:t>
          </m:r>
          <m:sSubSup>
            <m:e>
              <m:r>
                <m:t>U</m:t>
              </m:r>
            </m:e>
            <m:sub>
              <m:r>
                <m:t>t</m:t>
              </m:r>
            </m:sub>
            <m:sup>
              <m:d>
                <m:dPr>
                  <m:begChr m:val="("/>
                  <m:sepChr m:val=""/>
                  <m:endChr m:val=")"/>
                  <m:grow/>
                </m:dPr>
                <m:e>
                  <m:r>
                    <m:t>k</m:t>
                  </m:r>
                </m:e>
              </m:d>
            </m:sup>
          </m:sSubSup>
          <m:sSubSup>
            <m:e>
              <m:r>
                <m:t>S</m:t>
              </m:r>
            </m:e>
            <m:sub>
              <m:r>
                <m:t>t</m:t>
              </m:r>
            </m:sub>
            <m:sup>
              <m:d>
                <m:dPr>
                  <m:begChr m:val="("/>
                  <m:sepChr m:val=""/>
                  <m:endChr m:val=")"/>
                  <m:grow/>
                </m:dPr>
                <m:e>
                  <m:r>
                    <m:t>k</m:t>
                  </m:r>
                </m:e>
              </m:d>
            </m:sup>
          </m:sSubSup>
          <m:sSubSup>
            <m:e>
              <m:r>
                <m:t>V</m:t>
              </m:r>
            </m:e>
            <m:sub>
              <m:r>
                <m:t>t</m:t>
              </m:r>
            </m:sub>
            <m:sup>
              <m:d>
                <m:dPr>
                  <m:begChr m:val="("/>
                  <m:sepChr m:val=""/>
                  <m:endChr m:val=")"/>
                  <m:grow/>
                </m:dPr>
                <m:e>
                  <m:r>
                    <m:t>k</m:t>
                  </m:r>
                </m:e>
              </m:d>
              <m:r>
                <m:rPr>
                  <m:sty m:val="p"/>
                </m:rPr>
                <m:t>⊤</m:t>
              </m:r>
            </m:sup>
          </m:sSubSup>
          <m:r>
            <m:rPr>
              <m:sty m:val="p"/>
            </m:rPr>
            <m:t>,</m:t>
          </m:r>
          <m:r>
            <m:t> </m:t>
          </m:r>
          <m:r>
            <m:t>k</m:t>
          </m:r>
          <m:r>
            <m:rPr>
              <m:sty m:val="p"/>
            </m:rPr>
            <m:t>=</m:t>
          </m:r>
          <m:r>
            <m:t>R</m:t>
          </m:r>
          <m:r>
            <m:rPr>
              <m:sty m:val="p"/>
            </m:rPr>
            <m:t>/</m:t>
          </m:r>
          <m:r>
            <m:t>M</m:t>
          </m:r>
        </m:oMath>
      </m:oMathPara>
    </w:p>
    <w:p>
      <w:pPr>
        <w:pStyle w:val="FirstParagraph"/>
      </w:pPr>
      <m:oMathPara>
        <m:oMathParaPr>
          <m:jc m:val="center"/>
        </m:oMathParaPr>
        <m:oMath>
          <m:r>
            <m:rPr>
              <m:nor/>
            </m:rPr>
            <m:t>K-Share:</m:t>
          </m:r>
          <m:r>
            <m:t> </m:t>
          </m:r>
          <m:r>
            <m:t> </m:t>
          </m:r>
          <m:sSub>
            <m:e>
              <m:acc>
                <m:accPr>
                  <m:chr m:val="̂"/>
                </m:accPr>
                <m:e>
                  <m:r>
                    <m:t>Δ</m:t>
                  </m:r>
                  <m:r>
                    <m:t>W</m:t>
                  </m:r>
                </m:e>
              </m:acc>
            </m:e>
            <m:sub>
              <m:r>
                <m:t>t</m:t>
              </m:r>
            </m:sub>
          </m:sSub>
          <m:r>
            <m:rPr>
              <m:sty m:val="p"/>
            </m:rPr>
            <m:t>=</m:t>
          </m:r>
          <m:r>
            <m:t>U</m:t>
          </m:r>
          <m:r>
            <m:t> </m:t>
          </m:r>
          <m:sSub>
            <m:e>
              <m:r>
                <m:t>G</m:t>
              </m:r>
            </m:e>
            <m:sub>
              <m:r>
                <m:t>t</m:t>
              </m:r>
            </m:sub>
          </m:sSub>
          <m:r>
            <m:t> </m:t>
          </m:r>
          <m:sSup>
            <m:e>
              <m:r>
                <m:t>V</m:t>
              </m:r>
            </m:e>
            <m:sup>
              <m:r>
                <m:rPr>
                  <m:sty m:val="p"/>
                </m:rPr>
                <m:t>⊤</m:t>
              </m:r>
            </m:sup>
          </m:sSup>
          <m:r>
            <m:rPr>
              <m:sty m:val="p"/>
            </m:rPr>
            <m:t>,</m:t>
          </m:r>
          <m:r>
            <m:t> </m:t>
          </m:r>
          <m:sSub>
            <m:e>
              <m:r>
                <m:t>G</m:t>
              </m:r>
            </m:e>
            <m:sub>
              <m:r>
                <m:t>t</m:t>
              </m:r>
            </m:sub>
          </m:sSub>
          <m:r>
            <m:rPr>
              <m:sty m:val="p"/>
            </m:rPr>
            <m:t>=</m:t>
          </m:r>
          <m:sSup>
            <m:e>
              <m:r>
                <m:t>U</m:t>
              </m:r>
            </m:e>
            <m:sup>
              <m:r>
                <m:rPr>
                  <m:sty m:val="p"/>
                </m:rPr>
                <m:t>⊤</m:t>
              </m:r>
            </m:sup>
          </m:sSup>
          <m:r>
            <m:t>Δ</m:t>
          </m:r>
          <m:sSub>
            <m:e>
              <m:r>
                <m:t>W</m:t>
              </m:r>
            </m:e>
            <m:sub>
              <m:r>
                <m:t>t</m:t>
              </m:r>
            </m:sub>
          </m:sSub>
          <m:r>
            <m:t>V</m:t>
          </m:r>
        </m:oMath>
      </m:oMathPara>
    </w:p>
    <w:p>
      <w:pPr>
        <w:pStyle w:val="Compact"/>
        <w:numPr>
          <w:ilvl w:val="0"/>
          <w:numId w:val="1004"/>
        </w:numPr>
      </w:pPr>
      <w:r>
        <w:rPr>
          <w:b/>
          <w:bCs/>
        </w:rPr>
        <w:t xml:space="preserve">Split</w:t>
      </w:r>
      <w:r>
        <w:t xml:space="preserve"> </w:t>
      </w:r>
      <w:r>
        <w:t xml:space="preserve">gives each of the M tasks in a slot an equal share of the slot’s R directions: its own top singular directions.</w:t>
      </w:r>
    </w:p>
    <w:p>
      <w:pPr>
        <w:pStyle w:val="Compact"/>
        <w:numPr>
          <w:ilvl w:val="0"/>
          <w:numId w:val="1004"/>
        </w:numPr>
      </w:pPr>
      <w:r>
        <w:rPr>
          <w:b/>
          <w:bCs/>
        </w:rPr>
        <w:t xml:space="preserve">K-Share</w:t>
      </w:r>
      <w:r>
        <w:t xml:space="preserve"> </w:t>
      </w:r>
      <w:r>
        <w:t xml:space="preserve">learns one shared set of R directions (U, V) for all tasks in the slot and gives each task a small R × R core G_t.</w:t>
      </w:r>
    </w:p>
    <w:p>
      <w:pPr>
        <w:pStyle w:val="FirstParagraph"/>
      </w:pPr>
      <w:r>
        <w:t xml:space="preserve">Split needs no extra storage. K-Share’s cores add n_tasks × R / 2432 of a slot for Qwen2.5-1.5B (q, k, v, o): 2.0% for 12 tasks at 4 directions, 3.9% at 8 and 7.9% at 16. In the main benchmark (R = 32) they add 7.9% of total storage at K = 2 and 3.9% at K = 4; a slot holding 11 tasks pays 14.5%.</w:t>
      </w:r>
    </w:p>
    <w:bookmarkEnd w:id="22"/>
    <w:bookmarkStart w:id="26" w:name="Xb09eb12f10be38afa39c09ebfdaae406f3b2422"/>
    <w:p>
      <w:pPr>
        <w:pStyle w:val="Heading2"/>
      </w:pPr>
      <w:r>
        <w:t xml:space="preserve">4. Finding 1: averaging, not partner choice, causes most of the damage</w:t>
      </w:r>
    </w:p>
    <w:p>
      <w:pPr>
        <w:pStyle w:val="FirstParagraph"/>
      </w:pPr>
      <w:r>
        <w:t xml:space="preserve">Choosing a better partner recovered at most 4.5 points on the weakest language; changing how the slot stores tasks recovered 17.6.</w:t>
      </w:r>
    </w:p>
    <w:p>
      <w:pPr>
        <w:pStyle w:val="CaptionedFigure"/>
        <w:keepNext/>
        <w:jc w:val="center"/>
      </w:pPr>
      <w:r>
        <w:drawing>
          <wp:inline>
            <wp:extent cx="5969000" cy="2745740"/>
            <wp:effectExtent b="0" l="0" r="0" t="0"/>
            <wp:docPr descr="Weakest-language score for five ways of running K-Merge’s online procedure, on Qwen2.5-0.5B and 1.5B" title="" id="24" name="Picture"/>
            <a:graphic>
              <a:graphicData uri="http://schemas.openxmlformats.org/drawingml/2006/picture">
                <pic:pic>
                  <pic:nvPicPr>
                    <pic:cNvPr descr="charts/r1_who_vs_how.png" id="25" name="Picture"/>
                    <pic:cNvPicPr>
                      <a:picLocks noChangeArrowheads="1" noChangeAspect="1"/>
                    </pic:cNvPicPr>
                  </pic:nvPicPr>
                  <pic:blipFill>
                    <a:blip r:embed="rId23"/>
                    <a:stretch>
                      <a:fillRect/>
                    </a:stretch>
                  </pic:blipFill>
                  <pic:spPr bwMode="auto">
                    <a:xfrm>
                      <a:off x="0" y="0"/>
                      <a:ext cx="5969000" cy="2745740"/>
                    </a:xfrm>
                    <a:prstGeom prst="rect">
                      <a:avLst/>
                    </a:prstGeom>
                    <a:noFill/>
                    <a:ln w="9525">
                      <a:noFill/>
                      <a:headEnd/>
                      <a:tailEnd/>
                    </a:ln>
                  </pic:spPr>
                </pic:pic>
              </a:graphicData>
            </a:graphic>
          </wp:inline>
        </w:drawing>
      </w:r>
    </w:p>
    <w:p>
      <w:pPr>
        <w:pStyle w:val="ImageCaption"/>
      </w:pPr>
      <w:r>
        <w:t xml:space="preserve">Weakest-language score for five ways of running K-Merge’s online procedure, on Qwen2.5-0.5B and 1.5B</w:t>
      </w:r>
    </w:p>
    <w:p>
      <w:pPr>
        <w:pStyle w:val="BodyText"/>
      </w:pPr>
      <w:r>
        <w:t xml:space="preserve">We ran K-Merge’s online procedure for all 24 arrival orders of EN, DE, FR and HI with K = 2 and 3 seeds, and changed one thing at a time.</w:t>
      </w:r>
    </w:p>
    <w:p>
      <w:pPr>
        <w:pStyle w:val="Compact"/>
        <w:numPr>
          <w:ilvl w:val="0"/>
          <w:numId w:val="1005"/>
        </w:numPr>
      </w:pPr>
      <w:r>
        <w:rPr>
          <w:b/>
          <w:bCs/>
        </w:rPr>
        <w:t xml:space="preserve">Who is merged:</w:t>
      </w:r>
      <w:r>
        <w:t xml:space="preserve"> </w:t>
      </w:r>
      <w:r>
        <w:t xml:space="preserve">K-Merge’s rule, the most similar pair overall, a distortion-based rule (GRAM-Select), and an oracle that chooses with labelled validation data.</w:t>
      </w:r>
    </w:p>
    <w:p>
      <w:pPr>
        <w:pStyle w:val="Compact"/>
        <w:numPr>
          <w:ilvl w:val="0"/>
          <w:numId w:val="1005"/>
        </w:numPr>
      </w:pPr>
      <w:r>
        <w:rPr>
          <w:b/>
          <w:bCs/>
        </w:rPr>
        <w:t xml:space="preserve">How the slot is built:</w:t>
      </w:r>
      <w:r>
        <w:t xml:space="preserve"> </w:t>
      </w:r>
      <w:r>
        <w:t xml:space="preserve">K-Merge’s average, a smarter merge (RegMean-style), or sharing.</w:t>
      </w:r>
    </w:p>
    <w:p>
      <w:pPr>
        <w:pStyle w:val="FirstParagraph"/>
      </w:pPr>
      <w:r>
        <w:t xml:space="preserve">On 1.5B the picture is the same at a smaller scale: better partner rules moved the weakest language from 96.1% to between 95.7% and 97.2%, a smarter merge to 98.1%, sharing to 99.4%.</w:t>
      </w:r>
    </w:p>
    <w:p>
      <w:pPr>
        <w:pStyle w:val="BodyText"/>
      </w:pPr>
      <w:r>
        <w:t xml:space="preserve">Sharing also removes most of the arrival-order effect: the standard deviation across the 72 runs (24 orders × 3 seeds) fell from 0.026 for K-Merge to 0.004 for K-Share (0.5B). This sharing was strictly online: at each arrival the device re-compressed only its stored slot plus the newcomer. The oracle row is the</w:t>
      </w:r>
      <w:r>
        <w:t xml:space="preserve"> </w:t>
      </w:r>
      <w:r>
        <w:t xml:space="preserve">“</w:t>
      </w:r>
      <w:r>
        <w:t xml:space="preserve">validation-guided selection</w:t>
      </w:r>
      <w:r>
        <w:t xml:space="preserve">”</w:t>
      </w:r>
      <w:r>
        <w:t xml:space="preserve"> </w:t>
      </w:r>
      <w:r>
        <w:t xml:space="preserve">proposed after Phase 1. It helps a little, but it cannot undo averaging.</w:t>
      </w:r>
    </w:p>
    <w:bookmarkEnd w:id="26"/>
    <w:bookmarkStart w:id="30" w:name="Xd3506cc5bfe466137071fe69c188c6b9c779c1c"/>
    <w:p>
      <w:pPr>
        <w:pStyle w:val="Heading2"/>
      </w:pPr>
      <w:r>
        <w:t xml:space="preserve">5. Finding 2: why a better similarity measure is not the fix</w:t>
      </w:r>
    </w:p>
    <w:p>
      <w:pPr>
        <w:pStyle w:val="FirstParagraph"/>
      </w:pPr>
      <w:r>
        <w:t xml:space="preserve">Every test points the same way: similarity scores only choose partners, the loss comes from averaging, and no score we tried predicted K-Merge’s loss reliably.</w:t>
      </w:r>
    </w:p>
    <w:p>
      <w:pPr>
        <w:pStyle w:val="CaptionedFigure"/>
        <w:keepNext/>
        <w:jc w:val="center"/>
      </w:pPr>
      <w:r>
        <w:drawing>
          <wp:inline>
            <wp:extent cx="5969000" cy="2506980"/>
            <wp:effectExtent b="0" l="0" r="0" t="0"/>
            <wp:docPr descr="Rank correlation between four candidate scores and K-Merge’s merge damage, for Qwen2.5-0.5B and 1.5B" title="" id="28" name="Picture"/>
            <a:graphic>
              <a:graphicData uri="http://schemas.openxmlformats.org/drawingml/2006/picture">
                <pic:pic>
                  <pic:nvPicPr>
                    <pic:cNvPr descr="charts/r6_predictors.png" id="29" name="Picture"/>
                    <pic:cNvPicPr>
                      <a:picLocks noChangeArrowheads="1" noChangeAspect="1"/>
                    </pic:cNvPicPr>
                  </pic:nvPicPr>
                  <pic:blipFill>
                    <a:blip r:embed="rId27"/>
                    <a:stretch>
                      <a:fillRect/>
                    </a:stretch>
                  </pic:blipFill>
                  <pic:spPr bwMode="auto">
                    <a:xfrm>
                      <a:off x="0" y="0"/>
                      <a:ext cx="5969000" cy="2506980"/>
                    </a:xfrm>
                    <a:prstGeom prst="rect">
                      <a:avLst/>
                    </a:prstGeom>
                    <a:noFill/>
                    <a:ln w="9525">
                      <a:noFill/>
                      <a:headEnd/>
                      <a:tailEnd/>
                    </a:ln>
                  </pic:spPr>
                </pic:pic>
              </a:graphicData>
            </a:graphic>
          </wp:inline>
        </w:drawing>
      </w:r>
    </w:p>
    <w:p>
      <w:pPr>
        <w:pStyle w:val="ImageCaption"/>
      </w:pPr>
      <w:r>
        <w:t xml:space="preserve">Rank correlation between four candidate scores and K-Merge’s merge damage, for Qwen2.5-0.5B and 1.5B</w:t>
      </w:r>
    </w:p>
    <w:p>
      <w:pPr>
        <w:pStyle w:val="Compact"/>
        <w:numPr>
          <w:ilvl w:val="0"/>
          <w:numId w:val="1006"/>
        </w:numPr>
      </w:pPr>
      <w:r>
        <w:rPr>
          <w:b/>
          <w:bCs/>
        </w:rPr>
        <w:t xml:space="preserve">Cosine’s direction is unstable.</w:t>
      </w:r>
      <w:r>
        <w:t xml:space="preserve"> </w:t>
      </w:r>
      <w:r>
        <w:t xml:space="preserve">Over 36 language outcomes per model (18 K-Merge merges: 6 pairs × 3 seeds), the rank correlation between (−cosine) and damage was +0.44 on 0.5B (more similar pairs were damaged less) and −0.34 on 1.5B (more similar pairs were damaged more).</w:t>
      </w:r>
    </w:p>
    <w:p>
      <w:pPr>
        <w:pStyle w:val="Compact"/>
        <w:numPr>
          <w:ilvl w:val="0"/>
          <w:numId w:val="1006"/>
        </w:numPr>
      </w:pPr>
      <w:r>
        <w:rPr>
          <w:b/>
          <w:bCs/>
        </w:rPr>
        <w:t xml:space="preserve">Better-informed scores do not rescue K-Merge.</w:t>
      </w:r>
      <w:r>
        <w:t xml:space="preserve"> </w:t>
      </w:r>
      <w:r>
        <w:t xml:space="preserve">Distortion measured on 32 real inputs predicts damage across all methods (ρ = 0.43 on both models), but not for K-Merge merges alone (ρ = 0.18 on 0.5B, 0.005 on 1.5B).</w:t>
      </w:r>
    </w:p>
    <w:p>
      <w:pPr>
        <w:pStyle w:val="Compact"/>
        <w:numPr>
          <w:ilvl w:val="0"/>
          <w:numId w:val="1006"/>
        </w:numPr>
      </w:pPr>
      <w:r>
        <w:rPr>
          <w:b/>
          <w:bCs/>
        </w:rPr>
        <w:t xml:space="preserve">Better partner choice barely helps.</w:t>
      </w:r>
      <w:r>
        <w:t xml:space="preserve"> </w:t>
      </w:r>
      <w:r>
        <w:t xml:space="preserve">It changed the weakest language by −0.4 to +4.5 points (Finding 1). Even the oracle with labelled data gained at most 3.7 points (0.5B: 81.2% → 84.9%; 1.5B: 96.1% → 97.2%).</w:t>
      </w:r>
    </w:p>
    <w:p>
      <w:pPr>
        <w:pStyle w:val="Compact"/>
        <w:numPr>
          <w:ilvl w:val="0"/>
          <w:numId w:val="1006"/>
        </w:numPr>
      </w:pPr>
      <w:r>
        <w:rPr>
          <w:b/>
          <w:bCs/>
        </w:rPr>
        <w:t xml:space="preserve">On real data, similarity overloads one slot.</w:t>
      </w:r>
      <w:r>
        <w:t xml:space="preserve"> </w:t>
      </w:r>
      <w:r>
        <w:t xml:space="preserve">With K = 2 and a clustered arrival order, the cosine rule put 11 of 12 tasks into one slot in both seeds (sum_de alone in the other). There, K-Merge kept 89.0–89.6% on average (weakest task 58.9–66.1%); sharing, with the same grouping, kept 98.6–98.9% (weakest 93.6–94.2%).</w:t>
      </w:r>
    </w:p>
    <w:p>
      <w:pPr>
        <w:pStyle w:val="Compact"/>
        <w:numPr>
          <w:ilvl w:val="0"/>
          <w:numId w:val="1006"/>
        </w:numPr>
      </w:pPr>
      <w:r>
        <w:rPr>
          <w:b/>
          <w:bCs/>
        </w:rPr>
        <w:t xml:space="preserve">Phase 2 showed the same pattern.</w:t>
      </w:r>
      <w:r>
        <w:t xml:space="preserve"> </w:t>
      </w:r>
      <w:r>
        <w:t xml:space="preserve">The most similar pairs (EN-HI; DE-FR at rank 4) were not the most compatible.</w:t>
      </w:r>
    </w:p>
    <w:p>
      <w:pPr>
        <w:pStyle w:val="Compact"/>
        <w:numPr>
          <w:ilvl w:val="0"/>
          <w:numId w:val="1006"/>
        </w:numPr>
      </w:pPr>
      <w:r>
        <w:rPr>
          <w:b/>
          <w:bCs/>
        </w:rPr>
        <w:t xml:space="preserve">Weight-only signals mislead for LoRA (F6).</w:t>
      </w:r>
      <w:r>
        <w:t xml:space="preserve"> </w:t>
      </w:r>
      <w:r>
        <w:t xml:space="preserve">A merge that uses the adapters’ own weights as a stand-in for input statistics collapsed to 4.8% (0.5B) and 53.3% (1.5B). LoRA’s A matrices stay close to their random start (Zhu et al., 2024), so weight statistics mostly reflect that start, not the task’s inputs.</w:t>
      </w:r>
    </w:p>
    <w:p>
      <w:pPr>
        <w:pStyle w:val="FirstParagraph"/>
      </w:pPr>
      <w:r>
        <w:t xml:space="preserve">In your Insight 25’s terms: similarity describes parameters before merging; mergeability describes function after. Our data add that even reasonable partners lose under averaging, so the lever is how the slot stores tasks. We do not claim cosine is useless in general; in these tests it was neither a stable predictor nor the lever that mattered.</w:t>
      </w:r>
    </w:p>
    <w:bookmarkEnd w:id="30"/>
    <w:bookmarkStart w:id="43" w:name="X8c3b65067f1239003e0afe3a653810eb6f45c9c"/>
    <w:p>
      <w:pPr>
        <w:pStyle w:val="Heading2"/>
      </w:pPr>
      <w:r>
        <w:t xml:space="preserve">6. Finding 3: sharing keeps almost everything, at the same storage</w:t>
      </w:r>
    </w:p>
    <w:p>
      <w:pPr>
        <w:pStyle w:val="FirstParagraph"/>
      </w:pPr>
      <w:r>
        <w:t xml:space="preserve">With exactly the storage of one LoRA per slot, split kept 98.9% of single-adapter quality on 12 real tasks, against 95.6% for the best merges (RegMean, TIES) and 90.8% for K-Merge; K-Share matched split while using 7.9% more storage.</w:t>
      </w:r>
    </w:p>
    <w:p>
      <w:pPr>
        <w:pStyle w:val="CaptionedFigure"/>
        <w:keepNext/>
        <w:jc w:val="center"/>
      </w:pPr>
      <w:r>
        <w:drawing>
          <wp:inline>
            <wp:extent cx="5969000" cy="2626360"/>
            <wp:effectExtent b="0" l="0" r="0" t="0"/>
            <wp:docPr descr="Average and weakest-task score of seven methods on 12 real tasks, with K = 2 and K = 4 slots" title="" id="32" name="Picture"/>
            <a:graphic>
              <a:graphicData uri="http://schemas.openxmlformats.org/drawingml/2006/picture">
                <pic:pic>
                  <pic:nvPicPr>
                    <pic:cNvPr descr="charts/r2_real_benchmark.png" id="33" name="Picture"/>
                    <pic:cNvPicPr>
                      <a:picLocks noChangeArrowheads="1" noChangeAspect="1"/>
                    </pic:cNvPicPr>
                  </pic:nvPicPr>
                  <pic:blipFill>
                    <a:blip r:embed="rId31"/>
                    <a:stretch>
                      <a:fillRect/>
                    </a:stretch>
                  </pic:blipFill>
                  <pic:spPr bwMode="auto">
                    <a:xfrm>
                      <a:off x="0" y="0"/>
                      <a:ext cx="5969000" cy="2626360"/>
                    </a:xfrm>
                    <a:prstGeom prst="rect">
                      <a:avLst/>
                    </a:prstGeom>
                    <a:noFill/>
                    <a:ln w="9525">
                      <a:noFill/>
                      <a:headEnd/>
                      <a:tailEnd/>
                    </a:ln>
                  </pic:spPr>
                </pic:pic>
              </a:graphicData>
            </a:graphic>
          </wp:inline>
        </w:drawing>
      </w:r>
    </w:p>
    <w:p>
      <w:pPr>
        <w:pStyle w:val="ImageCaption"/>
      </w:pPr>
      <w:r>
        <w:t xml:space="preserve">Average and weakest-task score of seven methods on 12 real tasks, with K = 2 and K = 4 slots</w:t>
      </w:r>
    </w:p>
    <w:p>
      <w:pPr>
        <w:pStyle w:val="BodyText"/>
        <w:keepNext/>
      </w:pPr>
      <w:r>
        <w:t xml:space="preserve">Every method uses K-Merge’s own slot grouping, so only the way the slot is built differs. Differences in points of normalised score, 95% CI, Holm-corrected p:</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2456"/>
        <w:gridCol w:w="613"/>
        <w:gridCol w:w="2558"/>
        <w:gridCol w:w="2763"/>
        <w:gridCol w:w="1022"/>
      </w:tblGrid>
      <w:tr>
        <w:trPr>
          <w:cantSplit/>
          <w:tblHeader w:val="true"/>
        </w:trPr>
        <w:tc>
          <w:tcPr>
            <w:tcW w:type="dxa" w:w="2456"/>
            <w:shd w:val="clear" w:color="auto" w:fill="E4ECF1"/>
          </w:tcPr>
          <w:p>
            <w:pPr>
              <w:pStyle w:val="Compact"/>
              <w:keepNext/>
              <w:spacing w:after="0"/>
              <w:jc w:val="left"/>
            </w:pPr>
            <w:r>
              <w:rPr>
                <w:b/>
                <w:sz w:val="18"/>
              </w:rPr>
              <w:t xml:space="preserve">Comparison</w:t>
            </w:r>
          </w:p>
        </w:tc>
        <w:tc>
          <w:tcPr>
            <w:tcW w:type="dxa" w:w="613"/>
            <w:shd w:val="clear" w:color="auto" w:fill="E4ECF1"/>
          </w:tcPr>
          <w:p>
            <w:pPr>
              <w:pStyle w:val="Compact"/>
              <w:keepNext/>
              <w:spacing w:after="0"/>
              <w:jc w:val="left"/>
            </w:pPr>
            <w:r>
              <w:rPr>
                <w:b/>
                <w:sz w:val="18"/>
              </w:rPr>
              <w:t xml:space="preserve">K</w:t>
            </w:r>
          </w:p>
        </w:tc>
        <w:tc>
          <w:tcPr>
            <w:tcW w:type="dxa" w:w="2558"/>
            <w:shd w:val="clear" w:color="auto" w:fill="E4ECF1"/>
          </w:tcPr>
          <w:p>
            <w:pPr>
              <w:pStyle w:val="Compact"/>
              <w:keepNext/>
              <w:spacing w:after="0"/>
              <w:jc w:val="left"/>
            </w:pPr>
            <w:r>
              <w:rPr>
                <w:b/>
                <w:sz w:val="18"/>
              </w:rPr>
              <w:t xml:space="preserve">Average (95% CI)</w:t>
            </w:r>
          </w:p>
        </w:tc>
        <w:tc>
          <w:tcPr>
            <w:tcW w:type="dxa" w:w="2763"/>
            <w:shd w:val="clear" w:color="auto" w:fill="E4ECF1"/>
          </w:tcPr>
          <w:p>
            <w:pPr>
              <w:pStyle w:val="Compact"/>
              <w:keepNext/>
              <w:spacing w:after="0"/>
              <w:jc w:val="left"/>
            </w:pPr>
            <w:r>
              <w:rPr>
                <w:b/>
                <w:sz w:val="18"/>
              </w:rPr>
              <w:t xml:space="preserve">Weakest task (95% CI)</w:t>
            </w:r>
          </w:p>
        </w:tc>
        <w:tc>
          <w:tcPr>
            <w:tcW w:type="dxa" w:w="1022"/>
            <w:shd w:val="clear" w:color="auto" w:fill="E4ECF1"/>
          </w:tcPr>
          <w:p>
            <w:pPr>
              <w:pStyle w:val="Compact"/>
              <w:keepNext/>
              <w:spacing w:after="0"/>
              <w:jc w:val="left"/>
            </w:pPr>
            <w:r>
              <w:rPr>
                <w:b/>
                <w:sz w:val="18"/>
              </w:rPr>
              <w:t xml:space="preserve">p</w:t>
            </w:r>
          </w:p>
        </w:tc>
      </w:tr>
      <w:tr>
        <w:trPr>
          <w:cantSplit/>
        </w:trPr>
        <w:tc>
          <w:tcPr>
            <w:tcW w:type="dxa" w:w="2456"/>
          </w:tcPr>
          <w:p>
            <w:pPr>
              <w:pStyle w:val="Compact"/>
              <w:keepNext/>
              <w:spacing w:after="0"/>
              <w:jc w:val="left"/>
            </w:pPr>
            <w:r>
              <w:rPr>
                <w:sz w:val="18"/>
              </w:rPr>
              <w:t xml:space="preserve">Split − K-Merge</w:t>
            </w:r>
          </w:p>
        </w:tc>
        <w:tc>
          <w:tcPr>
            <w:tcW w:type="dxa" w:w="613"/>
          </w:tcPr>
          <w:p>
            <w:pPr>
              <w:pStyle w:val="Compact"/>
              <w:keepNext/>
              <w:spacing w:after="0"/>
              <w:jc w:val="left"/>
            </w:pPr>
            <w:r>
              <w:rPr>
                <w:sz w:val="18"/>
              </w:rPr>
              <w:t xml:space="preserve">2</w:t>
            </w:r>
          </w:p>
        </w:tc>
        <w:tc>
          <w:tcPr>
            <w:tcW w:type="dxa" w:w="2558"/>
          </w:tcPr>
          <w:p>
            <w:pPr>
              <w:pStyle w:val="Compact"/>
              <w:keepNext/>
              <w:spacing w:after="0"/>
              <w:jc w:val="left"/>
            </w:pPr>
            <w:r>
              <w:rPr>
                <w:sz w:val="18"/>
              </w:rPr>
              <w:t xml:space="preserve">+8.1 (+6.3 to +9.8)</w:t>
            </w:r>
          </w:p>
        </w:tc>
        <w:tc>
          <w:tcPr>
            <w:tcW w:type="dxa" w:w="2763"/>
          </w:tcPr>
          <w:p>
            <w:pPr>
              <w:pStyle w:val="Compact"/>
              <w:keepNext/>
              <w:spacing w:after="0"/>
              <w:jc w:val="left"/>
            </w:pPr>
            <w:r>
              <w:rPr>
                <w:sz w:val="18"/>
              </w:rPr>
              <w:t xml:space="preserve">+28.9 (+19.3 to +37.7)</w:t>
            </w:r>
          </w:p>
        </w:tc>
        <w:tc>
          <w:tcPr>
            <w:tcW w:type="dxa" w:w="1022"/>
          </w:tcPr>
          <w:p>
            <w:pPr>
              <w:pStyle w:val="Compact"/>
              <w:keepNext/>
              <w:spacing w:after="0"/>
              <w:jc w:val="left"/>
            </w:pPr>
            <w:r>
              <w:rPr>
                <w:sz w:val="18"/>
              </w:rPr>
              <w:t xml:space="preserve">&lt; 0.001</w:t>
            </w:r>
          </w:p>
        </w:tc>
      </w:tr>
      <w:tr>
        <w:trPr>
          <w:cantSplit/>
        </w:trPr>
        <w:tc>
          <w:tcPr>
            <w:tcW w:type="dxa" w:w="2456"/>
          </w:tcPr>
          <w:p>
            <w:pPr>
              <w:pStyle w:val="Compact"/>
              <w:keepNext/>
              <w:spacing w:after="0"/>
              <w:jc w:val="left"/>
            </w:pPr>
            <w:r>
              <w:rPr>
                <w:sz w:val="18"/>
              </w:rPr>
              <w:t xml:space="preserve">Split − RegMean</w:t>
            </w:r>
          </w:p>
        </w:tc>
        <w:tc>
          <w:tcPr>
            <w:tcW w:type="dxa" w:w="613"/>
          </w:tcPr>
          <w:p>
            <w:pPr>
              <w:pStyle w:val="Compact"/>
              <w:keepNext/>
              <w:spacing w:after="0"/>
              <w:jc w:val="left"/>
            </w:pPr>
            <w:r>
              <w:rPr>
                <w:sz w:val="18"/>
              </w:rPr>
              <w:t xml:space="preserve">2</w:t>
            </w:r>
          </w:p>
        </w:tc>
        <w:tc>
          <w:tcPr>
            <w:tcW w:type="dxa" w:w="2558"/>
          </w:tcPr>
          <w:p>
            <w:pPr>
              <w:pStyle w:val="Compact"/>
              <w:keepNext/>
              <w:spacing w:after="0"/>
              <w:jc w:val="left"/>
            </w:pPr>
            <w:r>
              <w:rPr>
                <w:sz w:val="18"/>
              </w:rPr>
              <w:t xml:space="preserve">+3.3 (+1.8 to +4.6)</w:t>
            </w:r>
          </w:p>
        </w:tc>
        <w:tc>
          <w:tcPr>
            <w:tcW w:type="dxa" w:w="2763"/>
          </w:tcPr>
          <w:p>
            <w:pPr>
              <w:pStyle w:val="Compact"/>
              <w:keepNext/>
              <w:spacing w:after="0"/>
              <w:jc w:val="left"/>
            </w:pPr>
            <w:r>
              <w:rPr>
                <w:sz w:val="18"/>
              </w:rPr>
              <w:t xml:space="preserve">+16.0 (+9.0 to +23.6)</w:t>
            </w:r>
          </w:p>
        </w:tc>
        <w:tc>
          <w:tcPr>
            <w:tcW w:type="dxa" w:w="1022"/>
          </w:tcPr>
          <w:p>
            <w:pPr>
              <w:pStyle w:val="Compact"/>
              <w:keepNext/>
              <w:spacing w:after="0"/>
              <w:jc w:val="left"/>
            </w:pPr>
            <w:r>
              <w:rPr>
                <w:sz w:val="18"/>
              </w:rPr>
              <w:t xml:space="preserve">&lt; 0.001</w:t>
            </w:r>
          </w:p>
        </w:tc>
      </w:tr>
      <w:tr>
        <w:trPr>
          <w:cantSplit/>
        </w:trPr>
        <w:tc>
          <w:tcPr>
            <w:tcW w:type="dxa" w:w="2456"/>
          </w:tcPr>
          <w:p>
            <w:pPr>
              <w:pStyle w:val="Compact"/>
              <w:keepNext/>
              <w:spacing w:after="0"/>
              <w:jc w:val="left"/>
            </w:pPr>
            <w:r>
              <w:rPr>
                <w:sz w:val="18"/>
              </w:rPr>
              <w:t xml:space="preserve">K-Share − Split</w:t>
            </w:r>
          </w:p>
        </w:tc>
        <w:tc>
          <w:tcPr>
            <w:tcW w:type="dxa" w:w="613"/>
          </w:tcPr>
          <w:p>
            <w:pPr>
              <w:pStyle w:val="Compact"/>
              <w:keepNext/>
              <w:spacing w:after="0"/>
              <w:jc w:val="left"/>
            </w:pPr>
            <w:r>
              <w:rPr>
                <w:sz w:val="18"/>
              </w:rPr>
              <w:t xml:space="preserve">2</w:t>
            </w:r>
          </w:p>
        </w:tc>
        <w:tc>
          <w:tcPr>
            <w:tcW w:type="dxa" w:w="2558"/>
          </w:tcPr>
          <w:p>
            <w:pPr>
              <w:pStyle w:val="Compact"/>
              <w:keepNext/>
              <w:spacing w:after="0"/>
              <w:jc w:val="left"/>
            </w:pPr>
            <w:r>
              <w:rPr>
                <w:sz w:val="18"/>
              </w:rPr>
              <w:t xml:space="preserve">+0.0 (−0.4 to +0.5)</w:t>
            </w:r>
          </w:p>
        </w:tc>
        <w:tc>
          <w:tcPr>
            <w:tcW w:type="dxa" w:w="2763"/>
          </w:tcPr>
          <w:p>
            <w:pPr>
              <w:pStyle w:val="Compact"/>
              <w:keepNext/>
              <w:spacing w:after="0"/>
              <w:jc w:val="left"/>
            </w:pPr>
            <w:r>
              <w:rPr>
                <w:sz w:val="18"/>
              </w:rPr>
              <w:t xml:space="preserve">+0.1 (−1.3 to +1.5)</w:t>
            </w:r>
          </w:p>
        </w:tc>
        <w:tc>
          <w:tcPr>
            <w:tcW w:type="dxa" w:w="1022"/>
          </w:tcPr>
          <w:p>
            <w:pPr>
              <w:pStyle w:val="Compact"/>
              <w:keepNext/>
              <w:spacing w:after="0"/>
              <w:jc w:val="left"/>
            </w:pPr>
            <w:r>
              <w:rPr>
                <w:sz w:val="18"/>
              </w:rPr>
              <w:t xml:space="preserve">1.0</w:t>
            </w:r>
          </w:p>
        </w:tc>
      </w:tr>
      <w:tr>
        <w:trPr>
          <w:cantSplit/>
        </w:trPr>
        <w:tc>
          <w:tcPr>
            <w:tcW w:type="dxa" w:w="2456"/>
          </w:tcPr>
          <w:p>
            <w:pPr>
              <w:pStyle w:val="Compact"/>
              <w:keepNext/>
              <w:spacing w:after="0"/>
              <w:jc w:val="left"/>
            </w:pPr>
            <w:r>
              <w:rPr>
                <w:sz w:val="18"/>
              </w:rPr>
              <w:t xml:space="preserve">Split − K-Merge</w:t>
            </w:r>
          </w:p>
        </w:tc>
        <w:tc>
          <w:tcPr>
            <w:tcW w:type="dxa" w:w="613"/>
          </w:tcPr>
          <w:p>
            <w:pPr>
              <w:pStyle w:val="Compact"/>
              <w:keepNext/>
              <w:spacing w:after="0"/>
              <w:jc w:val="left"/>
            </w:pPr>
            <w:r>
              <w:rPr>
                <w:sz w:val="18"/>
              </w:rPr>
              <w:t xml:space="preserve">4</w:t>
            </w:r>
          </w:p>
        </w:tc>
        <w:tc>
          <w:tcPr>
            <w:tcW w:type="dxa" w:w="2558"/>
          </w:tcPr>
          <w:p>
            <w:pPr>
              <w:pStyle w:val="Compact"/>
              <w:keepNext/>
              <w:spacing w:after="0"/>
              <w:jc w:val="left"/>
            </w:pPr>
            <w:r>
              <w:rPr>
                <w:sz w:val="18"/>
              </w:rPr>
              <w:t xml:space="preserve">+5.7 (+4.0 to +7.3)</w:t>
            </w:r>
          </w:p>
        </w:tc>
        <w:tc>
          <w:tcPr>
            <w:tcW w:type="dxa" w:w="2763"/>
          </w:tcPr>
          <w:p>
            <w:pPr>
              <w:pStyle w:val="Compact"/>
              <w:keepNext/>
              <w:spacing w:after="0"/>
              <w:jc w:val="left"/>
            </w:pPr>
            <w:r>
              <w:rPr>
                <w:sz w:val="18"/>
              </w:rPr>
              <w:t xml:space="preserve">+25.4 (+16.4 to +34.5)</w:t>
            </w:r>
          </w:p>
        </w:tc>
        <w:tc>
          <w:tcPr>
            <w:tcW w:type="dxa" w:w="1022"/>
          </w:tcPr>
          <w:p>
            <w:pPr>
              <w:pStyle w:val="Compact"/>
              <w:keepNext/>
              <w:spacing w:after="0"/>
              <w:jc w:val="left"/>
            </w:pPr>
            <w:r>
              <w:rPr>
                <w:sz w:val="18"/>
              </w:rPr>
              <w:t xml:space="preserve">&lt; 0.001</w:t>
            </w:r>
          </w:p>
        </w:tc>
      </w:tr>
      <w:tr>
        <w:trPr>
          <w:cantSplit/>
        </w:trPr>
        <w:tc>
          <w:tcPr>
            <w:tcW w:type="dxa" w:w="2456"/>
          </w:tcPr>
          <w:p>
            <w:pPr>
              <w:pStyle w:val="Compact"/>
              <w:spacing w:after="0"/>
              <w:jc w:val="left"/>
            </w:pPr>
            <w:r>
              <w:rPr>
                <w:sz w:val="18"/>
              </w:rPr>
              <w:t xml:space="preserve">Split − RegMean</w:t>
            </w:r>
          </w:p>
        </w:tc>
        <w:tc>
          <w:tcPr>
            <w:tcW w:type="dxa" w:w="613"/>
          </w:tcPr>
          <w:p>
            <w:pPr>
              <w:pStyle w:val="Compact"/>
              <w:spacing w:after="0"/>
              <w:jc w:val="left"/>
            </w:pPr>
            <w:r>
              <w:rPr>
                <w:sz w:val="18"/>
              </w:rPr>
              <w:t xml:space="preserve">4</w:t>
            </w:r>
          </w:p>
        </w:tc>
        <w:tc>
          <w:tcPr>
            <w:tcW w:type="dxa" w:w="2558"/>
          </w:tcPr>
          <w:p>
            <w:pPr>
              <w:pStyle w:val="Compact"/>
              <w:spacing w:after="0"/>
              <w:jc w:val="left"/>
            </w:pPr>
            <w:r>
              <w:rPr>
                <w:sz w:val="18"/>
              </w:rPr>
              <w:t xml:space="preserve">+2.2 (+0.9 to +3.4)</w:t>
            </w:r>
          </w:p>
        </w:tc>
        <w:tc>
          <w:tcPr>
            <w:tcW w:type="dxa" w:w="2763"/>
          </w:tcPr>
          <w:p>
            <w:pPr>
              <w:pStyle w:val="Compact"/>
              <w:spacing w:after="0"/>
              <w:jc w:val="left"/>
            </w:pPr>
            <w:r>
              <w:rPr>
                <w:sz w:val="18"/>
              </w:rPr>
              <w:t xml:space="preserve">+13.1 (+7.8 to +19.5)</w:t>
            </w:r>
          </w:p>
        </w:tc>
        <w:tc>
          <w:tcPr>
            <w:tcW w:type="dxa" w:w="1022"/>
          </w:tcPr>
          <w:p>
            <w:pPr>
              <w:pStyle w:val="Compact"/>
              <w:spacing w:after="0"/>
              <w:jc w:val="left"/>
            </w:pPr>
            <w:r>
              <w:rPr>
                <w:sz w:val="18"/>
              </w:rPr>
              <w:t xml:space="preserve">&lt; 0.001</w:t>
            </w:r>
          </w:p>
        </w:tc>
      </w:tr>
    </w:tbl>
    <w:p>
      <w:pPr>
        <w:pStyle w:val="BodyText"/>
      </w:pPr>
      <w:r>
        <w:rPr>
          <w:b/>
          <w:bCs/>
        </w:rPr>
        <w:t xml:space="preserve">How much of what the adapters learned survives.</w:t>
      </w:r>
      <w:r>
        <w:t xml:space="preserve"> </w:t>
      </w:r>
      <w:r>
        <w:t xml:space="preserve">The base model alone already reaches 79% of the adapters’ scores on average, so normalised scores flatter every method. Measuring only the gain over the base model shows the gap more clearly:</w:t>
      </w:r>
    </w:p>
    <w:p>
      <w:pPr>
        <w:pStyle w:val="CaptionedFigure"/>
        <w:keepNext/>
        <w:jc w:val="center"/>
      </w:pPr>
      <w:r>
        <w:drawing>
          <wp:inline>
            <wp:extent cx="5969000" cy="2566670"/>
            <wp:effectExtent b="0" l="0" r="0" t="0"/>
            <wp:docPr descr="Share of each task’s learned gain that survives, by method and by task type" title="" id="35" name="Picture"/>
            <a:graphic>
              <a:graphicData uri="http://schemas.openxmlformats.org/drawingml/2006/picture">
                <pic:pic>
                  <pic:nvPicPr>
                    <pic:cNvPr descr="charts/r3_gain_retained.png" id="36" name="Picture"/>
                    <pic:cNvPicPr>
                      <a:picLocks noChangeArrowheads="1" noChangeAspect="1"/>
                    </pic:cNvPicPr>
                  </pic:nvPicPr>
                  <pic:blipFill>
                    <a:blip r:embed="rId34"/>
                    <a:stretch>
                      <a:fillRect/>
                    </a:stretch>
                  </pic:blipFill>
                  <pic:spPr bwMode="auto">
                    <a:xfrm>
                      <a:off x="0" y="0"/>
                      <a:ext cx="5969000" cy="2566670"/>
                    </a:xfrm>
                    <a:prstGeom prst="rect">
                      <a:avLst/>
                    </a:prstGeom>
                    <a:noFill/>
                    <a:ln w="9525">
                      <a:noFill/>
                      <a:headEnd/>
                      <a:tailEnd/>
                    </a:ln>
                  </pic:spPr>
                </pic:pic>
              </a:graphicData>
            </a:graphic>
          </wp:inline>
        </w:drawing>
      </w:r>
    </w:p>
    <w:p>
      <w:pPr>
        <w:pStyle w:val="ImageCaption"/>
      </w:pPr>
      <w:r>
        <w:t xml:space="preserve">Share of each task’s learned gain that survives, by method and by task type</w:t>
      </w:r>
    </w:p>
    <w:p>
      <w:pPr>
        <w:pStyle w:val="BodyText"/>
      </w:pPr>
      <w:r>
        <w:t xml:space="preserve">Grammar correction is hit hardest: K-Merge keeps 36% of its gain, sharing 93–94%.</w:t>
      </w:r>
    </w:p>
    <w:p>
      <w:pPr>
        <w:pStyle w:val="BodyText"/>
        <w:keepNext/>
      </w:pPr>
      <w:r>
        <w:rPr>
          <w:b/>
          <w:bCs/>
        </w:rPr>
        <w:t xml:space="preserve">What the outputs look like.</w:t>
      </w:r>
      <w:r>
        <w:t xml:space="preserve"> </w:t>
      </w:r>
      <w:r>
        <w:t xml:space="preserve">Real learner sentences from the run where 11 tasks share one slot (K = 2, clustered order, seed 0). Each was fixed correctly by its own adapter and by K-Share; all are shown as written.</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1035"/>
        <w:gridCol w:w="2824"/>
        <w:gridCol w:w="2824"/>
        <w:gridCol w:w="2729"/>
      </w:tblGrid>
      <w:tr>
        <w:trPr>
          <w:cantSplit/>
          <w:tblHeader w:val="true"/>
        </w:trPr>
        <w:tc>
          <w:tcPr>
            <w:tcW w:type="dxa" w:w="1035"/>
            <w:shd w:val="clear" w:color="auto" w:fill="E4ECF1"/>
          </w:tcPr>
          <w:p>
            <w:pPr>
              <w:pStyle w:val="Compact"/>
              <w:keepNext/>
              <w:spacing w:after="0"/>
              <w:jc w:val="left"/>
            </w:pPr>
            <w:r>
              <w:rPr>
                <w:b/>
                <w:sz w:val="18"/>
              </w:rPr>
              <w:t xml:space="preserve">Language</w:t>
            </w:r>
          </w:p>
        </w:tc>
        <w:tc>
          <w:tcPr>
            <w:tcW w:type="dxa" w:w="2824"/>
            <w:shd w:val="clear" w:color="auto" w:fill="E4ECF1"/>
          </w:tcPr>
          <w:p>
            <w:pPr>
              <w:pStyle w:val="Compact"/>
              <w:keepNext/>
              <w:spacing w:after="0"/>
              <w:jc w:val="left"/>
            </w:pPr>
            <w:r>
              <w:rPr>
                <w:b/>
                <w:sz w:val="18"/>
              </w:rPr>
              <w:t xml:space="preserve">Learner sentence</w:t>
            </w:r>
          </w:p>
        </w:tc>
        <w:tc>
          <w:tcPr>
            <w:tcW w:type="dxa" w:w="2824"/>
            <w:shd w:val="clear" w:color="auto" w:fill="E4ECF1"/>
          </w:tcPr>
          <w:p>
            <w:pPr>
              <w:pStyle w:val="Compact"/>
              <w:keepNext/>
              <w:spacing w:after="0"/>
              <w:jc w:val="left"/>
            </w:pPr>
            <w:r>
              <w:rPr>
                <w:b/>
                <w:sz w:val="18"/>
              </w:rPr>
              <w:t xml:space="preserve">K-Merge output</w:t>
            </w:r>
          </w:p>
        </w:tc>
        <w:tc>
          <w:tcPr>
            <w:tcW w:type="dxa" w:w="2729"/>
            <w:shd w:val="clear" w:color="auto" w:fill="E4ECF1"/>
          </w:tcPr>
          <w:p>
            <w:pPr>
              <w:pStyle w:val="Compact"/>
              <w:keepNext/>
              <w:spacing w:after="0"/>
              <w:jc w:val="left"/>
            </w:pPr>
            <w:r>
              <w:rPr>
                <w:b/>
                <w:sz w:val="18"/>
              </w:rPr>
              <w:t xml:space="preserve">K-Share output</w:t>
            </w:r>
          </w:p>
        </w:tc>
      </w:tr>
      <w:tr>
        <w:trPr>
          <w:cantSplit/>
        </w:trPr>
        <w:tc>
          <w:tcPr>
            <w:tcW w:type="dxa" w:w="1035"/>
          </w:tcPr>
          <w:p>
            <w:pPr>
              <w:pStyle w:val="Compact"/>
              <w:keepNext/>
              <w:spacing w:after="0"/>
              <w:jc w:val="left"/>
            </w:pPr>
            <w:r>
              <w:rPr>
                <w:sz w:val="18"/>
              </w:rPr>
              <w:t xml:space="preserve">EN</w:t>
            </w:r>
          </w:p>
        </w:tc>
        <w:tc>
          <w:tcPr>
            <w:tcW w:type="dxa" w:w="2824"/>
          </w:tcPr>
          <w:p>
            <w:pPr>
              <w:pStyle w:val="Compact"/>
              <w:keepNext/>
              <w:spacing w:after="0"/>
              <w:jc w:val="left"/>
            </w:pPr>
            <w:r>
              <w:rPr>
                <w:sz w:val="18"/>
              </w:rPr>
              <w:t xml:space="preserve">I suppose we’ll see each other soon and I’ll be capable of talking to you about this experience.</w:t>
            </w:r>
          </w:p>
        </w:tc>
        <w:tc>
          <w:tcPr>
            <w:tcW w:type="dxa" w:w="2824"/>
          </w:tcPr>
          <w:p>
            <w:pPr>
              <w:pStyle w:val="Compact"/>
              <w:keepNext/>
              <w:spacing w:after="0"/>
              <w:jc w:val="left"/>
            </w:pPr>
            <w:r>
              <w:rPr>
                <w:sz w:val="18"/>
              </w:rPr>
              <w:t xml:space="preserve">I suppose we’ll see each other soon, and I’ll be capable of talking to you about this experience.</w:t>
            </w:r>
          </w:p>
        </w:tc>
        <w:tc>
          <w:tcPr>
            <w:tcW w:type="dxa" w:w="2729"/>
          </w:tcPr>
          <w:p>
            <w:pPr>
              <w:pStyle w:val="Compact"/>
              <w:keepNext/>
              <w:spacing w:after="0"/>
              <w:jc w:val="left"/>
            </w:pPr>
            <w:r>
              <w:rPr>
                <w:sz w:val="18"/>
              </w:rPr>
              <w:t xml:space="preserve">I suppose we’ll see each other soon and I’ll be able to talk to you about this experience.</w:t>
            </w:r>
          </w:p>
        </w:tc>
      </w:tr>
      <w:tr>
        <w:trPr>
          <w:cantSplit/>
        </w:trPr>
        <w:tc>
          <w:tcPr>
            <w:tcW w:type="dxa" w:w="1035"/>
          </w:tcPr>
          <w:p>
            <w:pPr>
              <w:pStyle w:val="Compact"/>
              <w:keepNext/>
              <w:spacing w:after="0"/>
              <w:jc w:val="left"/>
            </w:pPr>
            <w:r>
              <w:rPr>
                <w:sz w:val="18"/>
              </w:rPr>
              <w:t xml:space="preserve">DE</w:t>
            </w:r>
          </w:p>
        </w:tc>
        <w:tc>
          <w:tcPr>
            <w:tcW w:type="dxa" w:w="2824"/>
          </w:tcPr>
          <w:p>
            <w:pPr>
              <w:pStyle w:val="Compact"/>
              <w:keepNext/>
              <w:spacing w:after="0"/>
              <w:jc w:val="left"/>
            </w:pPr>
            <w:r>
              <w:rPr>
                <w:sz w:val="18"/>
              </w:rPr>
              <w:t xml:space="preserve">Wie oft hat die heutige Jugend diese Satz gehört?</w:t>
            </w:r>
          </w:p>
        </w:tc>
        <w:tc>
          <w:tcPr>
            <w:tcW w:type="dxa" w:w="2824"/>
          </w:tcPr>
          <w:p>
            <w:pPr>
              <w:pStyle w:val="Compact"/>
              <w:keepNext/>
              <w:spacing w:after="0"/>
              <w:jc w:val="left"/>
            </w:pPr>
            <w:r>
              <w:rPr>
                <w:sz w:val="18"/>
              </w:rPr>
              <w:t xml:space="preserve">Wie oft hat die heutige Jugend diese Satz gehört? (unchanged)</w:t>
            </w:r>
          </w:p>
        </w:tc>
        <w:tc>
          <w:tcPr>
            <w:tcW w:type="dxa" w:w="2729"/>
          </w:tcPr>
          <w:p>
            <w:pPr>
              <w:pStyle w:val="Compact"/>
              <w:keepNext/>
              <w:spacing w:after="0"/>
              <w:jc w:val="left"/>
            </w:pPr>
            <w:r>
              <w:rPr>
                <w:sz w:val="18"/>
              </w:rPr>
              <w:t xml:space="preserve">Wie oft hat die heutige Jugend diesen Satz gehört?</w:t>
            </w:r>
          </w:p>
        </w:tc>
      </w:tr>
      <w:tr>
        <w:trPr>
          <w:cantSplit/>
        </w:trPr>
        <w:tc>
          <w:tcPr>
            <w:tcW w:type="dxa" w:w="1035"/>
          </w:tcPr>
          <w:p>
            <w:pPr>
              <w:pStyle w:val="Compact"/>
              <w:keepNext/>
              <w:spacing w:after="0"/>
              <w:jc w:val="left"/>
            </w:pPr>
            <w:r>
              <w:rPr>
                <w:sz w:val="18"/>
              </w:rPr>
              <w:t xml:space="preserve">ES</w:t>
            </w:r>
          </w:p>
        </w:tc>
        <w:tc>
          <w:tcPr>
            <w:tcW w:type="dxa" w:w="2824"/>
          </w:tcPr>
          <w:p>
            <w:pPr>
              <w:pStyle w:val="Compact"/>
              <w:keepNext/>
              <w:spacing w:after="0"/>
              <w:jc w:val="left"/>
            </w:pPr>
            <w:r>
              <w:rPr>
                <w:sz w:val="18"/>
              </w:rPr>
              <w:t xml:space="preserve">El dia era muy terrible y yo estaba muy triste.</w:t>
            </w:r>
          </w:p>
        </w:tc>
        <w:tc>
          <w:tcPr>
            <w:tcW w:type="dxa" w:w="2824"/>
          </w:tcPr>
          <w:p>
            <w:pPr>
              <w:pStyle w:val="Compact"/>
              <w:keepNext/>
              <w:spacing w:after="0"/>
              <w:jc w:val="left"/>
            </w:pPr>
            <w:r>
              <w:rPr>
                <w:sz w:val="18"/>
              </w:rPr>
              <w:t xml:space="preserve">El día era muy triste y yo estaba muy triste. (meaning changed)</w:t>
            </w:r>
          </w:p>
        </w:tc>
        <w:tc>
          <w:tcPr>
            <w:tcW w:type="dxa" w:w="2729"/>
          </w:tcPr>
          <w:p>
            <w:pPr>
              <w:pStyle w:val="Compact"/>
              <w:keepNext/>
              <w:spacing w:after="0"/>
              <w:jc w:val="left"/>
            </w:pPr>
            <w:r>
              <w:rPr>
                <w:sz w:val="18"/>
              </w:rPr>
              <w:t xml:space="preserve">El día era muy terrible y yo estaba muy triste.</w:t>
            </w:r>
          </w:p>
        </w:tc>
      </w:tr>
      <w:tr>
        <w:trPr>
          <w:cantSplit/>
        </w:trPr>
        <w:tc>
          <w:tcPr>
            <w:tcW w:type="dxa" w:w="1035"/>
          </w:tcPr>
          <w:p>
            <w:pPr>
              <w:pStyle w:val="Compact"/>
              <w:spacing w:after="0"/>
              <w:jc w:val="left"/>
            </w:pPr>
            <w:r>
              <w:rPr>
                <w:sz w:val="18"/>
              </w:rPr>
              <w:t xml:space="preserve">IT</w:t>
            </w:r>
          </w:p>
        </w:tc>
        <w:tc>
          <w:tcPr>
            <w:tcW w:type="dxa" w:w="2824"/>
          </w:tcPr>
          <w:p>
            <w:pPr>
              <w:pStyle w:val="Compact"/>
              <w:spacing w:after="0"/>
              <w:jc w:val="left"/>
            </w:pPr>
            <w:r>
              <w:rPr>
                <w:sz w:val="18"/>
              </w:rPr>
              <w:t xml:space="preserve">Mi piace di rivedervi e di festeggiare insieme.</w:t>
            </w:r>
          </w:p>
        </w:tc>
        <w:tc>
          <w:tcPr>
            <w:tcW w:type="dxa" w:w="2824"/>
          </w:tcPr>
          <w:p>
            <w:pPr>
              <w:pStyle w:val="Compact"/>
              <w:spacing w:after="0"/>
              <w:jc w:val="left"/>
            </w:pPr>
            <w:r>
              <w:rPr>
                <w:sz w:val="18"/>
              </w:rPr>
              <w:t xml:space="preserve">Mi piace di rivedervi e di festeggiare insieme. (unchanged)</w:t>
            </w:r>
          </w:p>
        </w:tc>
        <w:tc>
          <w:tcPr>
            <w:tcW w:type="dxa" w:w="2729"/>
          </w:tcPr>
          <w:p>
            <w:pPr>
              <w:pStyle w:val="Compact"/>
              <w:spacing w:after="0"/>
              <w:jc w:val="left"/>
            </w:pPr>
            <w:r>
              <w:rPr>
                <w:sz w:val="18"/>
              </w:rPr>
              <w:t xml:space="preserve">Mi piace rivedervi e festeggiare insieme.</w:t>
            </w:r>
          </w:p>
        </w:tc>
      </w:tr>
    </w:tbl>
    <w:p>
      <w:pPr>
        <w:pStyle w:val="BodyText"/>
      </w:pPr>
      <w:r>
        <w:t xml:space="preserve">These examples were chosen to show the two failure types; the rates are what count. Across the four grammar tasks (K = 2), own adapters made 34.6% of sentences fully correct, K-Share 33.9%, RegMean 28.9% and K-Merge 24.1%. In the run where the four grammar adapters shared one slot, K-Merge left sentences unchanged more often than the own adapter (25.8% vs 19.4% of sentences that needed a fix): dilution. In the 11-task slot it made wrong edits instead (fully correct 22.5% vs 34.6%): interference.</w:t>
      </w:r>
    </w:p>
    <w:p>
      <w:pPr>
        <w:pStyle w:val="BodyText"/>
      </w:pPr>
      <w:r>
        <w:rPr>
          <w:b/>
          <w:bCs/>
        </w:rPr>
        <w:t xml:space="preserve">Synthetic results agree, across all 25 methods.</w:t>
      </w:r>
      <w:r>
        <w:t xml:space="preserve"> </w:t>
      </w:r>
      <w:r>
        <w:t xml:space="preserve">On the 0.5B lab, sharing kept 99.8% on language pairs, RegMean 98.5%, K-Merge 92.4%. A K-Share variant that fits basis and cores inside exactly one slot kept 99.7%, so the result holds at exactly equal storage.</w:t>
      </w:r>
    </w:p>
    <w:p>
      <w:pPr>
        <w:pStyle w:val="CaptionedFigure"/>
        <w:keepNext/>
        <w:jc w:val="center"/>
      </w:pPr>
      <w:r>
        <w:drawing>
          <wp:inline>
            <wp:extent cx="5969000" cy="3939540"/>
            <wp:effectExtent b="0" l="0" r="0" t="0"/>
            <wp:docPr descr="Average score of 20 of the 25 lab methods on language pairs, Qwen2.5-0.5B" title="" id="38" name="Picture"/>
            <a:graphic>
              <a:graphicData uri="http://schemas.openxmlformats.org/drawingml/2006/picture">
                <pic:pic>
                  <pic:nvPicPr>
                    <pic:cNvPr descr="charts/r8_leaderboard_syn05.png" id="39" name="Picture"/>
                    <pic:cNvPicPr>
                      <a:picLocks noChangeArrowheads="1" noChangeAspect="1"/>
                    </pic:cNvPicPr>
                  </pic:nvPicPr>
                  <pic:blipFill>
                    <a:blip r:embed="rId37"/>
                    <a:stretch>
                      <a:fillRect/>
                    </a:stretch>
                  </pic:blipFill>
                  <pic:spPr bwMode="auto">
                    <a:xfrm>
                      <a:off x="0" y="0"/>
                      <a:ext cx="5969000" cy="3939540"/>
                    </a:xfrm>
                    <a:prstGeom prst="rect">
                      <a:avLst/>
                    </a:prstGeom>
                    <a:noFill/>
                    <a:ln w="9525">
                      <a:noFill/>
                      <a:headEnd/>
                      <a:tailEnd/>
                    </a:ln>
                  </pic:spPr>
                </pic:pic>
              </a:graphicData>
            </a:graphic>
          </wp:inline>
        </w:drawing>
      </w:r>
    </w:p>
    <w:p>
      <w:pPr>
        <w:pStyle w:val="ImageCaption"/>
      </w:pPr>
      <w:r>
        <w:t xml:space="preserve">Average score of 20 of the 25 lab methods on language pairs, Qwen2.5-0.5B</w:t>
      </w:r>
    </w:p>
    <w:p>
      <w:pPr>
        <w:pStyle w:val="BodyText"/>
      </w:pPr>
      <w:r>
        <w:t xml:space="preserve">Adding tasks to a slot hurts averaging more and more, while sharing stays near 100%:</w:t>
      </w:r>
    </w:p>
    <w:p>
      <w:pPr>
        <w:pStyle w:val="CaptionedFigure"/>
        <w:keepNext/>
        <w:jc w:val="center"/>
      </w:pPr>
      <w:r>
        <w:drawing>
          <wp:inline>
            <wp:extent cx="5969000" cy="2566670"/>
            <wp:effectExtent b="0" l="0" r="0" t="0"/>
            <wp:docPr descr="Weakest-language score as 2, 3 or 4 tasks share one slot, Qwen2.5-0.5B and 1.5B" title="" id="41" name="Picture"/>
            <a:graphic>
              <a:graphicData uri="http://schemas.openxmlformats.org/drawingml/2006/picture">
                <pic:pic>
                  <pic:nvPicPr>
                    <pic:cNvPr descr="charts/r5_capacity.png" id="42" name="Picture"/>
                    <pic:cNvPicPr>
                      <a:picLocks noChangeArrowheads="1" noChangeAspect="1"/>
                    </pic:cNvPicPr>
                  </pic:nvPicPr>
                  <pic:blipFill>
                    <a:blip r:embed="rId40"/>
                    <a:stretch>
                      <a:fillRect/>
                    </a:stretch>
                  </pic:blipFill>
                  <pic:spPr bwMode="auto">
                    <a:xfrm>
                      <a:off x="0" y="0"/>
                      <a:ext cx="5969000" cy="2566670"/>
                    </a:xfrm>
                    <a:prstGeom prst="rect">
                      <a:avLst/>
                    </a:prstGeom>
                    <a:noFill/>
                    <a:ln w="9525">
                      <a:noFill/>
                      <a:headEnd/>
                      <a:tailEnd/>
                    </a:ln>
                  </pic:spPr>
                </pic:pic>
              </a:graphicData>
            </a:graphic>
          </wp:inline>
        </w:drawing>
      </w:r>
    </w:p>
    <w:p>
      <w:pPr>
        <w:pStyle w:val="ImageCaption"/>
      </w:pPr>
      <w:r>
        <w:t xml:space="preserve">Weakest-language score as 2, 3 or 4 tasks share one slot, Qwen2.5-0.5B and 1.5B</w:t>
      </w:r>
    </w:p>
    <w:p>
      <w:pPr>
        <w:pStyle w:val="BodyText"/>
      </w:pPr>
      <w:r>
        <w:t xml:space="preserve">On 1.5B the synthetic task is close to saturated (K-Merge keeps 98.9% on pairs), so the effects are smaller. With 4 languages per slot, K-Share kept 99.3% on the weakest language against 91.6% for K-Merge. On language pairs, K-Share and RegMean tied on average (+0.06 points, p = 0.75); K-Share was 0.5 points ahead on the weaker language, which is not significant after correction (Holm p = 0.09).</w:t>
      </w:r>
    </w:p>
    <w:bookmarkEnd w:id="43"/>
    <w:bookmarkStart w:id="47" w:name="Xbf192dab8c8c4ca2c1b457cfe2870b5a5d42ae2"/>
    <w:p>
      <w:pPr>
        <w:pStyle w:val="Heading2"/>
      </w:pPr>
      <w:r>
        <w:t xml:space="preserve">7. Finding 4: in a crowded slot, a shared basis beats a plain split</w:t>
      </w:r>
    </w:p>
    <w:p>
      <w:pPr>
        <w:pStyle w:val="FirstParagraph"/>
      </w:pPr>
      <w:r>
        <w:t xml:space="preserve">When all 12 tasks must share one slot with only 4 or 8 directions, K-Share keeps 94.4–96.7% while split drops to 87.1–91.0%.</w:t>
      </w:r>
    </w:p>
    <w:p>
      <w:pPr>
        <w:pStyle w:val="CaptionedFigure"/>
        <w:keepNext/>
        <w:jc w:val="center"/>
      </w:pPr>
      <w:r>
        <w:drawing>
          <wp:inline>
            <wp:extent cx="5969000" cy="2626360"/>
            <wp:effectExtent b="0" l="0" r="0" t="0"/>
            <wp:docPr descr="Average and weakest-task score when all 12 tasks share one slot with 4, 8 or 16 directions" title="" id="45" name="Picture"/>
            <a:graphic>
              <a:graphicData uri="http://schemas.openxmlformats.org/drawingml/2006/picture">
                <pic:pic>
                  <pic:nvPicPr>
                    <pic:cNvPr descr="charts/r4_stress.png" id="46" name="Picture"/>
                    <pic:cNvPicPr>
                      <a:picLocks noChangeArrowheads="1" noChangeAspect="1"/>
                    </pic:cNvPicPr>
                  </pic:nvPicPr>
                  <pic:blipFill>
                    <a:blip r:embed="rId44"/>
                    <a:stretch>
                      <a:fillRect/>
                    </a:stretch>
                  </pic:blipFill>
                  <pic:spPr bwMode="auto">
                    <a:xfrm>
                      <a:off x="0" y="0"/>
                      <a:ext cx="5969000" cy="2626360"/>
                    </a:xfrm>
                    <a:prstGeom prst="rect">
                      <a:avLst/>
                    </a:prstGeom>
                    <a:noFill/>
                    <a:ln w="9525">
                      <a:noFill/>
                      <a:headEnd/>
                      <a:tailEnd/>
                    </a:ln>
                  </pic:spPr>
                </pic:pic>
              </a:graphicData>
            </a:graphic>
          </wp:inline>
        </w:drawing>
      </w:r>
    </w:p>
    <w:p>
      <w:pPr>
        <w:pStyle w:val="ImageCaption"/>
      </w:pPr>
      <w:r>
        <w:t xml:space="preserve">Average and weakest-task score when all 12 tasks share one slot with 4, 8 or 16 directions</w:t>
      </w:r>
    </w:p>
    <w:p>
      <w:pPr>
        <w:pStyle w:val="BodyText"/>
        <w:keepNext/>
      </w:pPr>
      <w:r>
        <w:t xml:space="preserve">Split runs out of directions: with 4 directions for 12 tasks, 8 tasks get none and fall back to the base model. K-Share finds directions that serve all tasks and gives each a small core, so every task keeps something.</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2448"/>
        <w:gridCol w:w="2635"/>
        <w:gridCol w:w="2635"/>
        <w:gridCol w:w="1694"/>
      </w:tblGrid>
      <w:tr>
        <w:trPr>
          <w:cantSplit/>
          <w:tblHeader w:val="true"/>
        </w:trPr>
        <w:tc>
          <w:tcPr>
            <w:tcW w:type="dxa" w:w="2448"/>
            <w:shd w:val="clear" w:color="auto" w:fill="E4ECF1"/>
          </w:tcPr>
          <w:p>
            <w:pPr>
              <w:pStyle w:val="Compact"/>
              <w:keepNext/>
              <w:spacing w:after="0"/>
              <w:jc w:val="left"/>
            </w:pPr>
            <w:r>
              <w:rPr>
                <w:b/>
                <w:sz w:val="18"/>
              </w:rPr>
              <w:t xml:space="preserve">Comparison</w:t>
            </w:r>
          </w:p>
        </w:tc>
        <w:tc>
          <w:tcPr>
            <w:tcW w:type="dxa" w:w="2635"/>
            <w:shd w:val="clear" w:color="auto" w:fill="E4ECF1"/>
          </w:tcPr>
          <w:p>
            <w:pPr>
              <w:pStyle w:val="Compact"/>
              <w:keepNext/>
              <w:spacing w:after="0"/>
              <w:jc w:val="left"/>
            </w:pPr>
            <w:r>
              <w:rPr>
                <w:b/>
                <w:sz w:val="18"/>
              </w:rPr>
              <w:t xml:space="preserve">Storage of the left method vs the right</w:t>
            </w:r>
          </w:p>
        </w:tc>
        <w:tc>
          <w:tcPr>
            <w:tcW w:type="dxa" w:w="2635"/>
            <w:shd w:val="clear" w:color="auto" w:fill="E4ECF1"/>
          </w:tcPr>
          <w:p>
            <w:pPr>
              <w:pStyle w:val="Compact"/>
              <w:keepNext/>
              <w:spacing w:after="0"/>
              <w:jc w:val="left"/>
            </w:pPr>
            <w:r>
              <w:rPr>
                <w:b/>
                <w:sz w:val="18"/>
              </w:rPr>
              <w:t xml:space="preserve">Average difference (95% CI)</w:t>
            </w:r>
          </w:p>
        </w:tc>
        <w:tc>
          <w:tcPr>
            <w:tcW w:type="dxa" w:w="1694"/>
            <w:shd w:val="clear" w:color="auto" w:fill="E4ECF1"/>
          </w:tcPr>
          <w:p>
            <w:pPr>
              <w:pStyle w:val="Compact"/>
              <w:keepNext/>
              <w:spacing w:after="0"/>
              <w:jc w:val="left"/>
            </w:pPr>
            <w:r>
              <w:rPr>
                <w:b/>
                <w:sz w:val="18"/>
              </w:rPr>
              <w:t xml:space="preserve">Holm-corrected p</w:t>
            </w:r>
          </w:p>
        </w:tc>
      </w:tr>
      <w:tr>
        <w:trPr>
          <w:cantSplit/>
        </w:trPr>
        <w:tc>
          <w:tcPr>
            <w:tcW w:type="dxa" w:w="2448"/>
          </w:tcPr>
          <w:p>
            <w:pPr>
              <w:pStyle w:val="Compact"/>
              <w:keepNext/>
              <w:spacing w:after="0"/>
              <w:jc w:val="left"/>
            </w:pPr>
            <w:r>
              <w:rPr>
                <w:sz w:val="18"/>
              </w:rPr>
              <w:t xml:space="preserve">K-Share 4 − split 4</w:t>
            </w:r>
          </w:p>
        </w:tc>
        <w:tc>
          <w:tcPr>
            <w:tcW w:type="dxa" w:w="2635"/>
          </w:tcPr>
          <w:p>
            <w:pPr>
              <w:pStyle w:val="Compact"/>
              <w:keepNext/>
              <w:spacing w:after="0"/>
              <w:jc w:val="left"/>
            </w:pPr>
            <w:r>
              <w:rPr>
                <w:sz w:val="18"/>
              </w:rPr>
              <w:t xml:space="preserve">+2%</w:t>
            </w:r>
          </w:p>
        </w:tc>
        <w:tc>
          <w:tcPr>
            <w:tcW w:type="dxa" w:w="2635"/>
          </w:tcPr>
          <w:p>
            <w:pPr>
              <w:pStyle w:val="Compact"/>
              <w:keepNext/>
              <w:spacing w:after="0"/>
              <w:jc w:val="left"/>
            </w:pPr>
            <w:r>
              <w:rPr>
                <w:sz w:val="18"/>
              </w:rPr>
              <w:t xml:space="preserve">+7.3 (+5.2 to +9.2)</w:t>
            </w:r>
          </w:p>
        </w:tc>
        <w:tc>
          <w:tcPr>
            <w:tcW w:type="dxa" w:w="1694"/>
          </w:tcPr>
          <w:p>
            <w:pPr>
              <w:pStyle w:val="Compact"/>
              <w:keepNext/>
              <w:spacing w:after="0"/>
              <w:jc w:val="left"/>
            </w:pPr>
            <w:r>
              <w:rPr>
                <w:sz w:val="18"/>
              </w:rPr>
              <w:t xml:space="preserve">&lt; 0.001</w:t>
            </w:r>
          </w:p>
        </w:tc>
      </w:tr>
      <w:tr>
        <w:trPr>
          <w:cantSplit/>
        </w:trPr>
        <w:tc>
          <w:tcPr>
            <w:tcW w:type="dxa" w:w="2448"/>
          </w:tcPr>
          <w:p>
            <w:pPr>
              <w:pStyle w:val="Compact"/>
              <w:keepNext/>
              <w:spacing w:after="0"/>
              <w:jc w:val="left"/>
            </w:pPr>
            <w:r>
              <w:rPr>
                <w:sz w:val="18"/>
              </w:rPr>
              <w:t xml:space="preserve">K-Share 8 − split 8</w:t>
            </w:r>
          </w:p>
        </w:tc>
        <w:tc>
          <w:tcPr>
            <w:tcW w:type="dxa" w:w="2635"/>
          </w:tcPr>
          <w:p>
            <w:pPr>
              <w:pStyle w:val="Compact"/>
              <w:keepNext/>
              <w:spacing w:after="0"/>
              <w:jc w:val="left"/>
            </w:pPr>
            <w:r>
              <w:rPr>
                <w:sz w:val="18"/>
              </w:rPr>
              <w:t xml:space="preserve">+3.9%</w:t>
            </w:r>
          </w:p>
        </w:tc>
        <w:tc>
          <w:tcPr>
            <w:tcW w:type="dxa" w:w="2635"/>
          </w:tcPr>
          <w:p>
            <w:pPr>
              <w:pStyle w:val="Compact"/>
              <w:keepNext/>
              <w:spacing w:after="0"/>
              <w:jc w:val="left"/>
            </w:pPr>
            <w:r>
              <w:rPr>
                <w:sz w:val="18"/>
              </w:rPr>
              <w:t xml:space="preserve">+5.7 (+4.0 to +7.4)</w:t>
            </w:r>
          </w:p>
        </w:tc>
        <w:tc>
          <w:tcPr>
            <w:tcW w:type="dxa" w:w="1694"/>
          </w:tcPr>
          <w:p>
            <w:pPr>
              <w:pStyle w:val="Compact"/>
              <w:keepNext/>
              <w:spacing w:after="0"/>
              <w:jc w:val="left"/>
            </w:pPr>
            <w:r>
              <w:rPr>
                <w:sz w:val="18"/>
              </w:rPr>
              <w:t xml:space="preserve">&lt; 0.001</w:t>
            </w:r>
          </w:p>
        </w:tc>
      </w:tr>
      <w:tr>
        <w:trPr>
          <w:cantSplit/>
        </w:trPr>
        <w:tc>
          <w:tcPr>
            <w:tcW w:type="dxa" w:w="2448"/>
          </w:tcPr>
          <w:p>
            <w:pPr>
              <w:pStyle w:val="Compact"/>
              <w:keepNext/>
              <w:spacing w:after="0"/>
              <w:jc w:val="left"/>
            </w:pPr>
            <w:r>
              <w:rPr>
                <w:sz w:val="18"/>
              </w:rPr>
              <w:t xml:space="preserve">K-Share 16 − split 16</w:t>
            </w:r>
          </w:p>
        </w:tc>
        <w:tc>
          <w:tcPr>
            <w:tcW w:type="dxa" w:w="2635"/>
          </w:tcPr>
          <w:p>
            <w:pPr>
              <w:pStyle w:val="Compact"/>
              <w:keepNext/>
              <w:spacing w:after="0"/>
              <w:jc w:val="left"/>
            </w:pPr>
            <w:r>
              <w:rPr>
                <w:sz w:val="18"/>
              </w:rPr>
              <w:t xml:space="preserve">+7.9%</w:t>
            </w:r>
          </w:p>
        </w:tc>
        <w:tc>
          <w:tcPr>
            <w:tcW w:type="dxa" w:w="2635"/>
          </w:tcPr>
          <w:p>
            <w:pPr>
              <w:pStyle w:val="Compact"/>
              <w:keepNext/>
              <w:spacing w:after="0"/>
              <w:jc w:val="left"/>
            </w:pPr>
            <w:r>
              <w:rPr>
                <w:sz w:val="18"/>
              </w:rPr>
              <w:t xml:space="preserve">−0.4 (−1.6 to +0.7)</w:t>
            </w:r>
          </w:p>
        </w:tc>
        <w:tc>
          <w:tcPr>
            <w:tcW w:type="dxa" w:w="1694"/>
          </w:tcPr>
          <w:p>
            <w:pPr>
              <w:pStyle w:val="Compact"/>
              <w:keepNext/>
              <w:spacing w:after="0"/>
              <w:jc w:val="left"/>
            </w:pPr>
            <w:r>
              <w:rPr>
                <w:sz w:val="18"/>
              </w:rPr>
              <w:t xml:space="preserve">1.0</w:t>
            </w:r>
          </w:p>
        </w:tc>
      </w:tr>
      <w:tr>
        <w:trPr>
          <w:cantSplit/>
        </w:trPr>
        <w:tc>
          <w:tcPr>
            <w:tcW w:type="dxa" w:w="2448"/>
          </w:tcPr>
          <w:p>
            <w:pPr>
              <w:pStyle w:val="Compact"/>
              <w:keepNext/>
              <w:spacing w:after="0"/>
              <w:jc w:val="left"/>
            </w:pPr>
            <w:r>
              <w:rPr>
                <w:sz w:val="18"/>
              </w:rPr>
              <w:t xml:space="preserve">K-Share 4 − split 8</w:t>
            </w:r>
          </w:p>
        </w:tc>
        <w:tc>
          <w:tcPr>
            <w:tcW w:type="dxa" w:w="2635"/>
          </w:tcPr>
          <w:p>
            <w:pPr>
              <w:pStyle w:val="Compact"/>
              <w:keepNext/>
              <w:spacing w:after="0"/>
              <w:jc w:val="left"/>
            </w:pPr>
            <w:r>
              <w:rPr>
                <w:sz w:val="18"/>
              </w:rPr>
              <w:t xml:space="preserve">51% of split’s</w:t>
            </w:r>
          </w:p>
        </w:tc>
        <w:tc>
          <w:tcPr>
            <w:tcW w:type="dxa" w:w="2635"/>
          </w:tcPr>
          <w:p>
            <w:pPr>
              <w:pStyle w:val="Compact"/>
              <w:keepNext/>
              <w:spacing w:after="0"/>
              <w:jc w:val="left"/>
            </w:pPr>
            <w:r>
              <w:rPr>
                <w:sz w:val="18"/>
              </w:rPr>
              <w:t xml:space="preserve">+3.4 (+1.5 to +5.3)</w:t>
            </w:r>
          </w:p>
        </w:tc>
        <w:tc>
          <w:tcPr>
            <w:tcW w:type="dxa" w:w="1694"/>
          </w:tcPr>
          <w:p>
            <w:pPr>
              <w:pStyle w:val="Compact"/>
              <w:keepNext/>
              <w:spacing w:after="0"/>
              <w:jc w:val="left"/>
            </w:pPr>
            <w:r>
              <w:rPr>
                <w:sz w:val="18"/>
              </w:rPr>
              <w:t xml:space="preserve">&lt; 0.005 *</w:t>
            </w:r>
          </w:p>
        </w:tc>
      </w:tr>
      <w:tr>
        <w:trPr>
          <w:cantSplit/>
        </w:trPr>
        <w:tc>
          <w:tcPr>
            <w:tcW w:type="dxa" w:w="2448"/>
          </w:tcPr>
          <w:p>
            <w:pPr>
              <w:pStyle w:val="Compact"/>
              <w:keepNext/>
              <w:spacing w:after="0"/>
              <w:jc w:val="left"/>
            </w:pPr>
            <w:r>
              <w:rPr>
                <w:sz w:val="18"/>
              </w:rPr>
              <w:t xml:space="preserve">K-Share 8 − split 16</w:t>
            </w:r>
          </w:p>
        </w:tc>
        <w:tc>
          <w:tcPr>
            <w:tcW w:type="dxa" w:w="2635"/>
          </w:tcPr>
          <w:p>
            <w:pPr>
              <w:pStyle w:val="Compact"/>
              <w:keepNext/>
              <w:spacing w:after="0"/>
              <w:jc w:val="left"/>
            </w:pPr>
            <w:r>
              <w:rPr>
                <w:sz w:val="18"/>
              </w:rPr>
              <w:t xml:space="preserve">52% of split’s</w:t>
            </w:r>
          </w:p>
        </w:tc>
        <w:tc>
          <w:tcPr>
            <w:tcW w:type="dxa" w:w="2635"/>
          </w:tcPr>
          <w:p>
            <w:pPr>
              <w:pStyle w:val="Compact"/>
              <w:keepNext/>
              <w:spacing w:after="0"/>
              <w:jc w:val="left"/>
            </w:pPr>
            <w:r>
              <w:rPr>
                <w:sz w:val="18"/>
              </w:rPr>
              <w:t xml:space="preserve">−1.5 (−2.9 to −0.0)</w:t>
            </w:r>
          </w:p>
        </w:tc>
        <w:tc>
          <w:tcPr>
            <w:tcW w:type="dxa" w:w="1694"/>
          </w:tcPr>
          <w:p>
            <w:pPr>
              <w:pStyle w:val="Compact"/>
              <w:keepNext/>
              <w:spacing w:after="0"/>
              <w:jc w:val="left"/>
            </w:pPr>
            <w:r>
              <w:rPr>
                <w:sz w:val="18"/>
              </w:rPr>
              <w:t xml:space="preserve">0.08 *</w:t>
            </w:r>
          </w:p>
        </w:tc>
      </w:tr>
      <w:tr>
        <w:trPr>
          <w:cantSplit/>
        </w:trPr>
        <w:tc>
          <w:tcPr>
            <w:tcW w:type="dxa" w:w="2448"/>
          </w:tcPr>
          <w:p>
            <w:pPr>
              <w:pStyle w:val="Compact"/>
              <w:keepNext/>
              <w:spacing w:after="0"/>
              <w:jc w:val="left"/>
            </w:pPr>
            <w:r>
              <w:rPr>
                <w:sz w:val="18"/>
              </w:rPr>
              <w:t xml:space="preserve">K-Share 4 − RegMean 16</w:t>
            </w:r>
          </w:p>
        </w:tc>
        <w:tc>
          <w:tcPr>
            <w:tcW w:type="dxa" w:w="2635"/>
          </w:tcPr>
          <w:p>
            <w:pPr>
              <w:pStyle w:val="Compact"/>
              <w:keepNext/>
              <w:spacing w:after="0"/>
              <w:jc w:val="left"/>
            </w:pPr>
            <w:r>
              <w:rPr>
                <w:sz w:val="18"/>
              </w:rPr>
              <w:t xml:space="preserve">25% of RegMean’s</w:t>
            </w:r>
          </w:p>
        </w:tc>
        <w:tc>
          <w:tcPr>
            <w:tcW w:type="dxa" w:w="2635"/>
          </w:tcPr>
          <w:p>
            <w:pPr>
              <w:pStyle w:val="Compact"/>
              <w:keepNext/>
              <w:spacing w:after="0"/>
              <w:jc w:val="left"/>
            </w:pPr>
            <w:r>
              <w:rPr>
                <w:sz w:val="18"/>
              </w:rPr>
              <w:t xml:space="preserve">+2.5 (+1.0 to +3.9)</w:t>
            </w:r>
          </w:p>
        </w:tc>
        <w:tc>
          <w:tcPr>
            <w:tcW w:type="dxa" w:w="1694"/>
          </w:tcPr>
          <w:p>
            <w:pPr>
              <w:pStyle w:val="Compact"/>
              <w:keepNext/>
              <w:spacing w:after="0"/>
              <w:jc w:val="left"/>
            </w:pPr>
            <w:r>
              <w:rPr>
                <w:sz w:val="18"/>
              </w:rPr>
              <w:t xml:space="preserve">0.003 *</w:t>
            </w:r>
          </w:p>
        </w:tc>
      </w:tr>
      <w:tr>
        <w:trPr>
          <w:cantSplit/>
        </w:trPr>
        <w:tc>
          <w:tcPr>
            <w:tcW w:type="dxa" w:w="2448"/>
          </w:tcPr>
          <w:p>
            <w:pPr>
              <w:pStyle w:val="Compact"/>
              <w:spacing w:after="0"/>
              <w:jc w:val="left"/>
            </w:pPr>
            <w:r>
              <w:rPr>
                <w:sz w:val="18"/>
              </w:rPr>
              <w:t xml:space="preserve">K-Share 4 − K-Merge 16</w:t>
            </w:r>
          </w:p>
        </w:tc>
        <w:tc>
          <w:tcPr>
            <w:tcW w:type="dxa" w:w="2635"/>
          </w:tcPr>
          <w:p>
            <w:pPr>
              <w:pStyle w:val="Compact"/>
              <w:spacing w:after="0"/>
              <w:jc w:val="left"/>
            </w:pPr>
            <w:r>
              <w:rPr>
                <w:sz w:val="18"/>
              </w:rPr>
              <w:t xml:space="preserve">25% of K-Merge’s</w:t>
            </w:r>
          </w:p>
        </w:tc>
        <w:tc>
          <w:tcPr>
            <w:tcW w:type="dxa" w:w="2635"/>
          </w:tcPr>
          <w:p>
            <w:pPr>
              <w:pStyle w:val="Compact"/>
              <w:spacing w:after="0"/>
              <w:jc w:val="left"/>
            </w:pPr>
            <w:r>
              <w:rPr>
                <w:sz w:val="18"/>
              </w:rPr>
              <w:t xml:space="preserve">+6.0 (+4.1 to +7.8)</w:t>
            </w:r>
          </w:p>
        </w:tc>
        <w:tc>
          <w:tcPr>
            <w:tcW w:type="dxa" w:w="1694"/>
          </w:tcPr>
          <w:p>
            <w:pPr>
              <w:pStyle w:val="Compact"/>
              <w:spacing w:after="0"/>
              <w:jc w:val="left"/>
            </w:pPr>
            <w:r>
              <w:rPr>
                <w:sz w:val="18"/>
              </w:rPr>
              <w:t xml:space="preserve">&lt; 0.005 *</w:t>
            </w:r>
          </w:p>
        </w:tc>
      </w:tr>
    </w:tbl>
    <w:p>
      <w:pPr>
        <w:pStyle w:val="BodyText"/>
      </w:pPr>
      <w:r>
        <w:t xml:space="preserve">* Computed afterwards from the saved per-example results (same paired bootstrap, 2,000 draws), Holm-corrected over the 10 extra comparisons we ran.</w:t>
      </w:r>
    </w:p>
    <w:p>
      <w:pPr>
        <w:pStyle w:val="Compact"/>
        <w:numPr>
          <w:ilvl w:val="0"/>
          <w:numId w:val="1007"/>
        </w:numPr>
      </w:pPr>
      <w:r>
        <w:rPr>
          <w:b/>
          <w:bCs/>
        </w:rPr>
        <w:t xml:space="preserve">Weakest task.</w:t>
      </w:r>
      <w:r>
        <w:t xml:space="preserve"> </w:t>
      </w:r>
      <w:r>
        <w:t xml:space="preserve">At 8 directions K-Share’s weakest task kept 87.6% against K-Merge’s 64.8% (+22.8, 95% CI +11.5 to +32.6, Holm p &lt; 0.005). It was also above split’s 81.6%, but that gap is not significant after correction (p = 0.30). At 4 directions split’s weakest task (81.3%) was slightly above K-Share’s (79.2%), also not significant: split’s floor is the base model itself.</w:t>
      </w:r>
    </w:p>
    <w:p>
      <w:pPr>
        <w:pStyle w:val="Compact"/>
        <w:numPr>
          <w:ilvl w:val="0"/>
          <w:numId w:val="1007"/>
        </w:numPr>
      </w:pPr>
      <w:r>
        <w:rPr>
          <w:b/>
          <w:bCs/>
        </w:rPr>
        <w:t xml:space="preserve">Share of the learned gain kept</w:t>
      </w:r>
      <w:r>
        <w:t xml:space="preserve"> </w:t>
      </w:r>
      <w:r>
        <w:t xml:space="preserve">(4 / 8 / 16 directions): K-Share 79% / 87% / 91%, split 25% / 48% / 92%, K-Merge 49% / 51% / 53%.</w:t>
      </w:r>
    </w:p>
    <w:p>
      <w:pPr>
        <w:pStyle w:val="Compact"/>
        <w:numPr>
          <w:ilvl w:val="0"/>
          <w:numId w:val="1007"/>
        </w:numPr>
      </w:pPr>
      <w:r>
        <w:rPr>
          <w:b/>
          <w:bCs/>
        </w:rPr>
        <w:t xml:space="preserve">Regime map (your Insight 33).</w:t>
      </w:r>
      <w:r>
        <w:t xml:space="preserve"> </w:t>
      </w:r>
      <w:r>
        <w:t xml:space="preserve">While every task can have at least one direction, a plain split is enough. Once tasks outnumber directions, split collapses and K-Share degrades gracefully.</w:t>
      </w:r>
    </w:p>
    <w:p>
      <w:pPr>
        <w:pStyle w:val="Compact"/>
        <w:numPr>
          <w:ilvl w:val="0"/>
          <w:numId w:val="1007"/>
        </w:numPr>
      </w:pPr>
      <w:r>
        <w:rPr>
          <w:b/>
          <w:bCs/>
        </w:rPr>
        <w:t xml:space="preserve">Variants.</w:t>
      </w:r>
      <w:r>
        <w:t xml:space="preserve"> </w:t>
      </w:r>
      <w:r>
        <w:t xml:space="preserve">Adaptive allocation helped when crowded (90.7% vs split’s 87.1% at 4 directions) but lost at 16 (96.0% vs 98.2%). Activation-weighted variants stayed within 0.2 points of split on the main benchmark (none significant).</w:t>
      </w:r>
    </w:p>
    <w:p>
      <w:pPr>
        <w:pStyle w:val="FirstParagraph"/>
      </w:pPr>
      <w:r>
        <w:t xml:space="preserve">This test used one seed; seeds 1 and 2 are the first item in Section 14.</w:t>
      </w:r>
    </w:p>
    <w:bookmarkEnd w:id="47"/>
    <w:bookmarkStart w:id="51" w:name="X8a3d5458aee9a5a300f197ffeec40331befeeab"/>
    <w:p>
      <w:pPr>
        <w:pStyle w:val="Heading2"/>
      </w:pPr>
      <w:r>
        <w:t xml:space="preserve">8. Finding 5: layer-selective merging does not generalise</w:t>
      </w:r>
    </w:p>
    <w:p>
      <w:pPr>
        <w:pStyle w:val="FirstParagraph"/>
      </w:pPr>
      <w:r>
        <w:t xml:space="preserve">Keeping the stored adapter in conflicting layers, the idea behind Analysis 4, lost to plain K-Merge on both models, because the other language pays for the protected one.</w:t>
      </w:r>
    </w:p>
    <w:p>
      <w:pPr>
        <w:pStyle w:val="CaptionedFigure"/>
        <w:keepNext/>
        <w:jc w:val="center"/>
      </w:pPr>
      <w:r>
        <w:drawing>
          <wp:inline>
            <wp:extent cx="5969000" cy="2327910"/>
            <wp:effectExtent b="0" l="0" r="0" t="0"/>
            <wp:docPr descr="Layer-selective merge against plain K-Merge, average and weakest language, Qwen2.5-0.5B and 1.5B" title="" id="49" name="Picture"/>
            <a:graphic>
              <a:graphicData uri="http://schemas.openxmlformats.org/drawingml/2006/picture">
                <pic:pic>
                  <pic:nvPicPr>
                    <pic:cNvPr descr="charts/r7_layer_selective.png" id="50" name="Picture"/>
                    <pic:cNvPicPr>
                      <a:picLocks noChangeArrowheads="1" noChangeAspect="1"/>
                    </pic:cNvPicPr>
                  </pic:nvPicPr>
                  <pic:blipFill>
                    <a:blip r:embed="rId48"/>
                    <a:stretch>
                      <a:fillRect/>
                    </a:stretch>
                  </pic:blipFill>
                  <pic:spPr bwMode="auto">
                    <a:xfrm>
                      <a:off x="0" y="0"/>
                      <a:ext cx="5969000" cy="2327910"/>
                    </a:xfrm>
                    <a:prstGeom prst="rect">
                      <a:avLst/>
                    </a:prstGeom>
                    <a:noFill/>
                    <a:ln w="9525">
                      <a:noFill/>
                      <a:headEnd/>
                      <a:tailEnd/>
                    </a:ln>
                  </pic:spPr>
                </pic:pic>
              </a:graphicData>
            </a:graphic>
          </wp:inline>
        </w:drawing>
      </w:r>
    </w:p>
    <w:p>
      <w:pPr>
        <w:pStyle w:val="ImageCaption"/>
      </w:pPr>
      <w:r>
        <w:t xml:space="preserve">Layer-selective merge against plain K-Merge, average and weakest language, Qwen2.5-0.5B and 1.5B</w:t>
      </w:r>
    </w:p>
    <w:p>
      <w:pPr>
        <w:pStyle w:val="BodyText"/>
      </w:pPr>
      <w:r>
        <w:t xml:space="preserve">Analysis 4 (seed 0) measured French only: French recovered from 0.860 to 0.944 when layers 17–21 kept French’s weights. The lab version picks conflicting layers per pair (subspace overlap below a threshold chosen on validation data) and measures both languages over 6 pairs and 3 seeds.</w:t>
      </w:r>
    </w:p>
    <w:p>
      <w:pPr>
        <w:pStyle w:val="Compact"/>
        <w:numPr>
          <w:ilvl w:val="0"/>
          <w:numId w:val="1008"/>
        </w:numPr>
      </w:pPr>
      <w:r>
        <w:rPr>
          <w:b/>
          <w:bCs/>
        </w:rPr>
        <w:t xml:space="preserve">Average:</w:t>
      </w:r>
      <w:r>
        <w:t xml:space="preserve"> </w:t>
      </w:r>
      <w:r>
        <w:t xml:space="preserve">91.1% vs K-Merge’s 92.4% (0.5B) and 93.7% vs 98.9% (1.5B).</w:t>
      </w:r>
    </w:p>
    <w:p>
      <w:pPr>
        <w:pStyle w:val="Compact"/>
        <w:numPr>
          <w:ilvl w:val="0"/>
          <w:numId w:val="1008"/>
        </w:numPr>
      </w:pPr>
      <w:r>
        <w:rPr>
          <w:b/>
          <w:bCs/>
        </w:rPr>
        <w:t xml:space="preserve">Imbalance between the two languages:</w:t>
      </w:r>
      <w:r>
        <w:t xml:space="preserve"> </w:t>
      </w:r>
      <w:r>
        <w:t xml:space="preserve">rose from 0.083 to 0.153 (0.5B) and from 0.017 to 0.114 (1.5B). The worst pair, EN-HI on 1.5B, fell to 54%.</w:t>
      </w:r>
    </w:p>
    <w:p>
      <w:pPr>
        <w:pStyle w:val="Compact"/>
        <w:numPr>
          <w:ilvl w:val="0"/>
          <w:numId w:val="1008"/>
        </w:numPr>
      </w:pPr>
      <w:r>
        <w:rPr>
          <w:b/>
          <w:bCs/>
        </w:rPr>
        <w:t xml:space="preserve">Location moves.</w:t>
      </w:r>
      <w:r>
        <w:t xml:space="preserve"> </w:t>
      </w:r>
      <w:r>
        <w:t xml:space="preserve">Where conflict peaks changes with model and pair. With the lab’s 1.5B adapters (a different training setup from Analysis 4), the peak layer was 27 for DE-FR, 8 for EN-FR and 0 for EN-HI. On 0.5B (24 layers), three pairs peaked at layers 22–23, two at 18 and EN-DE at 0.</w:t>
      </w:r>
    </w:p>
    <w:p>
      <w:pPr>
        <w:pStyle w:val="FirstParagraph"/>
      </w:pPr>
      <w:r>
        <w:t xml:space="preserve">So layer analysis is a good diagnostic probe, as your RQ5 suggested, but not a merge rule.</w:t>
      </w:r>
    </w:p>
    <w:bookmarkEnd w:id="51"/>
    <w:bookmarkStart w:id="52" w:name="why-sharing-works-in-plain-words"/>
    <w:p>
      <w:pPr>
        <w:pStyle w:val="Heading2"/>
      </w:pPr>
      <w:r>
        <w:t xml:space="preserve">9. Why sharing works, in plain words</w:t>
      </w:r>
    </w:p>
    <w:p>
      <w:pPr>
        <w:pStyle w:val="FirstParagraph"/>
      </w:pPr>
      <w:r>
        <w:t xml:space="preserve">Adapters for different languages and task types point in almost unrelated directions, so averaging mostly shrinks each one, while sharing keeps each task’s strongest directions intact.</w:t>
      </w:r>
    </w:p>
    <w:p>
      <w:pPr>
        <w:pStyle w:val="Compact"/>
        <w:numPr>
          <w:ilvl w:val="0"/>
          <w:numId w:val="1009"/>
        </w:numPr>
      </w:pPr>
      <w:r>
        <w:rPr>
          <w:b/>
          <w:bCs/>
        </w:rPr>
        <w:t xml:space="preserve">Averaging dilutes.</w:t>
      </w:r>
      <w:r>
        <w:t xml:space="preserve"> </w:t>
      </w:r>
      <w:r>
        <w:t xml:space="preserve">Adapter updates for different tasks point in mostly unrelated directions (cosine mostly below 0.3, i.e. more than 70° apart). Averaging n of them leaves each task about 1/n of its own update, plus pieces of the others that act like noise.</w:t>
      </w:r>
    </w:p>
    <w:p>
      <w:pPr>
        <w:pStyle w:val="Compact"/>
        <w:numPr>
          <w:ilvl w:val="0"/>
          <w:numId w:val="1009"/>
        </w:numPr>
      </w:pPr>
      <w:r>
        <w:rPr>
          <w:b/>
          <w:bCs/>
        </w:rPr>
        <w:t xml:space="preserve">K-Merge’s factor averaging adds its own damage.</w:t>
      </w:r>
      <w:r>
        <w:t xml:space="preserve"> </w:t>
      </w:r>
      <w:r>
        <w:t xml:space="preserve">Eq. 8 averages A and B separately, which creates cross terms (B₁A₂ and B₂A₁) that no task learned. It scored below a plain average of the full updates (0.5B lab: 92.4% vs 94.1%; real data: 90.8% vs 91.8%).</w:t>
      </w:r>
    </w:p>
    <w:p>
      <w:pPr>
        <w:pStyle w:val="Compact"/>
        <w:numPr>
          <w:ilvl w:val="0"/>
          <w:numId w:val="1009"/>
        </w:numPr>
      </w:pPr>
      <w:r>
        <w:rPr>
          <w:b/>
          <w:bCs/>
        </w:rPr>
        <w:t xml:space="preserve">Sharing avoids both problems.</w:t>
      </w:r>
      <w:r>
        <w:t xml:space="preserve"> </w:t>
      </w:r>
      <w:r>
        <w:t xml:space="preserve">A slot’s R directions are like shelf space. Split gives each task its own shelf; because the device knows which task is asked, each task reads only its shelf: no dilution, no cross terms.</w:t>
      </w:r>
    </w:p>
    <w:p>
      <w:pPr>
        <w:pStyle w:val="Compact"/>
        <w:keepNext/>
        <w:numPr>
          <w:ilvl w:val="0"/>
          <w:numId w:val="1009"/>
        </w:numPr>
      </w:pPr>
      <w:r>
        <w:rPr>
          <w:b/>
          <w:bCs/>
        </w:rPr>
        <w:t xml:space="preserve">K-Share helps when shelves run out.</w:t>
      </w:r>
      <w:r>
        <w:t xml:space="preserve"> </w:t>
      </w:r>
      <w:r>
        <w:t xml:space="preserve">When tasks outnumber shelves, K-Share builds one set of shelves useful to all tasks and gives each task a small personal index (its core).</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565"/>
        <w:gridCol w:w="1694"/>
        <w:gridCol w:w="2447"/>
        <w:gridCol w:w="4706"/>
      </w:tblGrid>
      <w:tr>
        <w:trPr>
          <w:cantSplit/>
          <w:tblHeader w:val="true"/>
        </w:trPr>
        <w:tc>
          <w:tcPr>
            <w:tcW w:type="dxa" w:w="565"/>
            <w:shd w:val="clear" w:color="auto" w:fill="E4ECF1"/>
          </w:tcPr>
          <w:p>
            <w:pPr>
              <w:pStyle w:val="Compact"/>
              <w:keepNext/>
              <w:spacing w:after="0"/>
              <w:jc w:val="left"/>
            </w:pPr>
            <w:r>
              <w:rPr>
                <w:b/>
                <w:sz w:val="18"/>
              </w:rPr>
              <w:t xml:space="preserve">Code</w:t>
            </w:r>
          </w:p>
        </w:tc>
        <w:tc>
          <w:tcPr>
            <w:tcW w:type="dxa" w:w="1694"/>
            <w:shd w:val="clear" w:color="auto" w:fill="E4ECF1"/>
          </w:tcPr>
          <w:p>
            <w:pPr>
              <w:pStyle w:val="Compact"/>
              <w:keepNext/>
              <w:spacing w:after="0"/>
              <w:jc w:val="left"/>
            </w:pPr>
            <w:r>
              <w:rPr>
                <w:b/>
                <w:sz w:val="18"/>
              </w:rPr>
              <w:t xml:space="preserve">Failure mode</w:t>
            </w:r>
          </w:p>
        </w:tc>
        <w:tc>
          <w:tcPr>
            <w:tcW w:type="dxa" w:w="2447"/>
            <w:shd w:val="clear" w:color="auto" w:fill="E4ECF1"/>
          </w:tcPr>
          <w:p>
            <w:pPr>
              <w:pStyle w:val="Compact"/>
              <w:keepNext/>
              <w:spacing w:after="0"/>
              <w:jc w:val="left"/>
            </w:pPr>
            <w:r>
              <w:rPr>
                <w:b/>
                <w:sz w:val="18"/>
              </w:rPr>
              <w:t xml:space="preserve">What it looks like</w:t>
            </w:r>
          </w:p>
        </w:tc>
        <w:tc>
          <w:tcPr>
            <w:tcW w:type="dxa" w:w="4706"/>
            <w:shd w:val="clear" w:color="auto" w:fill="E4ECF1"/>
          </w:tcPr>
          <w:p>
            <w:pPr>
              <w:pStyle w:val="Compact"/>
              <w:keepNext/>
              <w:spacing w:after="0"/>
              <w:jc w:val="left"/>
            </w:pPr>
            <w:r>
              <w:rPr>
                <w:b/>
                <w:sz w:val="18"/>
              </w:rPr>
              <w:t xml:space="preserve">Evidence</w:t>
            </w:r>
          </w:p>
        </w:tc>
      </w:tr>
      <w:tr>
        <w:trPr>
          <w:cantSplit/>
        </w:trPr>
        <w:tc>
          <w:tcPr>
            <w:tcW w:type="dxa" w:w="565"/>
          </w:tcPr>
          <w:p>
            <w:pPr>
              <w:pStyle w:val="Compact"/>
              <w:keepNext/>
              <w:spacing w:after="0"/>
              <w:jc w:val="left"/>
            </w:pPr>
            <w:r>
              <w:rPr>
                <w:sz w:val="18"/>
              </w:rPr>
              <w:t xml:space="preserve">F1</w:t>
            </w:r>
          </w:p>
        </w:tc>
        <w:tc>
          <w:tcPr>
            <w:tcW w:type="dxa" w:w="1694"/>
          </w:tcPr>
          <w:p>
            <w:pPr>
              <w:pStyle w:val="Compact"/>
              <w:keepNext/>
              <w:spacing w:after="0"/>
              <w:jc w:val="left"/>
            </w:pPr>
            <w:r>
              <w:rPr>
                <w:sz w:val="18"/>
              </w:rPr>
              <w:t xml:space="preserve">Dilution</w:t>
            </w:r>
          </w:p>
        </w:tc>
        <w:tc>
          <w:tcPr>
            <w:tcW w:type="dxa" w:w="2447"/>
          </w:tcPr>
          <w:p>
            <w:pPr>
              <w:pStyle w:val="Compact"/>
              <w:keepNext/>
              <w:spacing w:after="0"/>
              <w:jc w:val="left"/>
            </w:pPr>
            <w:r>
              <w:rPr>
                <w:sz w:val="18"/>
              </w:rPr>
              <w:t xml:space="preserve">Output left unchanged</w:t>
            </w:r>
          </w:p>
        </w:tc>
        <w:tc>
          <w:tcPr>
            <w:tcW w:type="dxa" w:w="4706"/>
          </w:tcPr>
          <w:p>
            <w:pPr>
              <w:pStyle w:val="Compact"/>
              <w:keepNext/>
              <w:spacing w:after="0"/>
              <w:jc w:val="left"/>
            </w:pPr>
            <w:r>
              <w:rPr>
                <w:sz w:val="18"/>
              </w:rPr>
              <w:t xml:space="preserve">Copy rate 10.4% for K-Merge vs 1.6% for sharing (0.5B pairs); 25.8% for K-Merge vs 19.4% for the own adapter in a real four-grammar slot</w:t>
            </w:r>
          </w:p>
        </w:tc>
      </w:tr>
      <w:tr>
        <w:trPr>
          <w:cantSplit/>
        </w:trPr>
        <w:tc>
          <w:tcPr>
            <w:tcW w:type="dxa" w:w="565"/>
          </w:tcPr>
          <w:p>
            <w:pPr>
              <w:pStyle w:val="Compact"/>
              <w:keepNext/>
              <w:spacing w:after="0"/>
              <w:jc w:val="left"/>
            </w:pPr>
            <w:r>
              <w:rPr>
                <w:sz w:val="18"/>
              </w:rPr>
              <w:t xml:space="preserve">F2</w:t>
            </w:r>
          </w:p>
        </w:tc>
        <w:tc>
          <w:tcPr>
            <w:tcW w:type="dxa" w:w="1694"/>
          </w:tcPr>
          <w:p>
            <w:pPr>
              <w:pStyle w:val="Compact"/>
              <w:keepNext/>
              <w:spacing w:after="0"/>
              <w:jc w:val="left"/>
            </w:pPr>
            <w:r>
              <w:rPr>
                <w:sz w:val="18"/>
              </w:rPr>
              <w:t xml:space="preserve">Interference</w:t>
            </w:r>
          </w:p>
        </w:tc>
        <w:tc>
          <w:tcPr>
            <w:tcW w:type="dxa" w:w="2447"/>
          </w:tcPr>
          <w:p>
            <w:pPr>
              <w:pStyle w:val="Compact"/>
              <w:keepNext/>
              <w:spacing w:after="0"/>
              <w:jc w:val="left"/>
            </w:pPr>
            <w:r>
              <w:rPr>
                <w:sz w:val="18"/>
              </w:rPr>
              <w:t xml:space="preserve">Wrong edits, meaning changes</w:t>
            </w:r>
          </w:p>
        </w:tc>
        <w:tc>
          <w:tcPr>
            <w:tcW w:type="dxa" w:w="4706"/>
          </w:tcPr>
          <w:p>
            <w:pPr>
              <w:pStyle w:val="Compact"/>
              <w:keepNext/>
              <w:spacing w:after="0"/>
              <w:jc w:val="left"/>
            </w:pPr>
            <w:r>
              <w:rPr>
                <w:sz w:val="18"/>
              </w:rPr>
              <w:t xml:space="preserve">Real 11-task slot: fully correct 22.5% vs 34.6% for the own adapter</w:t>
            </w:r>
          </w:p>
        </w:tc>
      </w:tr>
      <w:tr>
        <w:trPr>
          <w:cantSplit/>
        </w:trPr>
        <w:tc>
          <w:tcPr>
            <w:tcW w:type="dxa" w:w="565"/>
          </w:tcPr>
          <w:p>
            <w:pPr>
              <w:pStyle w:val="Compact"/>
              <w:keepNext/>
              <w:spacing w:after="0"/>
              <w:jc w:val="left"/>
            </w:pPr>
            <w:r>
              <w:rPr>
                <w:sz w:val="18"/>
              </w:rPr>
              <w:t xml:space="preserve">F3</w:t>
            </w:r>
          </w:p>
        </w:tc>
        <w:tc>
          <w:tcPr>
            <w:tcW w:type="dxa" w:w="1694"/>
          </w:tcPr>
          <w:p>
            <w:pPr>
              <w:pStyle w:val="Compact"/>
              <w:keepNext/>
              <w:spacing w:after="0"/>
              <w:jc w:val="left"/>
            </w:pPr>
            <w:r>
              <w:rPr>
                <w:sz w:val="18"/>
              </w:rPr>
              <w:t xml:space="preserve">Truncation loss</w:t>
            </w:r>
          </w:p>
        </w:tc>
        <w:tc>
          <w:tcPr>
            <w:tcW w:type="dxa" w:w="2447"/>
          </w:tcPr>
          <w:p>
            <w:pPr>
              <w:pStyle w:val="Compact"/>
              <w:keepNext/>
              <w:spacing w:after="0"/>
              <w:jc w:val="left"/>
            </w:pPr>
            <w:r>
              <w:rPr>
                <w:sz w:val="18"/>
              </w:rPr>
              <w:t xml:space="preserve">Directions lost when a full-rank merge is cut back to rank R</w:t>
            </w:r>
          </w:p>
        </w:tc>
        <w:tc>
          <w:tcPr>
            <w:tcW w:type="dxa" w:w="4706"/>
          </w:tcPr>
          <w:p>
            <w:pPr>
              <w:pStyle w:val="Compact"/>
              <w:keepNext/>
              <w:spacing w:after="0"/>
              <w:jc w:val="left"/>
            </w:pPr>
            <w:r>
              <w:rPr>
                <w:sz w:val="18"/>
              </w:rPr>
              <w:t xml:space="preserve">DARE loses 57% of its merged update’s energy, TIES 21% (0.5B pairs)</w:t>
            </w:r>
          </w:p>
        </w:tc>
      </w:tr>
      <w:tr>
        <w:trPr>
          <w:cantSplit/>
        </w:trPr>
        <w:tc>
          <w:tcPr>
            <w:tcW w:type="dxa" w:w="565"/>
          </w:tcPr>
          <w:p>
            <w:pPr>
              <w:pStyle w:val="Compact"/>
              <w:keepNext/>
              <w:spacing w:after="0"/>
              <w:jc w:val="left"/>
            </w:pPr>
            <w:r>
              <w:rPr>
                <w:sz w:val="18"/>
              </w:rPr>
              <w:t xml:space="preserve">F4</w:t>
            </w:r>
          </w:p>
        </w:tc>
        <w:tc>
          <w:tcPr>
            <w:tcW w:type="dxa" w:w="1694"/>
          </w:tcPr>
          <w:p>
            <w:pPr>
              <w:pStyle w:val="Compact"/>
              <w:keepNext/>
              <w:spacing w:after="0"/>
              <w:jc w:val="left"/>
            </w:pPr>
            <w:r>
              <w:rPr>
                <w:sz w:val="18"/>
              </w:rPr>
              <w:t xml:space="preserve">One adapter dominates</w:t>
            </w:r>
          </w:p>
        </w:tc>
        <w:tc>
          <w:tcPr>
            <w:tcW w:type="dxa" w:w="2447"/>
          </w:tcPr>
          <w:p>
            <w:pPr>
              <w:pStyle w:val="Compact"/>
              <w:keepNext/>
              <w:spacing w:after="0"/>
              <w:jc w:val="left"/>
            </w:pPr>
            <w:r>
              <w:rPr>
                <w:sz w:val="18"/>
              </w:rPr>
              <w:t xml:space="preserve">The larger update wins</w:t>
            </w:r>
          </w:p>
        </w:tc>
        <w:tc>
          <w:tcPr>
            <w:tcW w:type="dxa" w:w="4706"/>
          </w:tcPr>
          <w:p>
            <w:pPr>
              <w:pStyle w:val="Compact"/>
              <w:keepNext/>
              <w:spacing w:after="0"/>
              <w:jc w:val="left"/>
            </w:pPr>
            <w:r>
              <w:rPr>
                <w:sz w:val="18"/>
              </w:rPr>
              <w:t xml:space="preserve">Mixed: Spearman +0.68 for K-Merge on 1.5B, −0.34 on 0.5B</w:t>
            </w:r>
          </w:p>
        </w:tc>
      </w:tr>
      <w:tr>
        <w:trPr>
          <w:cantSplit/>
        </w:trPr>
        <w:tc>
          <w:tcPr>
            <w:tcW w:type="dxa" w:w="565"/>
          </w:tcPr>
          <w:p>
            <w:pPr>
              <w:pStyle w:val="Compact"/>
              <w:keepNext/>
              <w:spacing w:after="0"/>
              <w:jc w:val="left"/>
            </w:pPr>
            <w:r>
              <w:rPr>
                <w:sz w:val="18"/>
              </w:rPr>
              <w:t xml:space="preserve">F5</w:t>
            </w:r>
          </w:p>
        </w:tc>
        <w:tc>
          <w:tcPr>
            <w:tcW w:type="dxa" w:w="1694"/>
          </w:tcPr>
          <w:p>
            <w:pPr>
              <w:pStyle w:val="Compact"/>
              <w:keepNext/>
              <w:spacing w:after="0"/>
              <w:jc w:val="left"/>
            </w:pPr>
            <w:r>
              <w:rPr>
                <w:sz w:val="18"/>
              </w:rPr>
              <w:t xml:space="preserve">Similarity is not compatibility</w:t>
            </w:r>
          </w:p>
        </w:tc>
        <w:tc>
          <w:tcPr>
            <w:tcW w:type="dxa" w:w="2447"/>
          </w:tcPr>
          <w:p>
            <w:pPr>
              <w:pStyle w:val="Compact"/>
              <w:keepNext/>
              <w:spacing w:after="0"/>
              <w:jc w:val="left"/>
            </w:pPr>
            <w:r>
              <w:rPr>
                <w:sz w:val="18"/>
              </w:rPr>
              <w:t xml:space="preserve">Similar pairs merge badly</w:t>
            </w:r>
          </w:p>
        </w:tc>
        <w:tc>
          <w:tcPr>
            <w:tcW w:type="dxa" w:w="4706"/>
          </w:tcPr>
          <w:p>
            <w:pPr>
              <w:pStyle w:val="Compact"/>
              <w:keepNext/>
              <w:spacing w:after="0"/>
              <w:jc w:val="left"/>
            </w:pPr>
            <w:r>
              <w:rPr>
                <w:sz w:val="18"/>
              </w:rPr>
              <w:t xml:space="preserve">Cosine’s link to damage flips sign; EN-HI; rank ablation</w:t>
            </w:r>
          </w:p>
        </w:tc>
      </w:tr>
      <w:tr>
        <w:trPr>
          <w:cantSplit/>
        </w:trPr>
        <w:tc>
          <w:tcPr>
            <w:tcW w:type="dxa" w:w="565"/>
          </w:tcPr>
          <w:p>
            <w:pPr>
              <w:pStyle w:val="Compact"/>
              <w:spacing w:after="0"/>
              <w:jc w:val="left"/>
            </w:pPr>
            <w:r>
              <w:rPr>
                <w:sz w:val="18"/>
              </w:rPr>
              <w:t xml:space="preserve">F6</w:t>
            </w:r>
          </w:p>
        </w:tc>
        <w:tc>
          <w:tcPr>
            <w:tcW w:type="dxa" w:w="1694"/>
          </w:tcPr>
          <w:p>
            <w:pPr>
              <w:pStyle w:val="Compact"/>
              <w:spacing w:after="0"/>
              <w:jc w:val="left"/>
            </w:pPr>
            <w:r>
              <w:rPr>
                <w:sz w:val="18"/>
              </w:rPr>
              <w:t xml:space="preserve">Weight-only signals mislead</w:t>
            </w:r>
          </w:p>
        </w:tc>
        <w:tc>
          <w:tcPr>
            <w:tcW w:type="dxa" w:w="2447"/>
          </w:tcPr>
          <w:p>
            <w:pPr>
              <w:pStyle w:val="Compact"/>
              <w:spacing w:after="0"/>
              <w:jc w:val="left"/>
            </w:pPr>
            <w:r>
              <w:rPr>
                <w:sz w:val="18"/>
              </w:rPr>
              <w:t xml:space="preserve">Statistics from LoRA weights reflect the random start</w:t>
            </w:r>
          </w:p>
        </w:tc>
        <w:tc>
          <w:tcPr>
            <w:tcW w:type="dxa" w:w="4706"/>
          </w:tcPr>
          <w:p>
            <w:pPr>
              <w:pStyle w:val="Compact"/>
              <w:spacing w:after="0"/>
              <w:jc w:val="left"/>
            </w:pPr>
            <w:r>
              <w:rPr>
                <w:sz w:val="18"/>
              </w:rPr>
              <w:t xml:space="preserve">Self-Gram merges: 4.8% (0.5B), 53.3% (1.5B)</w:t>
            </w:r>
          </w:p>
        </w:tc>
      </w:tr>
    </w:tbl>
    <w:bookmarkEnd w:id="52"/>
    <w:bookmarkStart w:id="53" w:name="what-is-new-and-what-is-not"/>
    <w:p>
      <w:pPr>
        <w:pStyle w:val="Heading2"/>
      </w:pPr>
      <w:r>
        <w:t xml:space="preserve">10. What is new and what is not</w:t>
      </w:r>
    </w:p>
    <w:p>
      <w:pPr>
        <w:pStyle w:val="FirstParagraph"/>
        <w:keepNext/>
      </w:pPr>
      <w:r>
        <w:t xml:space="preserve">The parts are known; the setting, the evidence and the diagnosis are, to our knowledge, new.</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3953"/>
        <w:gridCol w:w="2635"/>
        <w:gridCol w:w="2824"/>
      </w:tblGrid>
      <w:tr>
        <w:trPr>
          <w:cantSplit/>
          <w:tblHeader w:val="true"/>
        </w:trPr>
        <w:tc>
          <w:tcPr>
            <w:tcW w:type="dxa" w:w="3953"/>
            <w:shd w:val="clear" w:color="auto" w:fill="E4ECF1"/>
          </w:tcPr>
          <w:p>
            <w:pPr>
              <w:pStyle w:val="Compact"/>
              <w:spacing w:after="0"/>
              <w:jc w:val="left"/>
            </w:pPr>
            <w:r>
              <w:rPr>
                <w:b/>
                <w:sz w:val="18"/>
              </w:rPr>
              <w:t xml:space="preserve">Item</w:t>
            </w:r>
          </w:p>
        </w:tc>
        <w:tc>
          <w:tcPr>
            <w:tcW w:type="dxa" w:w="2635"/>
            <w:shd w:val="clear" w:color="auto" w:fill="E4ECF1"/>
          </w:tcPr>
          <w:p>
            <w:pPr>
              <w:pStyle w:val="Compact"/>
              <w:spacing w:after="0"/>
              <w:jc w:val="left"/>
            </w:pPr>
            <w:r>
              <w:rPr>
                <w:b/>
                <w:sz w:val="18"/>
              </w:rPr>
              <w:t xml:space="preserve">Status</w:t>
            </w:r>
          </w:p>
        </w:tc>
        <w:tc>
          <w:tcPr>
            <w:tcW w:type="dxa" w:w="2824"/>
            <w:shd w:val="clear" w:color="auto" w:fill="E4ECF1"/>
          </w:tcPr>
          <w:p>
            <w:pPr>
              <w:pStyle w:val="Compact"/>
              <w:spacing w:after="0"/>
              <w:jc w:val="left"/>
            </w:pPr>
            <w:r>
              <w:rPr>
                <w:b/>
                <w:sz w:val="18"/>
              </w:rPr>
              <w:t xml:space="preserve">Closest prior work</w:t>
            </w:r>
          </w:p>
        </w:tc>
      </w:tr>
      <w:tr>
        <w:trPr>
          <w:cantSplit/>
        </w:trPr>
        <w:tc>
          <w:tcPr>
            <w:tcW w:type="dxa" w:w="3953"/>
          </w:tcPr>
          <w:p>
            <w:pPr>
              <w:pStyle w:val="Compact"/>
              <w:spacing w:after="0"/>
              <w:jc w:val="left"/>
            </w:pPr>
            <w:r>
              <w:rPr>
                <w:sz w:val="18"/>
              </w:rPr>
              <w:t xml:space="preserve">Split: each task keeps its top directions</w:t>
            </w:r>
          </w:p>
        </w:tc>
        <w:tc>
          <w:tcPr>
            <w:tcW w:type="dxa" w:w="2635"/>
          </w:tcPr>
          <w:p>
            <w:pPr>
              <w:pStyle w:val="Compact"/>
              <w:spacing w:after="0"/>
              <w:jc w:val="left"/>
            </w:pPr>
            <w:r>
              <w:rPr>
                <w:sz w:val="18"/>
              </w:rPr>
              <w:t xml:space="preserve">Known</w:t>
            </w:r>
          </w:p>
        </w:tc>
        <w:tc>
          <w:tcPr>
            <w:tcW w:type="dxa" w:w="2824"/>
          </w:tcPr>
          <w:p>
            <w:pPr>
              <w:pStyle w:val="Compact"/>
              <w:spacing w:after="0"/>
              <w:jc w:val="left"/>
            </w:pPr>
            <w:r>
              <w:rPr>
                <w:sz w:val="18"/>
              </w:rPr>
              <w:t xml:space="preserve">TSV-C (Gargiulo et al., CVPR 2025); per-task pieces also in TALL masks and EMR-Merging</w:t>
            </w:r>
          </w:p>
        </w:tc>
      </w:tr>
      <w:tr>
        <w:trPr>
          <w:cantSplit/>
        </w:trPr>
        <w:tc>
          <w:tcPr>
            <w:tcW w:type="dxa" w:w="3953"/>
          </w:tcPr>
          <w:p>
            <w:pPr>
              <w:pStyle w:val="Compact"/>
              <w:spacing w:after="0"/>
              <w:jc w:val="left"/>
            </w:pPr>
            <w:r>
              <w:rPr>
                <w:sz w:val="18"/>
              </w:rPr>
              <w:t xml:space="preserve">K-Share: shared basis + small per-task core</w:t>
            </w:r>
          </w:p>
        </w:tc>
        <w:tc>
          <w:tcPr>
            <w:tcW w:type="dxa" w:w="2635"/>
          </w:tcPr>
          <w:p>
            <w:pPr>
              <w:pStyle w:val="Compact"/>
              <w:spacing w:after="0"/>
              <w:jc w:val="left"/>
            </w:pPr>
            <w:r>
              <w:rPr>
                <w:sz w:val="18"/>
              </w:rPr>
              <w:t xml:space="preserve">Known</w:t>
            </w:r>
          </w:p>
        </w:tc>
        <w:tc>
          <w:tcPr>
            <w:tcW w:type="dxa" w:w="2824"/>
          </w:tcPr>
          <w:p>
            <w:pPr>
              <w:pStyle w:val="Compact"/>
              <w:spacing w:after="0"/>
              <w:jc w:val="left"/>
            </w:pPr>
            <w:r>
              <w:rPr>
                <w:sz w:val="18"/>
              </w:rPr>
              <w:t xml:space="preserve">JD-Full in Compress then Serve (Brüel-Gabrielsson et al., ICML 2025)</w:t>
            </w:r>
          </w:p>
        </w:tc>
      </w:tr>
      <w:tr>
        <w:trPr>
          <w:cantSplit/>
        </w:trPr>
        <w:tc>
          <w:tcPr>
            <w:tcW w:type="dxa" w:w="3953"/>
          </w:tcPr>
          <w:p>
            <w:pPr>
              <w:pStyle w:val="Compact"/>
              <w:spacing w:after="0"/>
              <w:jc w:val="left"/>
            </w:pPr>
            <w:r>
              <w:rPr>
                <w:sz w:val="18"/>
              </w:rPr>
              <w:t xml:space="preserve">GRAM, our closed-form functional merge</w:t>
            </w:r>
          </w:p>
        </w:tc>
        <w:tc>
          <w:tcPr>
            <w:tcW w:type="dxa" w:w="2635"/>
          </w:tcPr>
          <w:p>
            <w:pPr>
              <w:pStyle w:val="Compact"/>
              <w:spacing w:after="0"/>
              <w:jc w:val="left"/>
            </w:pPr>
            <w:r>
              <w:rPr>
                <w:sz w:val="18"/>
              </w:rPr>
              <w:t xml:space="preserve">Same as RegMean on 0.5B (+0.01 points, p = 0.94); 0.2 points lower on 1.5B (p = 0.01, uncorrected)</w:t>
            </w:r>
          </w:p>
        </w:tc>
        <w:tc>
          <w:tcPr>
            <w:tcW w:type="dxa" w:w="2824"/>
          </w:tcPr>
          <w:p>
            <w:pPr>
              <w:pStyle w:val="Compact"/>
              <w:spacing w:after="0"/>
              <w:jc w:val="left"/>
            </w:pPr>
            <w:r>
              <w:rPr>
                <w:sz w:val="18"/>
              </w:rPr>
              <w:t xml:space="preserve">RegMean (Jin et al., ICLR 2023)</w:t>
            </w:r>
          </w:p>
        </w:tc>
      </w:tr>
      <w:tr>
        <w:trPr>
          <w:cantSplit/>
        </w:trPr>
        <w:tc>
          <w:tcPr>
            <w:tcW w:type="dxa" w:w="3953"/>
          </w:tcPr>
          <w:p>
            <w:pPr>
              <w:pStyle w:val="Compact"/>
              <w:spacing w:after="0"/>
              <w:jc w:val="left"/>
            </w:pPr>
            <w:r>
              <w:rPr>
                <w:sz w:val="18"/>
              </w:rPr>
              <w:t xml:space="preserve">GRAM-Select: partner choice by predicted distortion</w:t>
            </w:r>
          </w:p>
        </w:tc>
        <w:tc>
          <w:tcPr>
            <w:tcW w:type="dxa" w:w="2635"/>
          </w:tcPr>
          <w:p>
            <w:pPr>
              <w:pStyle w:val="Compact"/>
              <w:spacing w:after="0"/>
              <w:jc w:val="left"/>
            </w:pPr>
            <w:r>
              <w:rPr>
                <w:sz w:val="18"/>
              </w:rPr>
              <w:t xml:space="preserve">Tested; no better than choosing the most similar pair overall</w:t>
            </w:r>
          </w:p>
        </w:tc>
        <w:tc>
          <w:tcPr>
            <w:tcW w:type="dxa" w:w="2824"/>
          </w:tcPr>
          <w:p>
            <w:pPr>
              <w:pStyle w:val="Compact"/>
              <w:spacing w:after="0"/>
              <w:jc w:val="left"/>
            </w:pPr>
            <w:r>
              <w:rPr>
                <w:sz w:val="18"/>
              </w:rPr>
              <w:t xml:space="preserve">—</w:t>
            </w:r>
          </w:p>
        </w:tc>
      </w:tr>
      <w:tr>
        <w:trPr>
          <w:cantSplit/>
        </w:trPr>
        <w:tc>
          <w:tcPr>
            <w:tcW w:type="dxa" w:w="3953"/>
          </w:tcPr>
          <w:p>
            <w:pPr>
              <w:pStyle w:val="Compact"/>
              <w:spacing w:after="0"/>
              <w:jc w:val="left"/>
            </w:pPr>
            <w:r>
              <w:rPr>
                <w:sz w:val="18"/>
              </w:rPr>
              <w:t xml:space="preserve">Sharing beats every merge we tested in K-Merge’s continual setting on real multilingual tasks (split at exactly equal storage; real-data slots rebuilt from the original adapters, strictly online only in the synthetic lab)</w:t>
            </w:r>
          </w:p>
        </w:tc>
        <w:tc>
          <w:tcPr>
            <w:tcW w:type="dxa" w:w="2635"/>
          </w:tcPr>
          <w:p>
            <w:pPr>
              <w:pStyle w:val="Compact"/>
              <w:spacing w:after="0"/>
              <w:jc w:val="left"/>
            </w:pPr>
            <w:r>
              <w:rPr>
                <w:sz w:val="18"/>
              </w:rPr>
              <w:t xml:space="preserve">New to our knowledge</w:t>
            </w:r>
          </w:p>
        </w:tc>
        <w:tc>
          <w:tcPr>
            <w:tcW w:type="dxa" w:w="2824"/>
          </w:tcPr>
          <w:p>
            <w:pPr>
              <w:pStyle w:val="Compact"/>
              <w:spacing w:after="0"/>
              <w:jc w:val="left"/>
            </w:pPr>
            <w:r>
              <w:rPr>
                <w:sz w:val="18"/>
              </w:rPr>
              <w:t xml:space="preserve">K-Merge (Shenaj et al., ACL 2026) compares merges only</w:t>
            </w:r>
          </w:p>
        </w:tc>
      </w:tr>
      <w:tr>
        <w:trPr>
          <w:cantSplit/>
        </w:trPr>
        <w:tc>
          <w:tcPr>
            <w:tcW w:type="dxa" w:w="3953"/>
          </w:tcPr>
          <w:p>
            <w:pPr>
              <w:pStyle w:val="Compact"/>
              <w:spacing w:after="0"/>
              <w:jc w:val="left"/>
            </w:pPr>
            <w:r>
              <w:rPr>
                <w:sz w:val="18"/>
              </w:rPr>
              <w:t xml:space="preserve">Who-versus-how test (partner rule × slot rule, with an oracle)</w:t>
            </w:r>
          </w:p>
        </w:tc>
        <w:tc>
          <w:tcPr>
            <w:tcW w:type="dxa" w:w="2635"/>
          </w:tcPr>
          <w:p>
            <w:pPr>
              <w:pStyle w:val="Compact"/>
              <w:spacing w:after="0"/>
              <w:jc w:val="left"/>
            </w:pPr>
            <w:r>
              <w:rPr>
                <w:sz w:val="18"/>
              </w:rPr>
              <w:t xml:space="preserve">New to our knowledge</w:t>
            </w:r>
          </w:p>
        </w:tc>
        <w:tc>
          <w:tcPr>
            <w:tcW w:type="dxa" w:w="2824"/>
          </w:tcPr>
          <w:p>
            <w:pPr>
              <w:pStyle w:val="Compact"/>
              <w:spacing w:after="0"/>
              <w:jc w:val="left"/>
            </w:pPr>
            <w:r>
              <w:rPr>
                <w:sz w:val="18"/>
              </w:rPr>
              <w:t xml:space="preserve">Answers your Insight 3</w:t>
            </w:r>
          </w:p>
        </w:tc>
      </w:tr>
      <w:tr>
        <w:trPr>
          <w:cantSplit/>
        </w:trPr>
        <w:tc>
          <w:tcPr>
            <w:tcW w:type="dxa" w:w="3953"/>
          </w:tcPr>
          <w:p>
            <w:pPr>
              <w:pStyle w:val="Compact"/>
              <w:spacing w:after="0"/>
              <w:jc w:val="left"/>
            </w:pPr>
            <w:r>
              <w:rPr>
                <w:sz w:val="18"/>
              </w:rPr>
              <w:t xml:space="preserve">Crowding regime map (split collapses when tasks outnumber directions; K-Share does not)</w:t>
            </w:r>
          </w:p>
        </w:tc>
        <w:tc>
          <w:tcPr>
            <w:tcW w:type="dxa" w:w="2635"/>
          </w:tcPr>
          <w:p>
            <w:pPr>
              <w:pStyle w:val="Compact"/>
              <w:spacing w:after="0"/>
              <w:jc w:val="left"/>
            </w:pPr>
            <w:r>
              <w:rPr>
                <w:sz w:val="18"/>
              </w:rPr>
              <w:t xml:space="preserve">New to our knowledge; one seed so far</w:t>
            </w:r>
          </w:p>
        </w:tc>
        <w:tc>
          <w:tcPr>
            <w:tcW w:type="dxa" w:w="2824"/>
          </w:tcPr>
          <w:p>
            <w:pPr>
              <w:pStyle w:val="Compact"/>
              <w:spacing w:after="0"/>
              <w:jc w:val="left"/>
            </w:pPr>
            <w:r>
              <w:rPr>
                <w:sz w:val="18"/>
              </w:rPr>
              <w:t xml:space="preserve">—</w:t>
            </w:r>
          </w:p>
        </w:tc>
      </w:tr>
      <w:tr>
        <w:trPr>
          <w:cantSplit/>
        </w:trPr>
        <w:tc>
          <w:tcPr>
            <w:tcW w:type="dxa" w:w="3953"/>
          </w:tcPr>
          <w:p>
            <w:pPr>
              <w:pStyle w:val="Compact"/>
              <w:spacing w:after="0"/>
              <w:jc w:val="left"/>
            </w:pPr>
            <w:r>
              <w:rPr>
                <w:sz w:val="18"/>
              </w:rPr>
              <w:t xml:space="preserve">Diagnosis of K-Merge’s failure (factor averaging, unbalanced cosine slotting, dilution + interference measured)</w:t>
            </w:r>
          </w:p>
        </w:tc>
        <w:tc>
          <w:tcPr>
            <w:tcW w:type="dxa" w:w="2635"/>
          </w:tcPr>
          <w:p>
            <w:pPr>
              <w:pStyle w:val="Compact"/>
              <w:spacing w:after="0"/>
              <w:jc w:val="left"/>
            </w:pPr>
            <w:r>
              <w:rPr>
                <w:sz w:val="18"/>
              </w:rPr>
              <w:t xml:space="preserve">New to our knowledge</w:t>
            </w:r>
          </w:p>
        </w:tc>
        <w:tc>
          <w:tcPr>
            <w:tcW w:type="dxa" w:w="2824"/>
          </w:tcPr>
          <w:p>
            <w:pPr>
              <w:pStyle w:val="Compact"/>
              <w:spacing w:after="0"/>
              <w:jc w:val="left"/>
            </w:pPr>
            <w:r>
              <w:rPr>
                <w:sz w:val="18"/>
              </w:rPr>
              <w:t xml:space="preserve">—</w:t>
            </w:r>
          </w:p>
        </w:tc>
      </w:tr>
      <w:tr>
        <w:trPr>
          <w:cantSplit/>
        </w:trPr>
        <w:tc>
          <w:tcPr>
            <w:tcW w:type="dxa" w:w="3953"/>
          </w:tcPr>
          <w:p>
            <w:pPr>
              <w:pStyle w:val="Compact"/>
              <w:spacing w:after="0"/>
              <w:jc w:val="left"/>
            </w:pPr>
            <w:r>
              <w:rPr>
                <w:sz w:val="18"/>
              </w:rPr>
              <w:t xml:space="preserve">F6: weight-only statistics fail for LoRA merging</w:t>
            </w:r>
          </w:p>
        </w:tc>
        <w:tc>
          <w:tcPr>
            <w:tcW w:type="dxa" w:w="2635"/>
          </w:tcPr>
          <w:p>
            <w:pPr>
              <w:pStyle w:val="Compact"/>
              <w:spacing w:after="0"/>
              <w:jc w:val="left"/>
            </w:pPr>
            <w:r>
              <w:rPr>
                <w:sz w:val="18"/>
              </w:rPr>
              <w:t xml:space="preserve">Consistent with LoRA asymmetry (Zhu et al., ICML 2024); not reported for LoRA merging as far as we found</w:t>
            </w:r>
          </w:p>
        </w:tc>
        <w:tc>
          <w:tcPr>
            <w:tcW w:type="dxa" w:w="2824"/>
          </w:tcPr>
          <w:p>
            <w:pPr>
              <w:pStyle w:val="Compact"/>
              <w:spacing w:after="0"/>
              <w:jc w:val="left"/>
            </w:pPr>
            <w:r>
              <w:rPr>
                <w:sz w:val="18"/>
              </w:rPr>
              <w:t xml:space="preserve">WUDI (Cheng et al., ICML 2025)</w:t>
            </w:r>
          </w:p>
        </w:tc>
      </w:tr>
      <w:tr>
        <w:trPr>
          <w:cantSplit/>
        </w:trPr>
        <w:tc>
          <w:tcPr>
            <w:tcW w:type="dxa" w:w="3953"/>
          </w:tcPr>
          <w:p>
            <w:pPr>
              <w:pStyle w:val="Compact"/>
              <w:spacing w:after="0"/>
              <w:jc w:val="left"/>
            </w:pPr>
            <w:r>
              <w:rPr>
                <w:sz w:val="18"/>
              </w:rPr>
              <w:t xml:space="preserve">Our candidate methods: K-Share+ (shared + private directions), K-Share-fair, and strictly online sharing on real data (so far tested only in the synthetic lab)</w:t>
            </w:r>
          </w:p>
        </w:tc>
        <w:tc>
          <w:tcPr>
            <w:tcW w:type="dxa" w:w="2635"/>
          </w:tcPr>
          <w:p>
            <w:pPr>
              <w:pStyle w:val="Compact"/>
              <w:spacing w:after="0"/>
              <w:jc w:val="left"/>
            </w:pPr>
            <w:r>
              <w:rPr>
                <w:sz w:val="18"/>
              </w:rPr>
              <w:t xml:space="preserve">Designed; not yet run on GPU</w:t>
            </w:r>
          </w:p>
        </w:tc>
        <w:tc>
          <w:tcPr>
            <w:tcW w:type="dxa" w:w="2824"/>
          </w:tcPr>
          <w:p>
            <w:pPr>
              <w:pStyle w:val="Compact"/>
              <w:spacing w:after="0"/>
              <w:jc w:val="left"/>
            </w:pPr>
            <w:r>
              <w:rPr>
                <w:sz w:val="18"/>
              </w:rPr>
              <w:t xml:space="preserve">—</w:t>
            </w:r>
          </w:p>
        </w:tc>
      </w:tr>
    </w:tbl>
    <w:bookmarkEnd w:id="53"/>
    <w:bookmarkStart w:id="54" w:name="proof-how-the-numbers-were-tested"/>
    <w:p>
      <w:pPr>
        <w:pStyle w:val="Heading2"/>
      </w:pPr>
      <w:r>
        <w:t xml:space="preserve">11. Proof: how the numbers were tested</w:t>
      </w:r>
    </w:p>
    <w:p>
      <w:pPr>
        <w:pStyle w:val="FirstParagraph"/>
      </w:pPr>
      <w:r>
        <w:t xml:space="preserve">Every headline difference comes with a 95% confidence interval from a paired bootstrap; p-values are Holm-corrected unless marked otherwise.</w:t>
      </w:r>
    </w:p>
    <w:p>
      <w:pPr>
        <w:pStyle w:val="Compact"/>
        <w:numPr>
          <w:ilvl w:val="0"/>
          <w:numId w:val="1010"/>
        </w:numPr>
      </w:pPr>
      <w:r>
        <w:rPr>
          <w:b/>
          <w:bCs/>
        </w:rPr>
        <w:t xml:space="preserve">Same examples for every method.</w:t>
      </w:r>
      <w:r>
        <w:t xml:space="preserve"> </w:t>
      </w:r>
      <w:r>
        <w:t xml:space="preserve">Each bootstrap draw resamples test examples with replacement and re-scores every method on that same resample: 2,000 draws on real data, 4,000 on synthetic.</w:t>
      </w:r>
    </w:p>
    <w:p>
      <w:pPr>
        <w:pStyle w:val="Compact"/>
        <w:numPr>
          <w:ilvl w:val="0"/>
          <w:numId w:val="1010"/>
        </w:numPr>
      </w:pPr>
      <w:r>
        <w:rPr>
          <w:b/>
          <w:bCs/>
        </w:rPr>
        <w:t xml:space="preserve">Confidence intervals and p-values.</w:t>
      </w:r>
      <w:r>
        <w:t xml:space="preserve"> </w:t>
      </w:r>
      <w:r>
        <w:t xml:space="preserve">The 95% CI is the 2.5–97.5 percentile range. The two-sided p is twice the smaller tail. Holm’s correction is applied within each family of comparisons; the few uncorrected values are marked. Synthetic exact matches also get McNemar’s test.</w:t>
      </w:r>
    </w:p>
    <w:p>
      <w:pPr>
        <w:pStyle w:val="Compact"/>
        <w:numPr>
          <w:ilvl w:val="0"/>
          <w:numId w:val="1010"/>
        </w:numPr>
      </w:pPr>
      <w:r>
        <w:rPr>
          <w:b/>
          <w:bCs/>
        </w:rPr>
        <w:t xml:space="preserve">No tuning on test data.</w:t>
      </w:r>
      <w:r>
        <w:t xml:space="preserve"> </w:t>
      </w:r>
      <w:r>
        <w:t xml:space="preserve">Merge hyper-parameters were chosen on a separate validation split (synthetic).</w:t>
      </w:r>
    </w:p>
    <w:p>
      <w:pPr>
        <w:pStyle w:val="Compact"/>
        <w:numPr>
          <w:ilvl w:val="0"/>
          <w:numId w:val="1010"/>
        </w:numPr>
      </w:pPr>
      <w:r>
        <w:rPr>
          <w:b/>
          <w:bCs/>
        </w:rPr>
        <w:t xml:space="preserve">Only the slot rule differs.</w:t>
      </w:r>
      <w:r>
        <w:t xml:space="preserve"> </w:t>
      </w:r>
      <w:r>
        <w:t xml:space="preserve">On real data all methods share K-Merge’s own slot grouping.</w:t>
      </w:r>
    </w:p>
    <w:p>
      <w:pPr>
        <w:pStyle w:val="Compact"/>
        <w:numPr>
          <w:ilvl w:val="0"/>
          <w:numId w:val="1010"/>
        </w:numPr>
      </w:pPr>
      <w:r>
        <w:rPr>
          <w:b/>
          <w:bCs/>
        </w:rPr>
        <w:t xml:space="preserve">Sentence counts.</w:t>
      </w:r>
      <w:r>
        <w:t xml:space="preserve"> </w:t>
      </w:r>
      <w:r>
        <w:t xml:space="preserve">On 0.5B pairs, K-Share fixed 270 sentences that K-Merge got wrong and lost 21 (McNemar p &lt; 0.001).</w:t>
      </w:r>
    </w:p>
    <w:p>
      <w:pPr>
        <w:pStyle w:val="Compact"/>
        <w:numPr>
          <w:ilvl w:val="0"/>
          <w:numId w:val="1010"/>
        </w:numPr>
      </w:pPr>
      <w:r>
        <w:rPr>
          <w:b/>
          <w:bCs/>
        </w:rPr>
        <w:t xml:space="preserve">Repeats.</w:t>
      </w:r>
      <w:r>
        <w:t xml:space="preserve"> </w:t>
      </w:r>
      <w:r>
        <w:t xml:space="preserve">Synthetic: 3 seeds. Real: 2 seeds × 2 arrival orders. Stress: 1 seed.</w:t>
      </w:r>
    </w:p>
    <w:p>
      <w:pPr>
        <w:pStyle w:val="Compact"/>
        <w:numPr>
          <w:ilvl w:val="0"/>
          <w:numId w:val="1010"/>
        </w:numPr>
      </w:pPr>
      <w:r>
        <w:rPr>
          <w:b/>
          <w:bCs/>
        </w:rPr>
        <w:t xml:space="preserve">Reproducible.</w:t>
      </w:r>
      <w:r>
        <w:t xml:space="preserve"> </w:t>
      </w:r>
      <w:r>
        <w:t xml:space="preserve">Two Kaggle notebooks: kmerge-merge-lab-1 (version 4 for 0.5B, version 5 for 1.5B) and kmerge-real-benchmark (version 8, which holds the version 7 main run and the stress test). Every run saved its predictions, per-example scores and summary tables. I can share them on request.</w:t>
      </w:r>
    </w:p>
    <w:bookmarkEnd w:id="54"/>
    <w:bookmarkStart w:id="55" w:name="limits-and-corrections"/>
    <w:p>
      <w:pPr>
        <w:pStyle w:val="Heading2"/>
      </w:pPr>
      <w:r>
        <w:t xml:space="preserve">12. Limits and corrections</w:t>
      </w:r>
    </w:p>
    <w:p>
      <w:pPr>
        <w:pStyle w:val="FirstParagraph"/>
      </w:pPr>
      <w:r>
        <w:t xml:space="preserve">These limits bound what can be claimed today.</w:t>
      </w:r>
    </w:p>
    <w:p>
      <w:pPr>
        <w:pStyle w:val="Compact"/>
        <w:numPr>
          <w:ilvl w:val="0"/>
          <w:numId w:val="1011"/>
        </w:numPr>
      </w:pPr>
      <w:r>
        <w:rPr>
          <w:b/>
          <w:bCs/>
        </w:rPr>
        <w:t xml:space="preserve">Repeats:</w:t>
      </w:r>
      <w:r>
        <w:t xml:space="preserve"> </w:t>
      </w:r>
      <w:r>
        <w:t xml:space="preserve">the stress test has one seed and the real benchmark two.</w:t>
      </w:r>
    </w:p>
    <w:p>
      <w:pPr>
        <w:pStyle w:val="Compact"/>
        <w:numPr>
          <w:ilvl w:val="0"/>
          <w:numId w:val="1011"/>
        </w:numPr>
      </w:pPr>
      <w:r>
        <w:rPr>
          <w:b/>
          <w:bCs/>
        </w:rPr>
        <w:t xml:space="preserve">Models:</w:t>
      </w:r>
      <w:r>
        <w:t xml:space="preserve"> </w:t>
      </w:r>
      <w:r>
        <w:t xml:space="preserve">one model family (Qwen2.5), two sizes (0.5B and 1.5B). The K-Merge paper also used Llama-3.2-1B.</w:t>
      </w:r>
    </w:p>
    <w:p>
      <w:pPr>
        <w:pStyle w:val="Compact"/>
        <w:numPr>
          <w:ilvl w:val="0"/>
          <w:numId w:val="1011"/>
        </w:numPr>
      </w:pPr>
      <w:r>
        <w:rPr>
          <w:b/>
          <w:bCs/>
        </w:rPr>
        <w:t xml:space="preserve">Scale:</w:t>
      </w:r>
      <w:r>
        <w:t xml:space="preserve"> </w:t>
      </w:r>
      <w:r>
        <w:t xml:space="preserve">12 tasks, against 40 in the K-Merge paper.</w:t>
      </w:r>
    </w:p>
    <w:p>
      <w:pPr>
        <w:pStyle w:val="Compact"/>
        <w:numPr>
          <w:ilvl w:val="0"/>
          <w:numId w:val="1011"/>
        </w:numPr>
      </w:pPr>
      <w:r>
        <w:rPr>
          <w:b/>
          <w:bCs/>
        </w:rPr>
        <w:t xml:space="preserve">Data:</w:t>
      </w:r>
      <w:r>
        <w:t xml:space="preserve"> </w:t>
      </w:r>
      <w:r>
        <w:t xml:space="preserve">summarisation and QA in DE, ES and IT are machine-translated (OPUS-MT). Hindi appears only in the synthetic lab; we found no downloadable real Hindi grammar data.</w:t>
      </w:r>
    </w:p>
    <w:p>
      <w:pPr>
        <w:pStyle w:val="Compact"/>
        <w:numPr>
          <w:ilvl w:val="0"/>
          <w:numId w:val="1011"/>
        </w:numPr>
      </w:pPr>
      <w:r>
        <w:rPr>
          <w:b/>
          <w:bCs/>
        </w:rPr>
        <w:t xml:space="preserve">Metric:</w:t>
      </w:r>
      <w:r>
        <w:t xml:space="preserve"> </w:t>
      </w:r>
      <w:r>
        <w:t xml:space="preserve">the grammar metric is an edit-level F0.5 from word alignment, close to but not the same as ERRANT.</w:t>
      </w:r>
    </w:p>
    <w:p>
      <w:pPr>
        <w:pStyle w:val="Compact"/>
        <w:numPr>
          <w:ilvl w:val="0"/>
          <w:numId w:val="1011"/>
        </w:numPr>
      </w:pPr>
      <w:r>
        <w:rPr>
          <w:b/>
          <w:bCs/>
        </w:rPr>
        <w:t xml:space="preserve">Assumptions shared with K-Merge:</w:t>
      </w:r>
      <w:r>
        <w:t xml:space="preserve"> </w:t>
      </w:r>
      <w:r>
        <w:t xml:space="preserve">task identity is known at inference.</w:t>
      </w:r>
    </w:p>
    <w:p>
      <w:pPr>
        <w:pStyle w:val="Compact"/>
        <w:numPr>
          <w:ilvl w:val="0"/>
          <w:numId w:val="1011"/>
        </w:numPr>
      </w:pPr>
      <w:r>
        <w:rPr>
          <w:b/>
          <w:bCs/>
        </w:rPr>
        <w:t xml:space="preserve">Rebuild setting:</w:t>
      </w:r>
      <w:r>
        <w:t xml:space="preserve"> </w:t>
      </w:r>
      <w:r>
        <w:t xml:space="preserve">on real data, slots were built from the original adapters after all arrivals. Strictly online sharing (keeping only the compressed slot) was tested only in the synthetic lab.</w:t>
      </w:r>
    </w:p>
    <w:p>
      <w:pPr>
        <w:pStyle w:val="Compact"/>
        <w:numPr>
          <w:ilvl w:val="0"/>
          <w:numId w:val="1011"/>
        </w:numPr>
      </w:pPr>
      <w:r>
        <w:rPr>
          <w:b/>
          <w:bCs/>
        </w:rPr>
        <w:t xml:space="preserve">Storage correction.</w:t>
      </w:r>
      <w:r>
        <w:t xml:space="preserve"> </w:t>
      </w:r>
      <w:r>
        <w:t xml:space="preserve">Earlier notes put K-Share’s extra storage at</w:t>
      </w:r>
      <w:r>
        <w:t xml:space="preserve"> </w:t>
      </w:r>
      <w:r>
        <w:t xml:space="preserve">“</w:t>
      </w:r>
      <w:r>
        <w:t xml:space="preserve">about 1–3%</w:t>
      </w:r>
      <w:r>
        <w:t xml:space="preserve">”</w:t>
      </w:r>
      <w:r>
        <w:t xml:space="preserve">. That holds only at 4 directions (2.0%): it is 3.9% at 8 and 7.9% at 16. In the main benchmark the cores add 7.9% of total storage at K = 2, and 14.5% for the slot holding 11 tasks. Split has no overhead and already gives the main real-data result. A storage-exact K-Share was tested only on synthetic data (99.7%).</w:t>
      </w:r>
    </w:p>
    <w:p>
      <w:pPr>
        <w:pStyle w:val="Compact"/>
        <w:numPr>
          <w:ilvl w:val="0"/>
          <w:numId w:val="1011"/>
        </w:numPr>
      </w:pPr>
      <w:r>
        <w:rPr>
          <w:b/>
          <w:bCs/>
        </w:rPr>
        <w:t xml:space="preserve">Metric caveat:</w:t>
      </w:r>
      <w:r>
        <w:t xml:space="preserve"> </w:t>
      </w:r>
      <w:r>
        <w:t xml:space="preserve">normalised scores look high for every method because the base model alone reaches 79% of the adapters’ scores. Gain retained (Section 6) shows the gaps more fairly.</w:t>
      </w:r>
    </w:p>
    <w:p>
      <w:pPr>
        <w:pStyle w:val="Compact"/>
        <w:numPr>
          <w:ilvl w:val="0"/>
          <w:numId w:val="1011"/>
        </w:numPr>
      </w:pPr>
      <w:r>
        <w:rPr>
          <w:b/>
          <w:bCs/>
        </w:rPr>
        <w:t xml:space="preserve">Correction to the Phase 2 report:</w:t>
      </w:r>
      <w:r>
        <w:t xml:space="preserve"> </w:t>
      </w:r>
      <w:r>
        <w:t xml:space="preserve">its Priority 8 text says English lost in 2 of 3 EN-HI seeds; its own table shows a loss in 1 of 3 (seed 0: −0.028).</w:t>
      </w:r>
    </w:p>
    <w:p>
      <w:pPr>
        <w:pStyle w:val="Compact"/>
        <w:numPr>
          <w:ilvl w:val="0"/>
          <w:numId w:val="1011"/>
        </w:numPr>
      </w:pPr>
      <w:r>
        <w:rPr>
          <w:b/>
          <w:bCs/>
        </w:rPr>
        <w:t xml:space="preserve">Open checks:</w:t>
      </w:r>
      <w:r>
        <w:t xml:space="preserve"> </w:t>
      </w:r>
      <w:r>
        <w:t xml:space="preserve">the Phase 1 consistency items (your items 20–21: the seed-0 DE-EN rows and the per-seed similarities behind each selected pair) are not yet re-verified. These results are not yet in the shared Google Doc.</w:t>
      </w:r>
    </w:p>
    <w:bookmarkEnd w:id="55"/>
    <w:bookmarkStart w:id="56" w:name="your-research-questions-answers-so-far"/>
    <w:p>
      <w:pPr>
        <w:pStyle w:val="Heading2"/>
        <w:keepNext/>
      </w:pPr>
      <w:r>
        <w:t xml:space="preserve">13. Your research questions: answers so far</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2447"/>
        <w:gridCol w:w="3012"/>
        <w:gridCol w:w="3953"/>
      </w:tblGrid>
      <w:tr>
        <w:trPr>
          <w:cantSplit/>
          <w:tblHeader w:val="true"/>
        </w:trPr>
        <w:tc>
          <w:tcPr>
            <w:tcW w:type="dxa" w:w="2447"/>
            <w:shd w:val="clear" w:color="auto" w:fill="E4ECF1"/>
          </w:tcPr>
          <w:p>
            <w:pPr>
              <w:pStyle w:val="Compact"/>
              <w:keepNext/>
              <w:spacing w:after="0"/>
              <w:jc w:val="left"/>
            </w:pPr>
            <w:r>
              <w:rPr>
                <w:b/>
                <w:sz w:val="18"/>
              </w:rPr>
              <w:t xml:space="preserve">Question</w:t>
            </w:r>
          </w:p>
        </w:tc>
        <w:tc>
          <w:tcPr>
            <w:tcW w:type="dxa" w:w="3012"/>
            <w:shd w:val="clear" w:color="auto" w:fill="E4ECF1"/>
          </w:tcPr>
          <w:p>
            <w:pPr>
              <w:pStyle w:val="Compact"/>
              <w:keepNext/>
              <w:spacing w:after="0"/>
              <w:jc w:val="left"/>
            </w:pPr>
            <w:r>
              <w:rPr>
                <w:b/>
                <w:sz w:val="18"/>
              </w:rPr>
              <w:t xml:space="preserve">What we did</w:t>
            </w:r>
          </w:p>
        </w:tc>
        <w:tc>
          <w:tcPr>
            <w:tcW w:type="dxa" w:w="3953"/>
            <w:shd w:val="clear" w:color="auto" w:fill="E4ECF1"/>
          </w:tcPr>
          <w:p>
            <w:pPr>
              <w:pStyle w:val="Compact"/>
              <w:keepNext/>
              <w:spacing w:after="0"/>
              <w:jc w:val="left"/>
            </w:pPr>
            <w:r>
              <w:rPr>
                <w:b/>
                <w:sz w:val="18"/>
              </w:rPr>
              <w:t xml:space="preserve">Answer so far</w:t>
            </w:r>
          </w:p>
        </w:tc>
      </w:tr>
      <w:tr>
        <w:trPr>
          <w:cantSplit/>
        </w:trPr>
        <w:tc>
          <w:tcPr>
            <w:tcW w:type="dxa" w:w="2447"/>
          </w:tcPr>
          <w:p>
            <w:pPr>
              <w:pStyle w:val="Compact"/>
              <w:keepNext/>
              <w:spacing w:after="0"/>
              <w:jc w:val="left"/>
            </w:pPr>
            <w:r>
              <w:rPr>
                <w:sz w:val="18"/>
              </w:rPr>
              <w:t xml:space="preserve">RQ1 What makes two adapters mergeable?</w:t>
            </w:r>
          </w:p>
        </w:tc>
        <w:tc>
          <w:tcPr>
            <w:tcW w:type="dxa" w:w="3012"/>
          </w:tcPr>
          <w:p>
            <w:pPr>
              <w:pStyle w:val="Compact"/>
              <w:keepNext/>
              <w:spacing w:after="0"/>
              <w:jc w:val="left"/>
            </w:pPr>
            <w:r>
              <w:rPr>
                <w:sz w:val="18"/>
              </w:rPr>
              <w:t xml:space="preserve">Tested cosine, weight-only distortion, and distortion on generated and on real inputs against damage after merging</w:t>
            </w:r>
          </w:p>
        </w:tc>
        <w:tc>
          <w:tcPr>
            <w:tcW w:type="dxa" w:w="3953"/>
          </w:tcPr>
          <w:p>
            <w:pPr>
              <w:pStyle w:val="Compact"/>
              <w:keepNext/>
              <w:spacing w:after="0"/>
              <w:jc w:val="left"/>
            </w:pPr>
            <w:r>
              <w:rPr>
                <w:sz w:val="18"/>
              </w:rPr>
              <w:t xml:space="preserve">No score predicted K-Merge’s damage reliably; cosine flipped sign between models; distortion on inputs predicted best across methods (ρ 0.43–0.50)</w:t>
            </w:r>
          </w:p>
        </w:tc>
      </w:tr>
      <w:tr>
        <w:trPr>
          <w:cantSplit/>
        </w:trPr>
        <w:tc>
          <w:tcPr>
            <w:tcW w:type="dxa" w:w="2447"/>
          </w:tcPr>
          <w:p>
            <w:pPr>
              <w:pStyle w:val="Compact"/>
              <w:keepNext/>
              <w:spacing w:after="0"/>
              <w:jc w:val="left"/>
            </w:pPr>
            <w:r>
              <w:rPr>
                <w:sz w:val="18"/>
              </w:rPr>
              <w:t xml:space="preserve">RQ2 Does pairwise mergeability compose?</w:t>
            </w:r>
          </w:p>
        </w:tc>
        <w:tc>
          <w:tcPr>
            <w:tcW w:type="dxa" w:w="3012"/>
          </w:tcPr>
          <w:p>
            <w:pPr>
              <w:pStyle w:val="Compact"/>
              <w:keepNext/>
              <w:spacing w:after="0"/>
              <w:jc w:val="left"/>
            </w:pPr>
            <w:r>
              <w:rPr>
                <w:sz w:val="18"/>
              </w:rPr>
              <w:t xml:space="preserve">Every 2-, 3- and 4-language slot</w:t>
            </w:r>
          </w:p>
        </w:tc>
        <w:tc>
          <w:tcPr>
            <w:tcW w:type="dxa" w:w="3953"/>
          </w:tcPr>
          <w:p>
            <w:pPr>
              <w:pStyle w:val="Compact"/>
              <w:keepNext/>
              <w:spacing w:after="0"/>
              <w:jc w:val="left"/>
            </w:pPr>
            <w:r>
              <w:rPr>
                <w:sz w:val="18"/>
              </w:rPr>
              <w:t xml:space="preserve">Averaging degrades as tasks are added (0.5B weakest: 88.2% → 77.7% → 70.2%); split and K-Share stay near 97.5% or above</w:t>
            </w:r>
          </w:p>
        </w:tc>
      </w:tr>
      <w:tr>
        <w:trPr>
          <w:cantSplit/>
        </w:trPr>
        <w:tc>
          <w:tcPr>
            <w:tcW w:type="dxa" w:w="2447"/>
          </w:tcPr>
          <w:p>
            <w:pPr>
              <w:pStyle w:val="Compact"/>
              <w:keepNext/>
              <w:spacing w:after="0"/>
              <w:jc w:val="left"/>
            </w:pPr>
            <w:r>
              <w:rPr>
                <w:sz w:val="18"/>
              </w:rPr>
              <w:t xml:space="preserve">RQ3 How does merge history change things?</w:t>
            </w:r>
          </w:p>
        </w:tc>
        <w:tc>
          <w:tcPr>
            <w:tcW w:type="dxa" w:w="3012"/>
          </w:tcPr>
          <w:p>
            <w:pPr>
              <w:pStyle w:val="Compact"/>
              <w:keepNext/>
              <w:spacing w:after="0"/>
              <w:jc w:val="left"/>
            </w:pPr>
            <w:r>
              <w:rPr>
                <w:sz w:val="18"/>
              </w:rPr>
              <w:t xml:space="preserve">All 24 arrival orders, online</w:t>
            </w:r>
          </w:p>
        </w:tc>
        <w:tc>
          <w:tcPr>
            <w:tcW w:type="dxa" w:w="3953"/>
          </w:tcPr>
          <w:p>
            <w:pPr>
              <w:pStyle w:val="Compact"/>
              <w:keepNext/>
              <w:spacing w:after="0"/>
              <w:jc w:val="left"/>
            </w:pPr>
            <w:r>
              <w:rPr>
                <w:sz w:val="18"/>
              </w:rPr>
              <w:t xml:space="preserve">K-Merge depends on arrival order (spread 0.026); sharing almost removes it (0.004)</w:t>
            </w:r>
          </w:p>
        </w:tc>
      </w:tr>
      <w:tr>
        <w:trPr>
          <w:cantSplit/>
        </w:trPr>
        <w:tc>
          <w:tcPr>
            <w:tcW w:type="dxa" w:w="2447"/>
          </w:tcPr>
          <w:p>
            <w:pPr>
              <w:pStyle w:val="Compact"/>
              <w:keepNext/>
              <w:spacing w:after="0"/>
              <w:jc w:val="left"/>
            </w:pPr>
            <w:r>
              <w:rPr>
                <w:sz w:val="18"/>
              </w:rPr>
              <w:t xml:space="preserve">RQ4 Why does positive transfer occur?</w:t>
            </w:r>
          </w:p>
        </w:tc>
        <w:tc>
          <w:tcPr>
            <w:tcW w:type="dxa" w:w="3012"/>
          </w:tcPr>
          <w:p>
            <w:pPr>
              <w:pStyle w:val="Compact"/>
              <w:keepNext/>
              <w:spacing w:after="0"/>
              <w:jc w:val="left"/>
            </w:pPr>
            <w:r>
              <w:rPr>
                <w:sz w:val="18"/>
              </w:rPr>
              <w:t xml:space="preserve">Not tested directly; some tasks score above their own adapter (e.g. QA under sharing and RegMean)</w:t>
            </w:r>
          </w:p>
        </w:tc>
        <w:tc>
          <w:tcPr>
            <w:tcW w:type="dxa" w:w="3953"/>
          </w:tcPr>
          <w:p>
            <w:pPr>
              <w:pStyle w:val="Compact"/>
              <w:keepNext/>
              <w:spacing w:after="0"/>
              <w:jc w:val="left"/>
            </w:pPr>
            <w:r>
              <w:rPr>
                <w:sz w:val="18"/>
              </w:rPr>
              <w:t xml:space="preserve">Open</w:t>
            </w:r>
          </w:p>
        </w:tc>
      </w:tr>
      <w:tr>
        <w:trPr>
          <w:cantSplit/>
        </w:trPr>
        <w:tc>
          <w:tcPr>
            <w:tcW w:type="dxa" w:w="2447"/>
          </w:tcPr>
          <w:p>
            <w:pPr>
              <w:pStyle w:val="Compact"/>
              <w:keepNext/>
              <w:spacing w:after="0"/>
              <w:jc w:val="left"/>
            </w:pPr>
            <w:r>
              <w:rPr>
                <w:sz w:val="18"/>
              </w:rPr>
              <w:t xml:space="preserve">RQ5 Where does interference occur?</w:t>
            </w:r>
          </w:p>
        </w:tc>
        <w:tc>
          <w:tcPr>
            <w:tcW w:type="dxa" w:w="3012"/>
          </w:tcPr>
          <w:p>
            <w:pPr>
              <w:pStyle w:val="Compact"/>
              <w:keepNext/>
              <w:spacing w:after="0"/>
              <w:jc w:val="left"/>
            </w:pPr>
            <w:r>
              <w:rPr>
                <w:sz w:val="18"/>
              </w:rPr>
              <w:t xml:space="preserve">Per-layer functional conflict; layer-selective merge</w:t>
            </w:r>
          </w:p>
        </w:tc>
        <w:tc>
          <w:tcPr>
            <w:tcW w:type="dxa" w:w="3953"/>
          </w:tcPr>
          <w:p>
            <w:pPr>
              <w:pStyle w:val="Compact"/>
              <w:keepNext/>
              <w:spacing w:after="0"/>
              <w:jc w:val="left"/>
            </w:pPr>
            <w:r>
              <w:rPr>
                <w:sz w:val="18"/>
              </w:rPr>
              <w:t xml:space="preserve">Location varies with model and pair; skipping layers trades one task for another, so use it as a probe</w:t>
            </w:r>
          </w:p>
        </w:tc>
      </w:tr>
      <w:tr>
        <w:trPr>
          <w:cantSplit/>
        </w:trPr>
        <w:tc>
          <w:tcPr>
            <w:tcW w:type="dxa" w:w="2447"/>
          </w:tcPr>
          <w:p>
            <w:pPr>
              <w:pStyle w:val="Compact"/>
              <w:keepNext/>
              <w:spacing w:after="0"/>
              <w:jc w:val="left"/>
            </w:pPr>
            <w:r>
              <w:rPr>
                <w:sz w:val="18"/>
              </w:rPr>
              <w:t xml:space="preserve">RQ6 Is there a stable boundary?</w:t>
            </w:r>
          </w:p>
        </w:tc>
        <w:tc>
          <w:tcPr>
            <w:tcW w:type="dxa" w:w="3012"/>
          </w:tcPr>
          <w:p>
            <w:pPr>
              <w:pStyle w:val="Compact"/>
              <w:keepNext/>
              <w:spacing w:after="0"/>
              <w:jc w:val="left"/>
            </w:pPr>
            <w:r>
              <w:rPr>
                <w:sz w:val="18"/>
              </w:rPr>
              <w:t xml:space="preserve">Tasks per slot versus directions (capacity and stress tests)</w:t>
            </w:r>
          </w:p>
        </w:tc>
        <w:tc>
          <w:tcPr>
            <w:tcW w:type="dxa" w:w="3953"/>
          </w:tcPr>
          <w:p>
            <w:pPr>
              <w:pStyle w:val="Compact"/>
              <w:keepNext/>
              <w:spacing w:after="0"/>
              <w:jc w:val="left"/>
            </w:pPr>
            <w:r>
              <w:rPr>
                <w:sz w:val="18"/>
              </w:rPr>
              <w:t xml:space="preserve">Tentatively yes (one seed): split works while each task has at least one direction; beyond that K-Share degrades gracefully</w:t>
            </w:r>
          </w:p>
        </w:tc>
      </w:tr>
      <w:tr>
        <w:trPr>
          <w:cantSplit/>
        </w:trPr>
        <w:tc>
          <w:tcPr>
            <w:tcW w:type="dxa" w:w="2447"/>
          </w:tcPr>
          <w:p>
            <w:pPr>
              <w:pStyle w:val="Compact"/>
              <w:spacing w:after="0"/>
              <w:jc w:val="left"/>
            </w:pPr>
            <w:r>
              <w:rPr>
                <w:sz w:val="18"/>
              </w:rPr>
              <w:t xml:space="preserve">RQ7 What shapes cross-lingual geometry?</w:t>
            </w:r>
          </w:p>
        </w:tc>
        <w:tc>
          <w:tcPr>
            <w:tcW w:type="dxa" w:w="3012"/>
          </w:tcPr>
          <w:p>
            <w:pPr>
              <w:pStyle w:val="Compact"/>
              <w:spacing w:after="0"/>
              <w:jc w:val="left"/>
            </w:pPr>
            <w:r>
              <w:rPr>
                <w:sz w:val="18"/>
              </w:rPr>
              <w:t xml:space="preserve">EN/DE/FR/HI and EN/DE/ES/IT</w:t>
            </w:r>
          </w:p>
        </w:tc>
        <w:tc>
          <w:tcPr>
            <w:tcW w:type="dxa" w:w="3953"/>
          </w:tcPr>
          <w:p>
            <w:pPr>
              <w:pStyle w:val="Compact"/>
              <w:spacing w:after="0"/>
              <w:jc w:val="left"/>
            </w:pPr>
            <w:r>
              <w:rPr>
                <w:sz w:val="18"/>
              </w:rPr>
              <w:t xml:space="preserve">Cosine groups tasks by type more than by language (e.g. all four grammar adapters in one slot); deeper analysis open</w:t>
            </w:r>
          </w:p>
        </w:tc>
      </w:tr>
    </w:tbl>
    <w:bookmarkEnd w:id="56"/>
    <w:bookmarkStart w:id="57" w:name="what-is-left"/>
    <w:p>
      <w:pPr>
        <w:pStyle w:val="Heading2"/>
      </w:pPr>
      <w:r>
        <w:t xml:space="preserve">14. What is left</w:t>
      </w:r>
    </w:p>
    <w:p>
      <w:pPr>
        <w:pStyle w:val="FirstParagraph"/>
        <w:keepNext/>
      </w:pPr>
      <w:r>
        <w:t xml:space="preserve">About 17–19 GPU hours of work remain, which fits within one week of Kaggle’s free quota (30 hours).</w:t>
      </w:r>
    </w:p>
    <w:tbl>
      <w:tblPr>
        <w:tblStyle w:val="Table"/>
        <w:tblW w:type="dxa" w:w="9412"/>
        <w:jc w:val="star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top w:w="50" w:type="dxa"/>
          <w:left w:w="90" w:type="dxa"/>
          <w:bottom w:w="50" w:type="dxa"/>
          <w:right w:w="90" w:type="dxa"/>
        </w:tblCellMar>
        <w:tblLook w:firstRow="1" w:lastRow="0" w:firstColumn="0" w:lastColumn="0" w:noHBand="0" w:noVBand="0" w:val="0020"/>
      </w:tblPr>
      <w:tblGrid>
        <w:gridCol w:w="3012"/>
        <w:gridCol w:w="2635"/>
        <w:gridCol w:w="1129"/>
        <w:gridCol w:w="2636"/>
      </w:tblGrid>
      <w:tr>
        <w:trPr>
          <w:cantSplit/>
          <w:tblHeader w:val="true"/>
        </w:trPr>
        <w:tc>
          <w:tcPr>
            <w:tcW w:type="dxa" w:w="3012"/>
            <w:shd w:val="clear" w:color="auto" w:fill="E4ECF1"/>
          </w:tcPr>
          <w:p>
            <w:pPr>
              <w:pStyle w:val="Compact"/>
              <w:spacing w:after="0"/>
              <w:jc w:val="left"/>
            </w:pPr>
            <w:r>
              <w:rPr>
                <w:b/>
                <w:sz w:val="18"/>
              </w:rPr>
              <w:t xml:space="preserve">Item</w:t>
            </w:r>
          </w:p>
        </w:tc>
        <w:tc>
          <w:tcPr>
            <w:tcW w:type="dxa" w:w="2635"/>
            <w:shd w:val="clear" w:color="auto" w:fill="E4ECF1"/>
          </w:tcPr>
          <w:p>
            <w:pPr>
              <w:pStyle w:val="Compact"/>
              <w:spacing w:after="0"/>
              <w:jc w:val="left"/>
            </w:pPr>
            <w:r>
              <w:rPr>
                <w:b/>
                <w:sz w:val="18"/>
              </w:rPr>
              <w:t xml:space="preserve">Why it matters</w:t>
            </w:r>
          </w:p>
        </w:tc>
        <w:tc>
          <w:tcPr>
            <w:tcW w:type="dxa" w:w="1129"/>
            <w:shd w:val="clear" w:color="auto" w:fill="E4ECF1"/>
          </w:tcPr>
          <w:p>
            <w:pPr>
              <w:pStyle w:val="Compact"/>
              <w:spacing w:after="0"/>
              <w:jc w:val="left"/>
            </w:pPr>
            <w:r>
              <w:rPr>
                <w:b/>
                <w:sz w:val="18"/>
              </w:rPr>
              <w:t xml:space="preserve">GPU time</w:t>
            </w:r>
          </w:p>
        </w:tc>
        <w:tc>
          <w:tcPr>
            <w:tcW w:type="dxa" w:w="2636"/>
            <w:shd w:val="clear" w:color="auto" w:fill="E4ECF1"/>
          </w:tcPr>
          <w:p>
            <w:pPr>
              <w:pStyle w:val="Compact"/>
              <w:spacing w:after="0"/>
              <w:jc w:val="left"/>
            </w:pPr>
            <w:r>
              <w:rPr>
                <w:b/>
                <w:sz w:val="18"/>
              </w:rPr>
              <w:t xml:space="preserve">Status</w:t>
            </w:r>
          </w:p>
        </w:tc>
      </w:tr>
      <w:tr>
        <w:trPr>
          <w:cantSplit/>
        </w:trPr>
        <w:tc>
          <w:tcPr>
            <w:tcW w:type="dxa" w:w="3012"/>
          </w:tcPr>
          <w:p>
            <w:pPr>
              <w:pStyle w:val="Compact"/>
              <w:spacing w:after="0"/>
              <w:jc w:val="left"/>
            </w:pPr>
            <w:r>
              <w:rPr>
                <w:sz w:val="18"/>
              </w:rPr>
              <w:t xml:space="preserve">Stress test, seeds 1 and 2</w:t>
            </w:r>
          </w:p>
        </w:tc>
        <w:tc>
          <w:tcPr>
            <w:tcW w:type="dxa" w:w="2635"/>
          </w:tcPr>
          <w:p>
            <w:pPr>
              <w:pStyle w:val="Compact"/>
              <w:spacing w:after="0"/>
              <w:jc w:val="left"/>
            </w:pPr>
            <w:r>
              <w:rPr>
                <w:sz w:val="18"/>
              </w:rPr>
              <w:t xml:space="preserve">The crowding result has one seed</w:t>
            </w:r>
          </w:p>
        </w:tc>
        <w:tc>
          <w:tcPr>
            <w:tcW w:type="dxa" w:w="1129"/>
          </w:tcPr>
          <w:p>
            <w:pPr>
              <w:pStyle w:val="Compact"/>
              <w:spacing w:after="0"/>
              <w:jc w:val="left"/>
            </w:pPr>
            <w:r>
              <w:rPr>
                <w:sz w:val="18"/>
              </w:rPr>
              <w:t xml:space="preserve">~2.5 h each</w:t>
            </w:r>
          </w:p>
        </w:tc>
        <w:tc>
          <w:tcPr>
            <w:tcW w:type="dxa" w:w="2636"/>
          </w:tcPr>
          <w:p>
            <w:pPr>
              <w:pStyle w:val="Compact"/>
              <w:spacing w:after="0"/>
              <w:jc w:val="left"/>
            </w:pPr>
            <w:r>
              <w:rPr>
                <w:sz w:val="18"/>
              </w:rPr>
              <w:t xml:space="preserve">Ready to run</w:t>
            </w:r>
          </w:p>
        </w:tc>
      </w:tr>
      <w:tr>
        <w:trPr>
          <w:cantSplit/>
        </w:trPr>
        <w:tc>
          <w:tcPr>
            <w:tcW w:type="dxa" w:w="3012"/>
          </w:tcPr>
          <w:p>
            <w:pPr>
              <w:pStyle w:val="Compact"/>
              <w:spacing w:after="0"/>
              <w:jc w:val="left"/>
            </w:pPr>
            <w:r>
              <w:rPr>
                <w:sz w:val="18"/>
              </w:rPr>
              <w:t xml:space="preserve">Real benchmark, seed 2</w:t>
            </w:r>
          </w:p>
        </w:tc>
        <w:tc>
          <w:tcPr>
            <w:tcW w:type="dxa" w:w="2635"/>
          </w:tcPr>
          <w:p>
            <w:pPr>
              <w:pStyle w:val="Compact"/>
              <w:spacing w:after="0"/>
              <w:jc w:val="left"/>
            </w:pPr>
            <w:r>
              <w:rPr>
                <w:sz w:val="18"/>
              </w:rPr>
              <w:t xml:space="preserve">Third seed for the main claims</w:t>
            </w:r>
          </w:p>
        </w:tc>
        <w:tc>
          <w:tcPr>
            <w:tcW w:type="dxa" w:w="1129"/>
          </w:tcPr>
          <w:p>
            <w:pPr>
              <w:pStyle w:val="Compact"/>
              <w:spacing w:after="0"/>
              <w:jc w:val="left"/>
            </w:pPr>
            <w:r>
              <w:rPr>
                <w:sz w:val="18"/>
              </w:rPr>
              <w:t xml:space="preserve">~4.5 h</w:t>
            </w:r>
          </w:p>
        </w:tc>
        <w:tc>
          <w:tcPr>
            <w:tcW w:type="dxa" w:w="2636"/>
          </w:tcPr>
          <w:p>
            <w:pPr>
              <w:pStyle w:val="Compact"/>
              <w:spacing w:after="0"/>
              <w:jc w:val="left"/>
            </w:pPr>
            <w:r>
              <w:rPr>
                <w:sz w:val="18"/>
              </w:rPr>
              <w:t xml:space="preserve">Ready to run</w:t>
            </w:r>
          </w:p>
        </w:tc>
      </w:tr>
      <w:tr>
        <w:trPr>
          <w:cantSplit/>
        </w:trPr>
        <w:tc>
          <w:tcPr>
            <w:tcW w:type="dxa" w:w="3012"/>
          </w:tcPr>
          <w:p>
            <w:pPr>
              <w:pStyle w:val="Compact"/>
              <w:spacing w:after="0"/>
              <w:jc w:val="left"/>
            </w:pPr>
            <w:r>
              <w:rPr>
                <w:sz w:val="18"/>
              </w:rPr>
              <w:t xml:space="preserve">Pilot of our candidate methods</w:t>
            </w:r>
          </w:p>
        </w:tc>
        <w:tc>
          <w:tcPr>
            <w:tcW w:type="dxa" w:w="2635"/>
          </w:tcPr>
          <w:p>
            <w:pPr>
              <w:pStyle w:val="Compact"/>
              <w:spacing w:after="0"/>
              <w:jc w:val="left"/>
            </w:pPr>
            <w:r>
              <w:rPr>
                <w:sz w:val="18"/>
              </w:rPr>
              <w:t xml:space="preserve">The part that could become our own method</w:t>
            </w:r>
          </w:p>
        </w:tc>
        <w:tc>
          <w:tcPr>
            <w:tcW w:type="dxa" w:w="1129"/>
          </w:tcPr>
          <w:p>
            <w:pPr>
              <w:pStyle w:val="Compact"/>
              <w:spacing w:after="0"/>
              <w:jc w:val="left"/>
            </w:pPr>
            <w:r>
              <w:rPr>
                <w:sz w:val="18"/>
              </w:rPr>
              <w:t xml:space="preserve">~1 h</w:t>
            </w:r>
          </w:p>
        </w:tc>
        <w:tc>
          <w:tcPr>
            <w:tcW w:type="dxa" w:w="2636"/>
          </w:tcPr>
          <w:p>
            <w:pPr>
              <w:pStyle w:val="Compact"/>
              <w:spacing w:after="0"/>
              <w:jc w:val="left"/>
            </w:pPr>
            <w:r>
              <w:rPr>
                <w:sz w:val="18"/>
              </w:rPr>
              <w:t xml:space="preserve">Designed; implementation and CPU tests in progress</w:t>
            </w:r>
          </w:p>
        </w:tc>
      </w:tr>
      <w:tr>
        <w:trPr>
          <w:cantSplit/>
        </w:trPr>
        <w:tc>
          <w:tcPr>
            <w:tcW w:type="dxa" w:w="3012"/>
          </w:tcPr>
          <w:p>
            <w:pPr>
              <w:pStyle w:val="Compact"/>
              <w:spacing w:after="0"/>
              <w:jc w:val="left"/>
            </w:pPr>
            <w:r>
              <w:rPr>
                <w:sz w:val="18"/>
              </w:rPr>
              <w:t xml:space="preserve">Storage-exact K-Share on real data</w:t>
            </w:r>
          </w:p>
        </w:tc>
        <w:tc>
          <w:tcPr>
            <w:tcW w:type="dxa" w:w="2635"/>
          </w:tcPr>
          <w:p>
            <w:pPr>
              <w:pStyle w:val="Compact"/>
              <w:spacing w:after="0"/>
              <w:jc w:val="left"/>
            </w:pPr>
            <w:r>
              <w:rPr>
                <w:sz w:val="18"/>
              </w:rPr>
              <w:t xml:space="preserve">Equal-storage proof for K-Share</w:t>
            </w:r>
          </w:p>
        </w:tc>
        <w:tc>
          <w:tcPr>
            <w:tcW w:type="dxa" w:w="1129"/>
          </w:tcPr>
          <w:p>
            <w:pPr>
              <w:pStyle w:val="Compact"/>
              <w:spacing w:after="0"/>
              <w:jc w:val="left"/>
            </w:pPr>
            <w:r>
              <w:rPr>
                <w:sz w:val="18"/>
              </w:rPr>
              <w:t xml:space="preserve">&lt; 1 h</w:t>
            </w:r>
          </w:p>
        </w:tc>
        <w:tc>
          <w:tcPr>
            <w:tcW w:type="dxa" w:w="2636"/>
          </w:tcPr>
          <w:p>
            <w:pPr>
              <w:pStyle w:val="Compact"/>
              <w:spacing w:after="0"/>
              <w:jc w:val="left"/>
            </w:pPr>
            <w:r>
              <w:rPr>
                <w:sz w:val="18"/>
              </w:rPr>
              <w:t xml:space="preserve">Small change</w:t>
            </w:r>
          </w:p>
        </w:tc>
      </w:tr>
      <w:tr>
        <w:trPr>
          <w:cantSplit/>
        </w:trPr>
        <w:tc>
          <w:tcPr>
            <w:tcW w:type="dxa" w:w="3012"/>
          </w:tcPr>
          <w:p>
            <w:pPr>
              <w:pStyle w:val="Compact"/>
              <w:spacing w:after="0"/>
              <w:jc w:val="left"/>
            </w:pPr>
            <w:r>
              <w:rPr>
                <w:sz w:val="18"/>
              </w:rPr>
              <w:t xml:space="preserve">Second model family (Llama-3.2-1B, K-Merge’s other model)</w:t>
            </w:r>
          </w:p>
        </w:tc>
        <w:tc>
          <w:tcPr>
            <w:tcW w:type="dxa" w:w="2635"/>
          </w:tcPr>
          <w:p>
            <w:pPr>
              <w:pStyle w:val="Compact"/>
              <w:spacing w:after="0"/>
              <w:jc w:val="left"/>
            </w:pPr>
            <w:r>
              <w:rPr>
                <w:sz w:val="18"/>
              </w:rPr>
              <w:t xml:space="preserve">Generality beyond Qwen</w:t>
            </w:r>
          </w:p>
        </w:tc>
        <w:tc>
          <w:tcPr>
            <w:tcW w:type="dxa" w:w="1129"/>
          </w:tcPr>
          <w:p>
            <w:pPr>
              <w:pStyle w:val="Compact"/>
              <w:spacing w:after="0"/>
              <w:jc w:val="left"/>
            </w:pPr>
            <w:r>
              <w:rPr>
                <w:sz w:val="18"/>
              </w:rPr>
              <w:t xml:space="preserve">~5 h</w:t>
            </w:r>
          </w:p>
        </w:tc>
        <w:tc>
          <w:tcPr>
            <w:tcW w:type="dxa" w:w="2636"/>
          </w:tcPr>
          <w:p>
            <w:pPr>
              <w:pStyle w:val="Compact"/>
              <w:spacing w:after="0"/>
              <w:jc w:val="left"/>
            </w:pPr>
            <w:r>
              <w:rPr>
                <w:sz w:val="18"/>
              </w:rPr>
              <w:t xml:space="preserve">Small code change</w:t>
            </w:r>
          </w:p>
        </w:tc>
      </w:tr>
      <w:tr>
        <w:trPr>
          <w:cantSplit/>
        </w:trPr>
        <w:tc>
          <w:tcPr>
            <w:tcW w:type="dxa" w:w="3012"/>
          </w:tcPr>
          <w:p>
            <w:pPr>
              <w:pStyle w:val="Compact"/>
              <w:spacing w:after="0"/>
              <w:jc w:val="left"/>
            </w:pPr>
            <w:r>
              <w:rPr>
                <w:sz w:val="18"/>
              </w:rPr>
              <w:t xml:space="preserve">KnOTS baseline on real data</w:t>
            </w:r>
          </w:p>
        </w:tc>
        <w:tc>
          <w:tcPr>
            <w:tcW w:type="dxa" w:w="2635"/>
          </w:tcPr>
          <w:p>
            <w:pPr>
              <w:pStyle w:val="Compact"/>
              <w:spacing w:after="0"/>
              <w:jc w:val="left"/>
            </w:pPr>
            <w:r>
              <w:rPr>
                <w:sz w:val="18"/>
              </w:rPr>
              <w:t xml:space="preserve">Reviewers will ask</w:t>
            </w:r>
          </w:p>
        </w:tc>
        <w:tc>
          <w:tcPr>
            <w:tcW w:type="dxa" w:w="1129"/>
          </w:tcPr>
          <w:p>
            <w:pPr>
              <w:pStyle w:val="Compact"/>
              <w:spacing w:after="0"/>
              <w:jc w:val="left"/>
            </w:pPr>
            <w:r>
              <w:rPr>
                <w:sz w:val="18"/>
              </w:rPr>
              <w:t xml:space="preserve">&lt; 1 h</w:t>
            </w:r>
          </w:p>
        </w:tc>
        <w:tc>
          <w:tcPr>
            <w:tcW w:type="dxa" w:w="2636"/>
          </w:tcPr>
          <w:p>
            <w:pPr>
              <w:pStyle w:val="Compact"/>
              <w:spacing w:after="0"/>
              <w:jc w:val="left"/>
            </w:pPr>
            <w:r>
              <w:rPr>
                <w:sz w:val="18"/>
              </w:rPr>
              <w:t xml:space="preserve">Code exists in the lab</w:t>
            </w:r>
          </w:p>
        </w:tc>
      </w:tr>
      <w:tr>
        <w:trPr>
          <w:cantSplit/>
        </w:trPr>
        <w:tc>
          <w:tcPr>
            <w:tcW w:type="dxa" w:w="3012"/>
          </w:tcPr>
          <w:p>
            <w:pPr>
              <w:pStyle w:val="Compact"/>
              <w:spacing w:after="0"/>
              <w:jc w:val="left"/>
            </w:pPr>
            <w:r>
              <w:rPr>
                <w:sz w:val="18"/>
              </w:rPr>
              <w:t xml:space="preserve">Analysis 4 on 3 seeds</w:t>
            </w:r>
          </w:p>
        </w:tc>
        <w:tc>
          <w:tcPr>
            <w:tcW w:type="dxa" w:w="2635"/>
          </w:tcPr>
          <w:p>
            <w:pPr>
              <w:pStyle w:val="Compact"/>
              <w:spacing w:after="0"/>
              <w:jc w:val="left"/>
            </w:pPr>
            <w:r>
              <w:rPr>
                <w:sz w:val="18"/>
              </w:rPr>
              <w:t xml:space="preserve">Closes the Phase 2 item</w:t>
            </w:r>
          </w:p>
        </w:tc>
        <w:tc>
          <w:tcPr>
            <w:tcW w:type="dxa" w:w="1129"/>
          </w:tcPr>
          <w:p>
            <w:pPr>
              <w:pStyle w:val="Compact"/>
              <w:spacing w:after="0"/>
              <w:jc w:val="left"/>
            </w:pPr>
            <w:r>
              <w:rPr>
                <w:sz w:val="18"/>
              </w:rPr>
              <w:t xml:space="preserve">~1 h</w:t>
            </w:r>
          </w:p>
        </w:tc>
        <w:tc>
          <w:tcPr>
            <w:tcW w:type="dxa" w:w="2636"/>
          </w:tcPr>
          <w:p>
            <w:pPr>
              <w:pStyle w:val="Compact"/>
              <w:spacing w:after="0"/>
              <w:jc w:val="left"/>
            </w:pPr>
            <w:r>
              <w:rPr>
                <w:sz w:val="18"/>
              </w:rPr>
              <w:t xml:space="preserve">Not started</w:t>
            </w:r>
          </w:p>
        </w:tc>
      </w:tr>
      <w:tr>
        <w:trPr>
          <w:cantSplit/>
        </w:trPr>
        <w:tc>
          <w:tcPr>
            <w:tcW w:type="dxa" w:w="3012"/>
          </w:tcPr>
          <w:p>
            <w:pPr>
              <w:pStyle w:val="Compact"/>
              <w:spacing w:after="0"/>
              <w:jc w:val="left"/>
            </w:pPr>
            <w:r>
              <w:rPr>
                <w:sz w:val="18"/>
              </w:rPr>
              <w:t xml:space="preserve">On-device cost (rebuild time, memory)</w:t>
            </w:r>
          </w:p>
        </w:tc>
        <w:tc>
          <w:tcPr>
            <w:tcW w:type="dxa" w:w="2635"/>
          </w:tcPr>
          <w:p>
            <w:pPr>
              <w:pStyle w:val="Compact"/>
              <w:spacing w:after="0"/>
              <w:jc w:val="left"/>
            </w:pPr>
            <w:r>
              <w:rPr>
                <w:sz w:val="18"/>
              </w:rPr>
              <w:t xml:space="preserve">Supports the on-device claim</w:t>
            </w:r>
          </w:p>
        </w:tc>
        <w:tc>
          <w:tcPr>
            <w:tcW w:type="dxa" w:w="1129"/>
          </w:tcPr>
          <w:p>
            <w:pPr>
              <w:pStyle w:val="Compact"/>
              <w:spacing w:after="0"/>
              <w:jc w:val="left"/>
            </w:pPr>
            <w:r>
              <w:rPr>
                <w:sz w:val="18"/>
              </w:rPr>
              <w:t xml:space="preserve">CPU / phone</w:t>
            </w:r>
          </w:p>
        </w:tc>
        <w:tc>
          <w:tcPr>
            <w:tcW w:type="dxa" w:w="2636"/>
          </w:tcPr>
          <w:p>
            <w:pPr>
              <w:pStyle w:val="Compact"/>
              <w:spacing w:after="0"/>
              <w:jc w:val="left"/>
            </w:pPr>
            <w:r>
              <w:rPr>
                <w:sz w:val="18"/>
              </w:rPr>
              <w:t xml:space="preserve">Not started</w:t>
            </w:r>
          </w:p>
        </w:tc>
      </w:tr>
      <w:tr>
        <w:trPr>
          <w:cantSplit/>
        </w:trPr>
        <w:tc>
          <w:tcPr>
            <w:tcW w:type="dxa" w:w="3012"/>
          </w:tcPr>
          <w:p>
            <w:pPr>
              <w:pStyle w:val="Compact"/>
              <w:spacing w:after="0"/>
              <w:jc w:val="left"/>
            </w:pPr>
            <w:r>
              <w:rPr>
                <w:sz w:val="18"/>
              </w:rPr>
              <w:t xml:space="preserve">Real Hindi grammar data</w:t>
            </w:r>
          </w:p>
        </w:tc>
        <w:tc>
          <w:tcPr>
            <w:tcW w:type="dxa" w:w="2635"/>
          </w:tcPr>
          <w:p>
            <w:pPr>
              <w:pStyle w:val="Compact"/>
              <w:spacing w:after="0"/>
              <w:jc w:val="left"/>
            </w:pPr>
            <w:r>
              <w:rPr>
                <w:sz w:val="18"/>
              </w:rPr>
              <w:t xml:space="preserve">Hindi on real data</w:t>
            </w:r>
          </w:p>
        </w:tc>
        <w:tc>
          <w:tcPr>
            <w:tcW w:type="dxa" w:w="1129"/>
          </w:tcPr>
          <w:p>
            <w:pPr>
              <w:pStyle w:val="Compact"/>
              <w:spacing w:after="0"/>
              <w:jc w:val="left"/>
            </w:pPr>
            <w:r>
              <w:rPr>
                <w:sz w:val="18"/>
              </w:rPr>
              <w:t xml:space="preserve">—</w:t>
            </w:r>
          </w:p>
        </w:tc>
        <w:tc>
          <w:tcPr>
            <w:tcW w:type="dxa" w:w="2636"/>
          </w:tcPr>
          <w:p>
            <w:pPr>
              <w:pStyle w:val="Compact"/>
              <w:spacing w:after="0"/>
              <w:jc w:val="left"/>
            </w:pPr>
            <w:r>
              <w:rPr>
                <w:sz w:val="18"/>
              </w:rPr>
              <w:t xml:space="preserve">Need data from the authors of a Hindi corpus</w:t>
            </w:r>
          </w:p>
        </w:tc>
      </w:tr>
      <w:tr>
        <w:trPr>
          <w:cantSplit/>
        </w:trPr>
        <w:tc>
          <w:tcPr>
            <w:tcW w:type="dxa" w:w="3012"/>
          </w:tcPr>
          <w:p>
            <w:pPr>
              <w:pStyle w:val="Compact"/>
              <w:spacing w:after="0"/>
              <w:jc w:val="left"/>
            </w:pPr>
            <w:r>
              <w:rPr>
                <w:sz w:val="18"/>
              </w:rPr>
              <w:t xml:space="preserve">Phase 1 consistency checks</w:t>
            </w:r>
          </w:p>
        </w:tc>
        <w:tc>
          <w:tcPr>
            <w:tcW w:type="dxa" w:w="2635"/>
          </w:tcPr>
          <w:p>
            <w:pPr>
              <w:pStyle w:val="Compact"/>
              <w:spacing w:after="0"/>
              <w:jc w:val="left"/>
            </w:pPr>
            <w:r>
              <w:rPr>
                <w:sz w:val="18"/>
              </w:rPr>
              <w:t xml:space="preserve">Your items 20–21</w:t>
            </w:r>
          </w:p>
        </w:tc>
        <w:tc>
          <w:tcPr>
            <w:tcW w:type="dxa" w:w="1129"/>
          </w:tcPr>
          <w:p>
            <w:pPr>
              <w:pStyle w:val="Compact"/>
              <w:spacing w:after="0"/>
              <w:jc w:val="left"/>
            </w:pPr>
            <w:r>
              <w:rPr>
                <w:sz w:val="18"/>
              </w:rPr>
              <w:t xml:space="preserve">CPU</w:t>
            </w:r>
          </w:p>
        </w:tc>
        <w:tc>
          <w:tcPr>
            <w:tcW w:type="dxa" w:w="2636"/>
          </w:tcPr>
          <w:p>
            <w:pPr>
              <w:pStyle w:val="Compact"/>
              <w:spacing w:after="0"/>
              <w:jc w:val="left"/>
            </w:pPr>
            <w:r>
              <w:rPr>
                <w:sz w:val="18"/>
              </w:rPr>
              <w:t xml:space="preserve">Not started</w:t>
            </w:r>
          </w:p>
        </w:tc>
      </w:tr>
      <w:tr>
        <w:trPr>
          <w:cantSplit/>
        </w:trPr>
        <w:tc>
          <w:tcPr>
            <w:tcW w:type="dxa" w:w="3012"/>
          </w:tcPr>
          <w:p>
            <w:pPr>
              <w:pStyle w:val="Compact"/>
              <w:spacing w:after="0"/>
              <w:jc w:val="left"/>
            </w:pPr>
            <w:r>
              <w:rPr>
                <w:sz w:val="18"/>
              </w:rPr>
              <w:t xml:space="preserve">Add results to the shared Google Doc</w:t>
            </w:r>
          </w:p>
        </w:tc>
        <w:tc>
          <w:tcPr>
            <w:tcW w:type="dxa" w:w="2635"/>
          </w:tcPr>
          <w:p>
            <w:pPr>
              <w:pStyle w:val="Compact"/>
              <w:spacing w:after="0"/>
              <w:jc w:val="left"/>
            </w:pPr>
            <w:r>
              <w:rPr>
                <w:sz w:val="18"/>
              </w:rPr>
              <w:t xml:space="preserve">Your request</w:t>
            </w:r>
          </w:p>
        </w:tc>
        <w:tc>
          <w:tcPr>
            <w:tcW w:type="dxa" w:w="1129"/>
          </w:tcPr>
          <w:p>
            <w:pPr>
              <w:pStyle w:val="Compact"/>
              <w:spacing w:after="0"/>
              <w:jc w:val="left"/>
            </w:pPr>
            <w:r>
              <w:rPr>
                <w:sz w:val="18"/>
              </w:rPr>
              <w:t xml:space="preserve">—</w:t>
            </w:r>
          </w:p>
        </w:tc>
        <w:tc>
          <w:tcPr>
            <w:tcW w:type="dxa" w:w="2636"/>
          </w:tcPr>
          <w:p>
            <w:pPr>
              <w:pStyle w:val="Compact"/>
              <w:spacing w:after="0"/>
              <w:jc w:val="left"/>
            </w:pPr>
            <w:r>
              <w:rPr>
                <w:sz w:val="18"/>
              </w:rPr>
              <w:t xml:space="preserve">Need edit access</w:t>
            </w:r>
          </w:p>
        </w:tc>
      </w:tr>
      <w:tr>
        <w:trPr>
          <w:cantSplit/>
        </w:trPr>
        <w:tc>
          <w:tcPr>
            <w:tcW w:type="dxa" w:w="3012"/>
          </w:tcPr>
          <w:p>
            <w:pPr>
              <w:pStyle w:val="Compact"/>
              <w:spacing w:after="0"/>
              <w:jc w:val="left"/>
            </w:pPr>
            <w:r>
              <w:rPr>
                <w:sz w:val="18"/>
              </w:rPr>
              <w:t xml:space="preserve">Paper draft</w:t>
            </w:r>
          </w:p>
        </w:tc>
        <w:tc>
          <w:tcPr>
            <w:tcW w:type="dxa" w:w="2635"/>
          </w:tcPr>
          <w:p>
            <w:pPr>
              <w:pStyle w:val="Compact"/>
              <w:spacing w:after="0"/>
              <w:jc w:val="left"/>
            </w:pPr>
            <w:r>
              <w:rPr>
                <w:sz w:val="18"/>
              </w:rPr>
              <w:t xml:space="preserve">—</w:t>
            </w:r>
          </w:p>
        </w:tc>
        <w:tc>
          <w:tcPr>
            <w:tcW w:type="dxa" w:w="1129"/>
          </w:tcPr>
          <w:p>
            <w:pPr>
              <w:pStyle w:val="Compact"/>
              <w:spacing w:after="0"/>
              <w:jc w:val="left"/>
            </w:pPr>
            <w:r>
              <w:rPr>
                <w:sz w:val="18"/>
              </w:rPr>
              <w:t xml:space="preserve">—</w:t>
            </w:r>
          </w:p>
        </w:tc>
        <w:tc>
          <w:tcPr>
            <w:tcW w:type="dxa" w:w="2636"/>
          </w:tcPr>
          <w:p>
            <w:pPr>
              <w:pStyle w:val="Compact"/>
              <w:spacing w:after="0"/>
              <w:jc w:val="left"/>
            </w:pPr>
            <w:r>
              <w:rPr>
                <w:sz w:val="18"/>
              </w:rPr>
              <w:t xml:space="preserve">After the first four items</w:t>
            </w:r>
          </w:p>
        </w:tc>
      </w:tr>
    </w:tbl>
    <w:bookmarkEnd w:id="57"/>
    <w:bookmarkStart w:id="58" w:name="next-steps-and-new-study-directions"/>
    <w:p>
      <w:pPr>
        <w:pStyle w:val="Heading2"/>
      </w:pPr>
      <w:r>
        <w:t xml:space="preserve">15. Next steps and new study directions</w:t>
      </w:r>
    </w:p>
    <w:p>
      <w:pPr>
        <w:pStyle w:val="FirstParagraph"/>
      </w:pPr>
      <w:r>
        <w:t xml:space="preserve">The next four weeks close the evidence gaps; the five directions below could each become a study of its own.</w:t>
      </w:r>
    </w:p>
    <w:p>
      <w:pPr>
        <w:pStyle w:val="BodyText"/>
      </w:pPr>
      <w:r>
        <w:rPr>
          <w:b/>
          <w:bCs/>
        </w:rPr>
        <w:t xml:space="preserve">Plan</w:t>
      </w:r>
    </w:p>
    <w:p>
      <w:pPr>
        <w:pStyle w:val="Compact"/>
        <w:numPr>
          <w:ilvl w:val="0"/>
          <w:numId w:val="1012"/>
        </w:numPr>
      </w:pPr>
      <w:r>
        <w:t xml:space="preserve">Week 1 (after the GPU quota resets): stress seeds 1–2, real seed 2, the candidate-method pilot, storage-exact K-Share.</w:t>
      </w:r>
    </w:p>
    <w:p>
      <w:pPr>
        <w:pStyle w:val="Compact"/>
        <w:numPr>
          <w:ilvl w:val="0"/>
          <w:numId w:val="1012"/>
        </w:numPr>
      </w:pPr>
      <w:r>
        <w:t xml:space="preserve">Week 2: Llama-3.2-1B run, KnOTS baseline, Analysis 4 on 3 seeds.</w:t>
      </w:r>
    </w:p>
    <w:p>
      <w:pPr>
        <w:pStyle w:val="Compact"/>
        <w:numPr>
          <w:ilvl w:val="0"/>
          <w:numId w:val="1012"/>
        </w:numPr>
      </w:pPr>
      <w:r>
        <w:t xml:space="preserve">Weeks 3–4: on-device timing, paper draft, results into the shared Google Doc.</w:t>
      </w:r>
    </w:p>
    <w:p>
      <w:pPr>
        <w:pStyle w:val="FirstParagraph"/>
      </w:pPr>
      <w:r>
        <w:rPr>
          <w:b/>
          <w:bCs/>
        </w:rPr>
        <w:t xml:space="preserve">New study directions</w:t>
      </w:r>
    </w:p>
    <w:p>
      <w:pPr>
        <w:pStyle w:val="Compact"/>
        <w:numPr>
          <w:ilvl w:val="0"/>
          <w:numId w:val="1013"/>
        </w:numPr>
      </w:pPr>
      <w:r>
        <w:rPr>
          <w:b/>
          <w:bCs/>
        </w:rPr>
        <w:t xml:space="preserve">A. How many tasks can one slot hold?</w:t>
      </w:r>
      <w:r>
        <w:t xml:space="preserve"> </w:t>
      </w:r>
      <w:r>
        <w:t xml:space="preserve">Measure quality as a function of directions per task and of how much the tasks’ subspaces overlap. The aim is a capacity rule that says when split is enough and when a shared basis is needed. This changes the question from</w:t>
      </w:r>
      <w:r>
        <w:t xml:space="preserve"> </w:t>
      </w:r>
      <w:r>
        <w:t xml:space="preserve">“</w:t>
      </w:r>
      <w:r>
        <w:t xml:space="preserve">which adapters are similar?</w:t>
      </w:r>
      <w:r>
        <w:t xml:space="preserve">”</w:t>
      </w:r>
      <w:r>
        <w:t xml:space="preserve"> </w:t>
      </w:r>
      <w:r>
        <w:t xml:space="preserve">to</w:t>
      </w:r>
      <w:r>
        <w:t xml:space="preserve"> </w:t>
      </w:r>
      <w:r>
        <w:t xml:space="preserve">“</w:t>
      </w:r>
      <w:r>
        <w:t xml:space="preserve">how much room does each task need?</w:t>
      </w:r>
      <w:r>
        <w:t xml:space="preserve">”</w:t>
      </w:r>
    </w:p>
    <w:p>
      <w:pPr>
        <w:pStyle w:val="Compact"/>
        <w:numPr>
          <w:ilvl w:val="0"/>
          <w:numId w:val="1013"/>
        </w:numPr>
      </w:pPr>
      <w:r>
        <w:rPr>
          <w:b/>
          <w:bCs/>
        </w:rPr>
        <w:t xml:space="preserve">B. Truly on-device sharing.</w:t>
      </w:r>
      <w:r>
        <w:t xml:space="preserve"> </w:t>
      </w:r>
      <w:r>
        <w:t xml:space="preserve">Keep only the slot, never the original adapters, and update the shared basis as each adapter arrives. Then test long streams (40 or more tasks, as in K-Merge) for drift.</w:t>
      </w:r>
    </w:p>
    <w:p>
      <w:pPr>
        <w:pStyle w:val="Compact"/>
        <w:numPr>
          <w:ilvl w:val="0"/>
          <w:numId w:val="1013"/>
        </w:numPr>
      </w:pPr>
      <w:r>
        <w:rPr>
          <w:b/>
          <w:bCs/>
        </w:rPr>
        <w:t xml:space="preserve">C. No task label at inference.</w:t>
      </w:r>
      <w:r>
        <w:t xml:space="preserve"> </w:t>
      </w:r>
      <w:r>
        <w:t xml:space="preserve">Route each request to its task’s core using the shared basis itself, building on adapter routing such as Arrow (Ostapenko et al., ICML 2024). This would remove K-Merge’s strongest assumption.</w:t>
      </w:r>
    </w:p>
    <w:p>
      <w:pPr>
        <w:pStyle w:val="Compact"/>
        <w:numPr>
          <w:ilvl w:val="0"/>
          <w:numId w:val="1013"/>
        </w:numPr>
      </w:pPr>
      <w:r>
        <w:rPr>
          <w:b/>
          <w:bCs/>
        </w:rPr>
        <w:t xml:space="preserve">D. A function-based compatibility score.</w:t>
      </w:r>
      <w:r>
        <w:t xml:space="preserve"> </w:t>
      </w:r>
      <w:r>
        <w:t xml:space="preserve">Find a cheap score from a few unlabelled inputs that predicts which tasks can share a basis. Distortion measured on inputs (real or generated) is the best signal so far (ρ ≈ 0.43–0.50 across methods).</w:t>
      </w:r>
    </w:p>
    <w:p>
      <w:pPr>
        <w:pStyle w:val="Compact"/>
        <w:numPr>
          <w:ilvl w:val="0"/>
          <w:numId w:val="1013"/>
        </w:numPr>
      </w:pPr>
      <w:r>
        <w:rPr>
          <w:b/>
          <w:bCs/>
        </w:rPr>
        <w:t xml:space="preserve">E. Real phone measurement.</w:t>
      </w:r>
      <w:r>
        <w:t xml:space="preserve"> </w:t>
      </w:r>
      <w:r>
        <w:t xml:space="preserve">Measure memory and latency of K-Share against K-Merge on an Android phone.</w:t>
      </w:r>
    </w:p>
    <w:bookmarkEnd w:id="58"/>
    <w:bookmarkStart w:id="76" w:name="sources"/>
    <w:p>
      <w:pPr>
        <w:pStyle w:val="Heading2"/>
      </w:pPr>
      <w:r>
        <w:t xml:space="preserve">Sources</w:t>
      </w:r>
    </w:p>
    <w:p>
      <w:pPr>
        <w:pStyle w:val="Compact"/>
        <w:numPr>
          <w:ilvl w:val="0"/>
          <w:numId w:val="1014"/>
        </w:numPr>
      </w:pPr>
      <w:hyperlink r:id="rId59">
        <w:r>
          <w:rPr>
            <w:rStyle w:val="Hyperlink"/>
          </w:rPr>
          <w:t xml:space="preserve">K-Merge: Online Continual Merging of Adapters for On-device Large Language Models</w:t>
        </w:r>
      </w:hyperlink>
      <w:r>
        <w:t xml:space="preserve"> </w:t>
      </w:r>
      <w:r>
        <w:t xml:space="preserve">(Shenaj et al., ACL 2026); experimental setup and Eq. 5/Eq. 8 read from the</w:t>
      </w:r>
      <w:r>
        <w:t xml:space="preserve"> </w:t>
      </w:r>
      <w:hyperlink r:id="rId60">
        <w:r>
          <w:rPr>
            <w:rStyle w:val="Hyperlink"/>
          </w:rPr>
          <w:t xml:space="preserve">paper PDF</w:t>
        </w:r>
      </w:hyperlink>
    </w:p>
    <w:p>
      <w:pPr>
        <w:pStyle w:val="Compact"/>
        <w:numPr>
          <w:ilvl w:val="0"/>
          <w:numId w:val="1014"/>
        </w:numPr>
      </w:pPr>
      <w:hyperlink r:id="rId61">
        <w:r>
          <w:rPr>
            <w:rStyle w:val="Hyperlink"/>
          </w:rPr>
          <w:t xml:space="preserve">LoRA: Low-Rank Adaptation of Large Language Models</w:t>
        </w:r>
      </w:hyperlink>
      <w:r>
        <w:t xml:space="preserve"> </w:t>
      </w:r>
      <w:r>
        <w:t xml:space="preserve">(Hu et al., ICLR 2022)</w:t>
      </w:r>
    </w:p>
    <w:p>
      <w:pPr>
        <w:pStyle w:val="Compact"/>
        <w:numPr>
          <w:ilvl w:val="0"/>
          <w:numId w:val="1014"/>
        </w:numPr>
      </w:pPr>
      <w:hyperlink r:id="rId62">
        <w:r>
          <w:rPr>
            <w:rStyle w:val="Hyperlink"/>
          </w:rPr>
          <w:t xml:space="preserve">Task Singular Vectors: Reducing Task Interference in Model Merging</w:t>
        </w:r>
      </w:hyperlink>
      <w:r>
        <w:t xml:space="preserve"> </w:t>
      </w:r>
      <w:r>
        <w:t xml:space="preserve">(Gargiulo et al., CVPR 2025)</w:t>
      </w:r>
    </w:p>
    <w:p>
      <w:pPr>
        <w:pStyle w:val="Compact"/>
        <w:numPr>
          <w:ilvl w:val="0"/>
          <w:numId w:val="1014"/>
        </w:numPr>
      </w:pPr>
      <w:hyperlink r:id="rId63">
        <w:r>
          <w:rPr>
            <w:rStyle w:val="Hyperlink"/>
          </w:rPr>
          <w:t xml:space="preserve">Compress then Serve: Serving Thousands of LoRA Adapters with Little Overhead</w:t>
        </w:r>
      </w:hyperlink>
      <w:r>
        <w:t xml:space="preserve"> </w:t>
      </w:r>
      <w:r>
        <w:t xml:space="preserve">(Brüel-Gabrielsson et al., ICML 2025)</w:t>
      </w:r>
    </w:p>
    <w:p>
      <w:pPr>
        <w:pStyle w:val="Compact"/>
        <w:numPr>
          <w:ilvl w:val="0"/>
          <w:numId w:val="1014"/>
        </w:numPr>
      </w:pPr>
      <w:hyperlink r:id="rId64">
        <w:r>
          <w:rPr>
            <w:rStyle w:val="Hyperlink"/>
          </w:rPr>
          <w:t xml:space="preserve">Dataless Knowledge Fusion by Merging Weights of Language Models (RegMean)</w:t>
        </w:r>
      </w:hyperlink>
      <w:r>
        <w:t xml:space="preserve"> </w:t>
      </w:r>
      <w:r>
        <w:t xml:space="preserve">(Jin et al., ICLR 2023)</w:t>
      </w:r>
    </w:p>
    <w:p>
      <w:pPr>
        <w:pStyle w:val="Compact"/>
        <w:numPr>
          <w:ilvl w:val="0"/>
          <w:numId w:val="1014"/>
        </w:numPr>
      </w:pPr>
      <w:hyperlink r:id="rId65">
        <w:r>
          <w:rPr>
            <w:rStyle w:val="Hyperlink"/>
          </w:rPr>
          <w:t xml:space="preserve">TIES-Merging: Resolving Interference When Merging Models</w:t>
        </w:r>
      </w:hyperlink>
      <w:r>
        <w:t xml:space="preserve"> </w:t>
      </w:r>
      <w:r>
        <w:t xml:space="preserve">(Yadav et al., NeurIPS 2023)</w:t>
      </w:r>
    </w:p>
    <w:p>
      <w:pPr>
        <w:pStyle w:val="Compact"/>
        <w:numPr>
          <w:ilvl w:val="0"/>
          <w:numId w:val="1014"/>
        </w:numPr>
      </w:pPr>
      <w:hyperlink r:id="rId66">
        <w:r>
          <w:rPr>
            <w:rStyle w:val="Hyperlink"/>
          </w:rPr>
          <w:t xml:space="preserve">Language Models are Super Mario (DARE)</w:t>
        </w:r>
      </w:hyperlink>
      <w:r>
        <w:t xml:space="preserve"> </w:t>
      </w:r>
      <w:r>
        <w:t xml:space="preserve">(Yu et al., ICML 2024)</w:t>
      </w:r>
    </w:p>
    <w:p>
      <w:pPr>
        <w:pStyle w:val="Compact"/>
        <w:numPr>
          <w:ilvl w:val="0"/>
          <w:numId w:val="1014"/>
        </w:numPr>
      </w:pPr>
      <w:hyperlink r:id="rId67">
        <w:r>
          <w:rPr>
            <w:rStyle w:val="Hyperlink"/>
          </w:rPr>
          <w:t xml:space="preserve">Editing Models with Task Arithmetic</w:t>
        </w:r>
      </w:hyperlink>
      <w:r>
        <w:t xml:space="preserve"> </w:t>
      </w:r>
      <w:r>
        <w:t xml:space="preserve">(Ilharco et al., ICLR 2023)</w:t>
      </w:r>
    </w:p>
    <w:p>
      <w:pPr>
        <w:pStyle w:val="Compact"/>
        <w:numPr>
          <w:ilvl w:val="0"/>
          <w:numId w:val="1014"/>
        </w:numPr>
      </w:pPr>
      <w:hyperlink r:id="rId68">
        <w:r>
          <w:rPr>
            <w:rStyle w:val="Hyperlink"/>
          </w:rPr>
          <w:t xml:space="preserve">EMR-Merging: Tuning-Free High-Performance Model Merging</w:t>
        </w:r>
      </w:hyperlink>
      <w:r>
        <w:t xml:space="preserve"> </w:t>
      </w:r>
      <w:r>
        <w:t xml:space="preserve">(Huang et al., NeurIPS 2024)</w:t>
      </w:r>
    </w:p>
    <w:p>
      <w:pPr>
        <w:pStyle w:val="Compact"/>
        <w:numPr>
          <w:ilvl w:val="0"/>
          <w:numId w:val="1014"/>
        </w:numPr>
      </w:pPr>
      <w:hyperlink r:id="rId69">
        <w:r>
          <w:rPr>
            <w:rStyle w:val="Hyperlink"/>
          </w:rPr>
          <w:t xml:space="preserve">Localizing Task Information for Improved Model Merging and Compression (TALL masks)</w:t>
        </w:r>
      </w:hyperlink>
      <w:r>
        <w:t xml:space="preserve"> </w:t>
      </w:r>
      <w:r>
        <w:t xml:space="preserve">(Wang et al., ICML 2024)</w:t>
      </w:r>
    </w:p>
    <w:p>
      <w:pPr>
        <w:pStyle w:val="Compact"/>
        <w:numPr>
          <w:ilvl w:val="0"/>
          <w:numId w:val="1014"/>
        </w:numPr>
      </w:pPr>
      <w:hyperlink r:id="rId70">
        <w:r>
          <w:rPr>
            <w:rStyle w:val="Hyperlink"/>
          </w:rPr>
          <w:t xml:space="preserve">No Task Left Behind: Isotropic Model Merging (Iso-C)</w:t>
        </w:r>
      </w:hyperlink>
      <w:r>
        <w:t xml:space="preserve"> </w:t>
      </w:r>
      <w:r>
        <w:t xml:space="preserve">(Marczak et al., ICML 2025)</w:t>
      </w:r>
    </w:p>
    <w:p>
      <w:pPr>
        <w:pStyle w:val="Compact"/>
        <w:numPr>
          <w:ilvl w:val="0"/>
          <w:numId w:val="1014"/>
        </w:numPr>
      </w:pPr>
      <w:hyperlink r:id="rId71">
        <w:r>
          <w:rPr>
            <w:rStyle w:val="Hyperlink"/>
          </w:rPr>
          <w:t xml:space="preserve">Model Merging with SVD to Tie the KnOTS</w:t>
        </w:r>
      </w:hyperlink>
      <w:r>
        <w:t xml:space="preserve"> </w:t>
      </w:r>
      <w:r>
        <w:t xml:space="preserve">(Stoica et al., ICLR 2025)</w:t>
      </w:r>
    </w:p>
    <w:p>
      <w:pPr>
        <w:pStyle w:val="Compact"/>
        <w:numPr>
          <w:ilvl w:val="0"/>
          <w:numId w:val="1014"/>
        </w:numPr>
      </w:pPr>
      <w:hyperlink r:id="rId72">
        <w:r>
          <w:rPr>
            <w:rStyle w:val="Hyperlink"/>
          </w:rPr>
          <w:t xml:space="preserve">MagMax: Leveraging Model Merging for Seamless Continual Learning</w:t>
        </w:r>
      </w:hyperlink>
      <w:r>
        <w:t xml:space="preserve"> </w:t>
      </w:r>
      <w:r>
        <w:t xml:space="preserve">(Marczak et al., ECCV 2024)</w:t>
      </w:r>
    </w:p>
    <w:p>
      <w:pPr>
        <w:pStyle w:val="Compact"/>
        <w:numPr>
          <w:ilvl w:val="0"/>
          <w:numId w:val="1014"/>
        </w:numPr>
      </w:pPr>
      <w:hyperlink r:id="rId73">
        <w:r>
          <w:rPr>
            <w:rStyle w:val="Hyperlink"/>
          </w:rPr>
          <w:t xml:space="preserve">Asymmetry in Low-Rank Adapters of Foundation Models</w:t>
        </w:r>
      </w:hyperlink>
      <w:r>
        <w:t xml:space="preserve"> </w:t>
      </w:r>
      <w:r>
        <w:t xml:space="preserve">(Zhu et al., ICML 2024)</w:t>
      </w:r>
    </w:p>
    <w:p>
      <w:pPr>
        <w:pStyle w:val="Compact"/>
        <w:numPr>
          <w:ilvl w:val="0"/>
          <w:numId w:val="1014"/>
        </w:numPr>
      </w:pPr>
      <w:hyperlink r:id="rId74">
        <w:r>
          <w:rPr>
            <w:rStyle w:val="Hyperlink"/>
          </w:rPr>
          <w:t xml:space="preserve">Whoever Started the Interference Should End It (WUDI)</w:t>
        </w:r>
      </w:hyperlink>
      <w:r>
        <w:t xml:space="preserve"> </w:t>
      </w:r>
      <w:r>
        <w:t xml:space="preserve">(Cheng et al., ICML 2025)</w:t>
      </w:r>
    </w:p>
    <w:p>
      <w:pPr>
        <w:pStyle w:val="Compact"/>
        <w:numPr>
          <w:ilvl w:val="0"/>
          <w:numId w:val="1014"/>
        </w:numPr>
      </w:pPr>
      <w:hyperlink r:id="rId75">
        <w:r>
          <w:rPr>
            <w:rStyle w:val="Hyperlink"/>
          </w:rPr>
          <w:t xml:space="preserve">Towards Modular LLMs by Building and Reusing a Library of LoRAs (Arrow)</w:t>
        </w:r>
      </w:hyperlink>
      <w:r>
        <w:t xml:space="preserve"> </w:t>
      </w:r>
      <w:r>
        <w:t xml:space="preserve">(Ostapenko et al., ICML 2024)</w:t>
      </w:r>
    </w:p>
    <w:p>
      <w:pPr>
        <w:pStyle w:val="Compact"/>
        <w:numPr>
          <w:ilvl w:val="0"/>
          <w:numId w:val="1014"/>
        </w:numPr>
      </w:pPr>
      <w:r>
        <w:t xml:space="preserve">Data: W&amp;I+LOCNESS (BEA-2019), Falko-MERLIN, COWS-L2H, MERLIN, SAMSum, SQuAD; translation with OPUS-MT; base models Qwen2.5-0.5B and 1.5B Instruct.</w:t>
      </w:r>
    </w:p>
    <w:p>
      <w:pPr>
        <w:pStyle w:val="Compact"/>
        <w:numPr>
          <w:ilvl w:val="0"/>
          <w:numId w:val="1014"/>
        </w:numPr>
      </w:pPr>
      <w:r>
        <w:t xml:space="preserve">Phase 1 and Phase 2 numbers: K_Merge_Phase2_Report_Pro and the Phase 1 report.</w:t>
      </w:r>
    </w:p>
    <w:bookmarkEnd w:id="76"/>
    <w:bookmarkEnd w:id="77"/>
    <w:sectPr>
      <w:pgSz w:h="16838" w:w="11906"/>
      <w:pgMar w:bottom="1134" w:left="1247" w:right="1247" w:top="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B263B"/>
      <w:sz w:val="22"/>
    </w:rPr>
  </w:style>
  <w:style w:styleId="BodyText" w:type="paragraph">
    <w:name w:val="Body Text"/>
    <w:basedOn w:val="Normal"/>
    <w:link w:val="BodyTextChar"/>
    <w:qFormat/>
    <w:pPr>
      <w:spacing w:after="140" w:before="0" w:line="259" w:lineRule="auto"/>
    </w:pPr>
    <w:rPr>
      <w:rFonts w:ascii="Calibri" w:cs="Calibri" w:eastAsia="Calibri" w:hAnsi="Calibri"/>
      <w:color w:val="1B263B"/>
      <w:sz w:val="22"/>
    </w:rPr>
  </w:style>
  <w:style w:customStyle="1" w:styleId="FirstParagraph" w:type="paragraph">
    <w:name w:val="First Paragraph"/>
    <w:basedOn w:val="BodyText"/>
    <w:next w:val="BodyText"/>
    <w:qFormat/>
    <w:pPr>
      <w:spacing w:after="140" w:before="0" w:line="259" w:lineRule="auto"/>
    </w:pPr>
    <w:rPr>
      <w:rFonts w:ascii="Calibri" w:cs="Calibri" w:eastAsia="Calibri" w:hAnsi="Calibri"/>
      <w:color w:val="1B263B"/>
      <w:sz w:val="22"/>
    </w:rPr>
  </w:style>
  <w:style w:customStyle="1" w:styleId="Compact" w:type="paragraph">
    <w:name w:val="Compact"/>
    <w:basedOn w:val="BodyText"/>
    <w:qFormat/>
    <w:pPr>
      <w:spacing w:after="36" w:before="36"/>
    </w:pPr>
    <w:rPr>
      <w:rFonts w:ascii="Calibri" w:cs="Calibri" w:eastAsia="Calibri" w:hAnsi="Calibri"/>
      <w:color w:val="1B263B"/>
      <w:sz w:val="20"/>
    </w:rPr>
  </w:style>
  <w:style w:styleId="Title" w:type="paragraph">
    <w:name w:val="Title"/>
    <w:basedOn w:val="Normal"/>
    <w:next w:val="BodyText"/>
    <w:qFormat/>
    <w:pPr>
      <w:keepNext/>
      <w:keepLines/>
      <w:spacing w:after="240" w:before="480"/>
      <w:jc w:val="center"/>
    </w:pPr>
    <w:rPr>
      <w:rFonts w:ascii="Cambria" w:cs="Cambria" w:eastAsia="Cambria" w:hAnsi="Cambria"/>
      <w:b/>
      <w:bCs/>
      <w:color w:val="1B263B"/>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480"/>
      <w:outlineLvl w:val="0"/>
    </w:pPr>
    <w:rPr>
      <w:rFonts w:ascii="Cambria" w:cs="Cambria" w:eastAsia="Cambria" w:hAnsi="Cambria"/>
      <w:b/>
      <w:bCs/>
      <w:color w:val="1B263B"/>
      <w:sz w:val="44"/>
      <w:szCs w:val="32"/>
    </w:rPr>
  </w:style>
  <w:style w:styleId="Heading2" w:type="paragraph">
    <w:name w:val="Heading 2"/>
    <w:basedOn w:val="Normal"/>
    <w:next w:val="BodyText"/>
    <w:uiPriority w:val="9"/>
    <w:unhideWhenUsed/>
    <w:qFormat/>
    <w:pPr>
      <w:keepNext/>
      <w:keepLines/>
      <w:spacing w:after="120" w:before="360"/>
      <w:outlineLvl w:val="1"/>
    </w:pPr>
    <w:rPr>
      <w:rFonts w:ascii="Cambria" w:cs="Cambria" w:eastAsia="Cambria" w:hAnsi="Cambria"/>
      <w:b/>
      <w:bCs/>
      <w:color w:val="0E7C86"/>
      <w:sz w:val="30"/>
      <w:szCs w:val="28"/>
    </w:rPr>
  </w:style>
  <w:style w:styleId="Heading3" w:type="paragraph">
    <w:name w:val="Heading 3"/>
    <w:basedOn w:val="Normal"/>
    <w:next w:val="BodyText"/>
    <w:uiPriority w:val="9"/>
    <w:unhideWhenUsed/>
    <w:qFormat/>
    <w:pPr>
      <w:keepNext/>
      <w:keepLines/>
      <w:spacing w:after="0" w:before="200"/>
      <w:outlineLvl w:val="2"/>
    </w:pPr>
    <w:rPr>
      <w:rFonts w:ascii="Cambria" w:cs="Cambria" w:eastAsia="Cambria" w:hAnsi="Cambria"/>
      <w:b/>
      <w:bCs/>
      <w:color w:val="1B263B"/>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B263B"/>
      <w:sz w:val="22"/>
    </w:rPr>
  </w:style>
  <w:style w:styleId="FootnoteText" w:type="paragraph">
    <w:name w:val="Footnote Text"/>
    <w:basedOn w:val="Normal"/>
    <w:next w:val="FootnoteText"/>
    <w:uiPriority w:val="9"/>
    <w:unhideWhenUsed/>
    <w:qFormat/>
    <w:rPr>
      <w:rFonts w:ascii="Calibri" w:cs="Calibri" w:eastAsia="Calibri" w:hAnsi="Calibri"/>
      <w:color w:val="1B263B"/>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color w:val="1B263B"/>
    </w:rPr>
  </w:style>
  <w:style w:customStyle="1" w:styleId="TableCaption" w:type="paragraph">
    <w:name w:val="Table Caption"/>
    <w:basedOn w:val="Caption"/>
    <w:pPr>
      <w:keepNext/>
    </w:pPr>
    <w:rPr>
      <w:rFonts w:ascii="Calibri" w:cs="Calibri" w:eastAsia="Calibri" w:hAnsi="Calibri"/>
      <w:color w:val="1B263B"/>
    </w:rPr>
  </w:style>
  <w:style w:customStyle="1" w:styleId="ImageCaption" w:type="paragraph">
    <w:name w:val="Image Caption"/>
    <w:basedOn w:val="Caption"/>
    <w:pPr>
      <w:spacing w:after="240"/>
    </w:pPr>
    <w:rPr>
      <w:rFonts w:ascii="Calibri" w:cs="Calibri" w:eastAsia="Calibri" w:hAnsi="Calibri"/>
      <w:color w:val="4A5563"/>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1" Type="http://schemas.openxmlformats.org/officeDocument/2006/relationships/image" Target="media/rId31.png"/><Relationship Id="rId34" Type="http://schemas.openxmlformats.org/officeDocument/2006/relationships/image" Target="media/rId34.png"/><Relationship Id="rId44" Type="http://schemas.openxmlformats.org/officeDocument/2006/relationships/image" Target="media/rId44.png"/><Relationship Id="rId40" Type="http://schemas.openxmlformats.org/officeDocument/2006/relationships/image" Target="media/rId40.png"/><Relationship Id="rId27" Type="http://schemas.openxmlformats.org/officeDocument/2006/relationships/image" Target="media/rId27.png"/><Relationship Id="rId48" Type="http://schemas.openxmlformats.org/officeDocument/2006/relationships/image" Target="media/rId48.png"/><Relationship Id="rId37" Type="http://schemas.openxmlformats.org/officeDocument/2006/relationships/image" Target="media/rId37.png"/><Relationship Id="rId61" Type="http://schemas.openxmlformats.org/officeDocument/2006/relationships/hyperlink" Target="https://arxiv.org/abs/2106.09685" TargetMode="External"/><Relationship Id="rId67" Type="http://schemas.openxmlformats.org/officeDocument/2006/relationships/hyperlink" Target="https://arxiv.org/abs/2212.04089" TargetMode="External"/><Relationship Id="rId64" Type="http://schemas.openxmlformats.org/officeDocument/2006/relationships/hyperlink" Target="https://arxiv.org/abs/2212.09849" TargetMode="External"/><Relationship Id="rId65" Type="http://schemas.openxmlformats.org/officeDocument/2006/relationships/hyperlink" Target="https://arxiv.org/abs/2306.01708" TargetMode="External"/><Relationship Id="rId66" Type="http://schemas.openxmlformats.org/officeDocument/2006/relationships/hyperlink" Target="https://arxiv.org/abs/2311.03099" TargetMode="External"/><Relationship Id="rId73" Type="http://schemas.openxmlformats.org/officeDocument/2006/relationships/hyperlink" Target="https://arxiv.org/abs/2402.16842" TargetMode="External"/><Relationship Id="rId69" Type="http://schemas.openxmlformats.org/officeDocument/2006/relationships/hyperlink" Target="https://arxiv.org/abs/2405.07813" TargetMode="External"/><Relationship Id="rId75" Type="http://schemas.openxmlformats.org/officeDocument/2006/relationships/hyperlink" Target="https://arxiv.org/abs/2405.11157" TargetMode="External"/><Relationship Id="rId68" Type="http://schemas.openxmlformats.org/officeDocument/2006/relationships/hyperlink" Target="https://arxiv.org/abs/2405.17461" TargetMode="External"/><Relationship Id="rId63" Type="http://schemas.openxmlformats.org/officeDocument/2006/relationships/hyperlink" Target="https://arxiv.org/abs/2407.00066" TargetMode="External"/><Relationship Id="rId72" Type="http://schemas.openxmlformats.org/officeDocument/2006/relationships/hyperlink" Target="https://arxiv.org/abs/2407.07523" TargetMode="External"/><Relationship Id="rId71" Type="http://schemas.openxmlformats.org/officeDocument/2006/relationships/hyperlink" Target="https://arxiv.org/abs/2410.19735" TargetMode="External"/><Relationship Id="rId62" Type="http://schemas.openxmlformats.org/officeDocument/2006/relationships/hyperlink" Target="https://arxiv.org/abs/2412.00081" TargetMode="External"/><Relationship Id="rId70" Type="http://schemas.openxmlformats.org/officeDocument/2006/relationships/hyperlink" Target="https://arxiv.org/abs/2502.04959" TargetMode="External"/><Relationship Id="rId74" Type="http://schemas.openxmlformats.org/officeDocument/2006/relationships/hyperlink" Target="https://arxiv.org/abs/2503.08099" TargetMode="External"/><Relationship Id="rId59" Type="http://schemas.openxmlformats.org/officeDocument/2006/relationships/hyperlink" Target="https://arxiv.org/abs/2510.13537" TargetMode="External"/><Relationship Id="rId60" Type="http://schemas.openxmlformats.org/officeDocument/2006/relationships/hyperlink" Target="https://arxiv.org/pdf/2510.13537v1"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arxiv.org/abs/2106.09685" TargetMode="External"/><Relationship Id="rId67" Type="http://schemas.openxmlformats.org/officeDocument/2006/relationships/hyperlink" Target="https://arxiv.org/abs/2212.04089" TargetMode="External"/><Relationship Id="rId64" Type="http://schemas.openxmlformats.org/officeDocument/2006/relationships/hyperlink" Target="https://arxiv.org/abs/2212.09849" TargetMode="External"/><Relationship Id="rId65" Type="http://schemas.openxmlformats.org/officeDocument/2006/relationships/hyperlink" Target="https://arxiv.org/abs/2306.01708" TargetMode="External"/><Relationship Id="rId66" Type="http://schemas.openxmlformats.org/officeDocument/2006/relationships/hyperlink" Target="https://arxiv.org/abs/2311.03099" TargetMode="External"/><Relationship Id="rId73" Type="http://schemas.openxmlformats.org/officeDocument/2006/relationships/hyperlink" Target="https://arxiv.org/abs/2402.16842" TargetMode="External"/><Relationship Id="rId69" Type="http://schemas.openxmlformats.org/officeDocument/2006/relationships/hyperlink" Target="https://arxiv.org/abs/2405.07813" TargetMode="External"/><Relationship Id="rId75" Type="http://schemas.openxmlformats.org/officeDocument/2006/relationships/hyperlink" Target="https://arxiv.org/abs/2405.11157" TargetMode="External"/><Relationship Id="rId68" Type="http://schemas.openxmlformats.org/officeDocument/2006/relationships/hyperlink" Target="https://arxiv.org/abs/2405.17461" TargetMode="External"/><Relationship Id="rId63" Type="http://schemas.openxmlformats.org/officeDocument/2006/relationships/hyperlink" Target="https://arxiv.org/abs/2407.00066" TargetMode="External"/><Relationship Id="rId72" Type="http://schemas.openxmlformats.org/officeDocument/2006/relationships/hyperlink" Target="https://arxiv.org/abs/2407.07523" TargetMode="External"/><Relationship Id="rId71" Type="http://schemas.openxmlformats.org/officeDocument/2006/relationships/hyperlink" Target="https://arxiv.org/abs/2410.19735" TargetMode="External"/><Relationship Id="rId62" Type="http://schemas.openxmlformats.org/officeDocument/2006/relationships/hyperlink" Target="https://arxiv.org/abs/2412.00081" TargetMode="External"/><Relationship Id="rId70" Type="http://schemas.openxmlformats.org/officeDocument/2006/relationships/hyperlink" Target="https://arxiv.org/abs/2502.04959" TargetMode="External"/><Relationship Id="rId74" Type="http://schemas.openxmlformats.org/officeDocument/2006/relationships/hyperlink" Target="https://arxiv.org/abs/2503.08099" TargetMode="External"/><Relationship Id="rId59" Type="http://schemas.openxmlformats.org/officeDocument/2006/relationships/hyperlink" Target="https://arxiv.org/abs/2510.13537" TargetMode="External"/><Relationship Id="rId60" Type="http://schemas.openxmlformats.org/officeDocument/2006/relationships/hyperlink" Target="https://arxiv.org/pdf/2510.1353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K-Merge Phase 3: Share the Slot, Don't Average It</dc:title>
  <dc:creator>Ankit Raj Choudhary</dc:creator>
  <cp:keywords/>
  <dcterms:created xsi:type="dcterms:W3CDTF">2026-10-19T03:44:26Z</dcterms:created>
  <dcterms:modified xsi:type="dcterms:W3CDTF">2026-10-19T03:44:26Z</dcterms:modified>
  <dc:subject>Report for Prof. Divya Saxena, IIT Jodhpur (SAIDE)</dc:subject>
</cp:coreProperties>
</file>

<file path=docProps/custom.xml><?xml version="1.0" encoding="utf-8"?>
<Properties xmlns="http://schemas.openxmlformats.org/officeDocument/2006/custom-properties" xmlns:vt="http://schemas.openxmlformats.org/officeDocument/2006/docPropsVTypes"/>
</file>