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 - ERP Implementation (Microsoft Dynamics 365 Business Central)</w:t>
      </w:r>
    </w:p>
    <w:p>
      <w:pPr>
        <w:pStyle w:val="Title"/>
      </w:pPr>
      <w:r>
        <w:t>Issued by: Gulf Crescent Trading LLC</w:t>
      </w:r>
    </w:p>
    <w:p>
      <w:pPr>
        <w:pStyle w:val="Heading1"/>
      </w:pPr>
      <w:r>
        <w:t>1. Introduction</w:t>
      </w:r>
    </w:p>
    <w:p>
      <w:r>
        <w:t>Gulf Crescent Trading LLC ('the Company'), a trading and distribution business headquartered in Dubai, UAE, invites qualified implementation partners to submit proposals for the implementation of Microsoft Dynamics 365 Business Central.</w:t>
      </w:r>
    </w:p>
    <w:p>
      <w:r>
        <w:t>The Company operates three warehouses in Jebel Ali and imports consumer electronics for distribution across the GCC.</w:t>
      </w:r>
    </w:p>
    <w:p>
      <w:pPr>
        <w:pStyle w:val="Heading1"/>
      </w:pPr>
      <w:r>
        <w:t>2. Scope of Work</w:t>
      </w:r>
    </w:p>
    <w:p>
      <w:r>
        <w:t>The selected partner shall implement Dynamics 365 Business Central covering finance, procurement, inventory management, and sales order processing.</w:t>
      </w:r>
    </w:p>
    <w:p>
      <w:r>
        <w:t>The partner must migrate opening balances and two years of transactional history from the legacy Tally system.</w:t>
      </w:r>
    </w:p>
    <w:p>
      <w:r>
        <w:t>The solution shall integrate with the Company's existing e-commerce platform and its 3PL warehouse management system.</w:t>
      </w:r>
    </w:p>
    <w:p>
      <w:r>
        <w:t>The partner is required to deliver end-user training for approximately 40 users, including training material in both English and Arabic.</w:t>
      </w:r>
    </w:p>
    <w:p>
      <w:r>
        <w:t>The user interface and all customer-facing reports must be available in Arabic as well as English.</w:t>
      </w:r>
    </w:p>
    <w:p>
      <w:pPr>
        <w:pStyle w:val="Heading1"/>
      </w:pPr>
      <w:r>
        <w:t>3. Timeline</w:t>
      </w:r>
    </w:p>
    <w:p>
      <w:r>
        <w:t>The implementation shall go live no later than 1 March 2027.</w:t>
      </w:r>
    </w:p>
    <w:p>
      <w:r>
        <w:t>Proposals must be submitted by 15 October 2026 at 17:00 GST.</w:t>
      </w:r>
    </w:p>
    <w:p>
      <w:pPr>
        <w:pStyle w:val="Heading1"/>
      </w:pPr>
      <w:r>
        <w:t>4. Commercial and Contractual Requirements</w:t>
      </w:r>
    </w:p>
    <w:p>
      <w:r>
        <w:t>The bidder shall provide a bank guarantee equal to 10% of the total contract value, valid until final acceptance, issued by a UAE-licensed bank.</w:t>
      </w:r>
    </w:p>
    <w:p>
      <w:r>
        <w:t>A performance bond of 5% of contract value is required upon contract signing.</w:t>
      </w:r>
    </w:p>
    <w:p>
      <w:r>
        <w:t>The bidder must maintain professional indemnity insurance of not less than AED 2,000,000 and third-party liability insurance for the duration of the engagement.</w:t>
      </w:r>
    </w:p>
    <w:p>
      <w:r>
        <w:t>Delay in delivery beyond the agreed go-live date shall attract liquidated damages of 0.5% of contract value per week, up to a maximum of 10%.</w:t>
      </w:r>
    </w:p>
    <w:p>
      <w:r>
        <w:t>Any dispute arising from the contract shall be settled by arbitration under DIAC rules, seated in Dubai, conducted in English.</w:t>
      </w:r>
    </w:p>
    <w:p>
      <w:r>
        <w:t>The bidder shall provide all end-user licences free of charge for the first year of operation.</w:t>
      </w:r>
    </w:p>
    <w:p>
      <w:r>
        <w:t>The bidder shall provide a warranty period of 12 months following go-live, including bug fixes at no additional cost.</w:t>
      </w:r>
    </w:p>
    <w:p>
      <w:r>
        <w:t>The bidder shall indemnify the Company against any claims arising from intellectual property infringement by the delivered solution.</w:t>
      </w:r>
    </w:p>
    <w:p>
      <w:pPr>
        <w:pStyle w:val="Heading1"/>
      </w:pPr>
      <w:r>
        <w:t>5. Proposal Requirements</w:t>
      </w:r>
    </w:p>
    <w:p>
      <w:r>
        <w:t>The bidder shall submit a technical proposal describing methodology, solution architecture, team composition, and relevant case studies.</w:t>
      </w:r>
    </w:p>
    <w:p>
      <w:r>
        <w:t>The bidder must submit a separate commercial proposal with a fixed-price implementation quote and itemised licensing costs.</w:t>
      </w:r>
    </w:p>
    <w:p>
      <w:r>
        <w:t>The bidder is required to complete the compliance matrix in Appendix A, responding to every mandatory requirement.</w:t>
      </w:r>
    </w:p>
    <w:p>
      <w:r>
        <w:t>Bidders must have at least three referenceable Dynamics 365 Business Central implementations in the UAE or wider GCC.</w:t>
      </w:r>
    </w:p>
    <w:p>
      <w:pPr>
        <w:pStyle w:val="Heading1"/>
      </w:pPr>
      <w:r>
        <w:t>6. Evaluation</w:t>
      </w:r>
    </w:p>
    <w:p>
      <w:r>
        <w:t>Proposals will be evaluated 60% on technical merit and 40% on commercial competitiveness.</w:t>
      </w:r>
    </w:p>
    <w:p>
      <w:r>
        <w:t>The Company is not obliged to accept the lowest-priced or any proposal.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