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400" w:after="0"/>
        <w:jc w:val="left"/>
      </w:pPr>
      <w:r>
        <w:rPr>
          <w:rFonts w:ascii="Calibri" w:hAnsi="Calibri" w:eastAsia="Calibri" w:cs="Calibri"/>
          <w:b/>
          <w:bCs/>
          <w:color w:val="B45F3B"/>
          <w:spacing w:val="60"/>
          <w:sz w:val="26"/>
          <w:szCs w:val="26"/>
        </w:rPr>
        <w:t>RESEARCH</w:t>
      </w:r>
    </w:p>
    <w:p>
      <w:pPr>
        <w:spacing w:before="200" w:after="0"/>
      </w:pPr>
      <w:r>
        <w:rPr>
          <w:rFonts w:ascii="Calibri" w:hAnsi="Calibri" w:eastAsia="Calibri" w:cs="Calibri"/>
          <w:b/>
          <w:bCs/>
          <w:color w:val="1A1D2B"/>
          <w:sz w:val="76"/>
          <w:szCs w:val="76"/>
        </w:rPr>
        <w:t>DailyObjects</w:t>
      </w:r>
    </w:p>
    <w:p>
      <w:pPr>
        <w:spacing w:before="0" w:after="200"/>
      </w:pPr>
      <w:r>
        <w:rPr>
          <w:rFonts w:ascii="Calibri" w:hAnsi="Calibri" w:eastAsia="Calibri" w:cs="Calibri"/>
          <w:b/>
          <w:bCs/>
          <w:color w:val="1A1D2B"/>
          <w:sz w:val="76"/>
          <w:szCs w:val="76"/>
        </w:rPr>
        <w:t>Loyalty Programme</w:t>
      </w:r>
    </w:p>
    <w:p>
      <w:pPr>
        <w:pBdr>
          <w:bottom w:val="single" w:color="B45F3B" w:sz="18" w:space="8"/>
        </w:pBdr>
        <w:spacing w:after="220"/>
      </w:pPr>
    </w:p>
    <w:p>
      <w:pPr>
        <w:spacing w:after="120"/>
      </w:pPr>
      <w:r>
        <w:rPr>
          <w:rFonts w:ascii="Calibri" w:hAnsi="Calibri" w:eastAsia="Calibri" w:cs="Calibri"/>
          <w:i/>
          <w:iCs/>
          <w:color w:val="5A5F6E"/>
          <w:sz w:val="28"/>
          <w:szCs w:val="28"/>
        </w:rPr>
        <w:t xml:space="preserve">Comprehensive research, global benchmarking, </w:t>
      </w:r>
    </w:p>
    <w:p>
      <w:pPr>
        <w:spacing w:after="40"/>
        <w:rPr>
          <w:rFonts w:ascii="Calibri" w:hAnsi="Calibri" w:eastAsia="Calibri" w:cs="Calibri"/>
          <w:color w:val="5A5F6E"/>
          <w:sz w:val="20"/>
          <w:szCs w:val="20"/>
        </w:rPr>
      </w:pPr>
    </w:p>
    <w:p>
      <w:pPr>
        <w:spacing w:after="40"/>
      </w:pPr>
      <w:r>
        <w:rPr>
          <w:rFonts w:ascii="Calibri" w:hAnsi="Calibri" w:eastAsia="Calibri" w:cs="Calibri"/>
          <w:color w:val="5A5F6E"/>
          <w:sz w:val="20"/>
          <w:szCs w:val="20"/>
        </w:rPr>
        <w:t>Scope: 30+ programmes across 9 sectors · Indian &amp; global · design-led accessories comparables · failure cases · consumer psychology · omnichannel · economics</w:t>
      </w:r>
    </w:p>
    <w:p>
      <w:r>
        <w:br w:type="page"/>
      </w:r>
    </w:p>
    <w:p>
      <w:pPr>
        <w:pStyle w:val="2"/>
        <w:pBdr>
          <w:bottom w:val="single" w:color="B45F3B" w:sz="12" w:space="6"/>
        </w:pBdr>
        <w:spacing w:before="360" w:after="140"/>
      </w:pPr>
      <w:r>
        <w:rPr>
          <w:rFonts w:ascii="Calibri" w:hAnsi="Calibri" w:eastAsia="Calibri" w:cs="Calibri"/>
          <w:b/>
          <w:bCs/>
          <w:color w:val="1A1D2B"/>
          <w:sz w:val="34"/>
          <w:szCs w:val="34"/>
        </w:rPr>
        <w:t>1. Executive Summary</w:t>
      </w:r>
    </w:p>
    <w:p>
      <w:pPr>
        <w:pStyle w:val="3"/>
        <w:spacing w:before="240" w:after="90"/>
      </w:pPr>
      <w:r>
        <w:rPr>
          <w:rFonts w:ascii="Calibri" w:hAnsi="Calibri" w:eastAsia="Calibri" w:cs="Calibri"/>
          <w:b/>
          <w:bCs/>
          <w:color w:val="B45F3B"/>
          <w:sz w:val="26"/>
          <w:szCs w:val="26"/>
        </w:rPr>
        <w:t>What the world’s best programmes teach us</w:t>
      </w:r>
    </w:p>
    <w:p>
      <w:pPr>
        <w:pStyle w:val="16"/>
        <w:numPr>
          <w:ilvl w:val="0"/>
          <w:numId w:val="1"/>
        </w:numPr>
        <w:spacing w:after="60" w:line="268" w:lineRule="auto"/>
      </w:pPr>
      <w:r>
        <w:rPr>
          <w:rFonts w:ascii="Calibri" w:hAnsi="Calibri" w:eastAsia="Calibri" w:cs="Calibri"/>
          <w:b/>
          <w:bCs/>
          <w:color w:val="2B2B2B"/>
          <w:sz w:val="21"/>
          <w:szCs w:val="21"/>
        </w:rPr>
        <w:t>Premium brands win on access, service, gifting, community and status — not discounts. Nike and MUJI (free membership, community, access), Marriott (status and experiential Moments) and Nike Run Club (non-transactional community) are the models that fit a design-led brand.</w:t>
      </w:r>
    </w:p>
    <w:p>
      <w:pPr>
        <w:pStyle w:val="16"/>
        <w:numPr>
          <w:ilvl w:val="0"/>
          <w:numId w:val="1"/>
        </w:numPr>
        <w:spacing w:after="60" w:line="268" w:lineRule="auto"/>
      </w:pPr>
      <w:r>
        <w:rPr>
          <w:rFonts w:ascii="Calibri" w:hAnsi="Calibri" w:eastAsia="Calibri" w:cs="Calibri"/>
          <w:b/>
          <w:bCs/>
          <w:color w:val="2B2B2B"/>
          <w:sz w:val="21"/>
          <w:szCs w:val="21"/>
        </w:rPr>
        <w:t xml:space="preserve">Match mechanics to brand aesthetic </w:t>
      </w:r>
      <w:r>
        <w:rPr>
          <w:rFonts w:ascii="Calibri" w:hAnsi="Calibri" w:eastAsia="Calibri" w:cs="Calibri"/>
          <w:color w:val="2B2B2B"/>
          <w:sz w:val="21"/>
          <w:szCs w:val="21"/>
        </w:rPr>
        <w:t>(MUJI’s quiet minimalism vs Starbucks’ loud gamification).</w:t>
      </w:r>
    </w:p>
    <w:p>
      <w:pPr>
        <w:pStyle w:val="16"/>
        <w:numPr>
          <w:ilvl w:val="0"/>
          <w:numId w:val="1"/>
        </w:numPr>
        <w:spacing w:after="60" w:line="268" w:lineRule="auto"/>
      </w:pPr>
      <w:r>
        <w:rPr>
          <w:rFonts w:ascii="Calibri" w:hAnsi="Calibri" w:eastAsia="Calibri" w:cs="Calibri"/>
          <w:b/>
          <w:bCs/>
          <w:color w:val="2B2B2B"/>
          <w:sz w:val="21"/>
          <w:szCs w:val="21"/>
        </w:rPr>
        <w:t>The real prize is first-party data and a direct relationship, not the points liability (Nike ~400M members) — though for a D2C brand that already captures online accounts, that prize is specifically in-store identity and preference enrichment, not basic transaction capture.</w:t>
      </w:r>
    </w:p>
    <w:p>
      <w:pPr>
        <w:pStyle w:val="16"/>
        <w:numPr>
          <w:ilvl w:val="0"/>
          <w:numId w:val="1"/>
        </w:numPr>
        <w:spacing w:after="60" w:line="268" w:lineRule="auto"/>
      </w:pPr>
      <w:r>
        <w:rPr>
          <w:rFonts w:ascii="Calibri" w:hAnsi="Calibri" w:eastAsia="Calibri" w:cs="Calibri"/>
          <w:color w:val="2B2B2B"/>
          <w:sz w:val="21"/>
          <w:szCs w:val="21"/>
        </w:rPr>
        <w:t>In India, reward engagement not just spend (Myntra, Decathlon), create calendar moments (Nykaa birthdays), let points buy aspirational product (Tira), and use rolling activity-based expiry (Tata Neu).</w:t>
      </w:r>
    </w:p>
    <w:p>
      <w:pPr>
        <w:pStyle w:val="16"/>
        <w:numPr>
          <w:ilvl w:val="0"/>
          <w:numId w:val="1"/>
        </w:numPr>
        <w:spacing w:after="60" w:line="268" w:lineRule="auto"/>
      </w:pPr>
      <w:r>
        <w:rPr>
          <w:rFonts w:ascii="Calibri" w:hAnsi="Calibri" w:eastAsia="Calibri" w:cs="Calibri"/>
          <w:b/>
          <w:bCs/>
          <w:color w:val="2B2B2B"/>
          <w:sz w:val="21"/>
          <w:szCs w:val="21"/>
        </w:rPr>
        <w:t>The closest in-category proof points are Casetify Club (tiers + birthday + warranty) and Mokobara (paid tier, sale-proof discount, long warranty) — while premium peers Nomad and Bellroy run no structured programme at all. That is DailyObjects’ whitespace.</w:t>
      </w:r>
    </w:p>
    <w:p>
      <w:pPr>
        <w:pStyle w:val="3"/>
        <w:spacing w:before="240" w:after="90"/>
      </w:pPr>
      <w:r>
        <w:rPr>
          <w:rFonts w:ascii="Calibri" w:hAnsi="Calibri" w:eastAsia="Calibri" w:cs="Calibri"/>
          <w:b/>
          <w:bCs/>
          <w:color w:val="B45F3B"/>
          <w:sz w:val="26"/>
          <w:szCs w:val="26"/>
        </w:rPr>
        <w:t>What destroys loyalty programmes</w:t>
      </w:r>
    </w:p>
    <w:p>
      <w:pPr>
        <w:pStyle w:val="16"/>
        <w:numPr>
          <w:ilvl w:val="0"/>
          <w:numId w:val="1"/>
        </w:numPr>
        <w:spacing w:after="60" w:line="268" w:lineRule="auto"/>
      </w:pPr>
      <w:r>
        <w:rPr>
          <w:rFonts w:ascii="Calibri" w:hAnsi="Calibri" w:eastAsia="Calibri" w:cs="Calibri"/>
          <w:color w:val="2B2B2B"/>
          <w:sz w:val="21"/>
          <w:szCs w:val="21"/>
        </w:rPr>
        <w:t>Abrupt devaluation without notice (Delta, Tesco, Marriott), engineered breakage/expiry (Air Miles), complexity with no clear value (Plenti), discount addiction (JCPenney), fraud from manual tokens (Subway), and gating rewards behind a credit card (Best Buy). Every one is avoidable with governance discipline.</w:t>
      </w:r>
      <w:r>
        <w:br w:type="page"/>
      </w:r>
    </w:p>
    <w:p>
      <w:pPr>
        <w:pStyle w:val="2"/>
        <w:pBdr>
          <w:bottom w:val="single" w:color="B45F3B" w:sz="12" w:space="6"/>
        </w:pBdr>
        <w:spacing w:before="360" w:after="140"/>
      </w:pPr>
      <w:r>
        <w:rPr>
          <w:rFonts w:ascii="Calibri" w:hAnsi="Calibri" w:eastAsia="Calibri" w:cs="Calibri"/>
          <w:b/>
          <w:bCs/>
          <w:color w:val="1A1D2B"/>
          <w:sz w:val="34"/>
          <w:szCs w:val="34"/>
        </w:rPr>
        <w:t>2. The Research Universe — Sectors &amp; Benchmark Brands</w:t>
      </w:r>
    </w:p>
    <w:p>
      <w:pPr>
        <w:spacing w:after="120" w:line="276" w:lineRule="auto"/>
        <w:jc w:val="both"/>
      </w:pPr>
      <w:r>
        <w:rPr>
          <w:rFonts w:ascii="Calibri" w:hAnsi="Calibri" w:eastAsia="Calibri" w:cs="Calibri"/>
          <w:color w:val="2B2B2B"/>
          <w:sz w:val="21"/>
          <w:szCs w:val="21"/>
        </w:rPr>
        <w:t>We focus on eight sectors and a deliberately tight set of benchmark programmes — each chosen for a mechanic relevant to a design-led accessories brand — plus the direct comparables in DailyObjects’ own category.</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100"/>
        <w:gridCol w:w="7260"/>
      </w:tblGrid>
      <w:tr>
        <w:trPr>
          <w:tblHeader/>
        </w:trPr>
        <w:tc>
          <w:tcPr>
            <w:tcW w:w="2100" w:type="dxa"/>
            <w:tcMar>
              <w:top w:w="60" w:type="dxa"/>
              <w:left w:w="90" w:type="dxa"/>
              <w:bottom w:w="60" w:type="dxa"/>
              <w:right w:w="90" w:type="dxa"/>
            </w:tcMar>
            <w:vAlign w:val="center"/>
            <w:shd w:val="clear" w:fill="1A1D2B"/>
          </w:tcPr>
          <w:p>
            <w:pPr>
              <w:spacing w:after="0" w:line="250" w:lineRule="auto"/>
              <w:jc w:val="left"/>
            </w:pPr>
            <w:r>
              <w:rPr>
                <w:rFonts w:ascii="Calibri" w:hAnsi="Calibri"/>
                <w:b/>
                <w:color w:val="FFFFFF"/>
                <w:sz w:val="18"/>
              </w:rPr>
              <w:t>Sector</w:t>
            </w:r>
          </w:p>
        </w:tc>
        <w:tc>
          <w:tcPr>
            <w:tcW w:w="7260" w:type="dxa"/>
            <w:tcMar>
              <w:top w:w="60" w:type="dxa"/>
              <w:left w:w="90" w:type="dxa"/>
              <w:bottom w:w="60" w:type="dxa"/>
              <w:right w:w="90" w:type="dxa"/>
            </w:tcMar>
            <w:vAlign w:val="center"/>
            <w:shd w:val="clear" w:fill="1A1D2B"/>
          </w:tcPr>
          <w:p>
            <w:pPr>
              <w:spacing w:after="0" w:line="250" w:lineRule="auto"/>
              <w:jc w:val="left"/>
            </w:pPr>
            <w:r>
              <w:rPr>
                <w:rFonts w:ascii="Calibri" w:hAnsi="Calibri"/>
                <w:b/>
                <w:color w:val="FFFFFF"/>
                <w:sz w:val="18"/>
              </w:rPr>
              <w:t>Benchmark programme(s) — why it’s here</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Fashion / sportswear</w:t>
            </w:r>
          </w:p>
        </w:tc>
        <w:tc>
          <w:tcPr>
            <w:tcW w:w="72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Nike Membership — </w:t>
            </w:r>
            <w:r>
              <w:rPr>
                <w:rFonts w:ascii="Calibri" w:hAnsi="Calibri"/>
                <w:color w:val="2B2B2B"/>
                <w:sz w:val="18"/>
              </w:rPr>
              <w:t>free membership; access, drops and community — zero discount.</w:t>
            </w:r>
          </w:p>
        </w:tc>
      </w:tr>
      <w:tr>
        <w:tc>
          <w:tcPr>
            <w:tcW w:w="21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Premium / lifestyle</w:t>
            </w:r>
          </w:p>
        </w:tc>
        <w:tc>
          <w:tcPr>
            <w:tcW w:w="72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 xml:space="preserve">MUJI passport — </w:t>
            </w:r>
            <w:r>
              <w:rPr>
                <w:rFonts w:ascii="Calibri" w:hAnsi="Calibri"/>
                <w:color w:val="2B2B2B"/>
                <w:sz w:val="18"/>
              </w:rPr>
              <w:t>quiet, minimalist; earn by shopping and by store check-in.</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Food &amp; beverage</w:t>
            </w:r>
          </w:p>
        </w:tc>
        <w:tc>
          <w:tcPr>
            <w:tcW w:w="72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Starbucks Rewards — </w:t>
            </w:r>
            <w:r>
              <w:rPr>
                <w:rFonts w:ascii="Calibri" w:hAnsi="Calibri"/>
                <w:color w:val="2B2B2B"/>
                <w:sz w:val="18"/>
              </w:rPr>
              <w:t>app-led habit, gamification, stored-value float and breakage.</w:t>
            </w:r>
          </w:p>
        </w:tc>
      </w:tr>
      <w:tr>
        <w:tc>
          <w:tcPr>
            <w:tcW w:w="21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Travel / hospitality</w:t>
            </w:r>
          </w:p>
        </w:tc>
        <w:tc>
          <w:tcPr>
            <w:tcW w:w="72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 xml:space="preserve">Marriott Bonvoy — </w:t>
            </w:r>
            <w:r>
              <w:rPr>
                <w:rFonts w:ascii="Calibri" w:hAnsi="Calibri"/>
                <w:color w:val="2B2B2B"/>
                <w:sz w:val="18"/>
              </w:rPr>
              <w:t>status tiers, experiential Moments, direct-booking economics.</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Financial services</w:t>
            </w:r>
          </w:p>
        </w:tc>
        <w:tc>
          <w:tcPr>
            <w:tcW w:w="72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Amex Platinum — </w:t>
            </w:r>
            <w:r>
              <w:rPr>
                <w:rFonts w:ascii="Calibri" w:hAnsi="Calibri"/>
                <w:color w:val="2B2B2B"/>
                <w:sz w:val="18"/>
              </w:rPr>
              <w:t>paid premium membership; use-it-or-lose-it credit stack; lock-in.</w:t>
            </w:r>
          </w:p>
        </w:tc>
      </w:tr>
      <w:tr>
        <w:tc>
          <w:tcPr>
            <w:tcW w:w="21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E-commerce</w:t>
            </w:r>
          </w:p>
        </w:tc>
        <w:tc>
          <w:tcPr>
            <w:tcW w:w="72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 xml:space="preserve">Amazon Prime — </w:t>
            </w:r>
            <w:r>
              <w:rPr>
                <w:rFonts w:ascii="Calibri" w:hAnsi="Calibri"/>
                <w:color w:val="2B2B2B"/>
                <w:sz w:val="18"/>
              </w:rPr>
              <w:t>paid convenience membership; sunk-cost lock-in.</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Sports / community</w:t>
            </w:r>
          </w:p>
        </w:tc>
        <w:tc>
          <w:tcPr>
            <w:tcW w:w="72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Nike Run Club — </w:t>
            </w:r>
            <w:r>
              <w:rPr>
                <w:rFonts w:ascii="Calibri" w:hAnsi="Calibri"/>
                <w:color w:val="2B2B2B"/>
                <w:sz w:val="18"/>
              </w:rPr>
              <w:t>non-transactional community, content and identity.</w:t>
            </w:r>
          </w:p>
        </w:tc>
      </w:tr>
      <w:tr>
        <w:tc>
          <w:tcPr>
            <w:tcW w:w="21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Accessories / lifestyle (direct comparables)</w:t>
            </w:r>
          </w:p>
        </w:tc>
        <w:tc>
          <w:tcPr>
            <w:tcW w:w="72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 xml:space="preserve">Casetify · Mokobara · Anker · Nomad · Bellroy — </w:t>
            </w:r>
            <w:r>
              <w:rPr>
                <w:rFonts w:ascii="Calibri" w:hAnsi="Calibri"/>
                <w:color w:val="2B2B2B"/>
                <w:sz w:val="18"/>
              </w:rPr>
              <w:t>the category itself — who runs loyalty, and who doesn’t.</w:t>
            </w:r>
          </w:p>
        </w:tc>
      </w:tr>
    </w:tbl>
    <w:p>
      <w:r>
        <w:br w:type="page"/>
      </w:r>
    </w:p>
    <w:p>
      <w:pPr>
        <w:pStyle w:val="2"/>
        <w:pBdr>
          <w:bottom w:val="single" w:color="B45F3B" w:sz="12" w:space="6"/>
        </w:pBdr>
        <w:spacing w:before="360" w:after="140"/>
      </w:pPr>
      <w:r>
        <w:rPr>
          <w:rFonts w:ascii="Calibri" w:hAnsi="Calibri" w:eastAsia="Calibri" w:cs="Calibri"/>
          <w:b/>
          <w:bCs/>
          <w:color w:val="1A1D2B"/>
          <w:sz w:val="34"/>
          <w:szCs w:val="34"/>
        </w:rPr>
        <w:t>3. What Makes a Great Loyalty Programme — The Key Tenets</w:t>
      </w:r>
    </w:p>
    <w:p>
      <w:pPr>
        <w:spacing w:after="120" w:line="276" w:lineRule="auto"/>
        <w:jc w:val="both"/>
      </w:pPr>
      <w:r>
        <w:rPr>
          <w:rFonts w:ascii="Calibri" w:hAnsi="Calibri" w:eastAsia="Calibri" w:cs="Calibri"/>
          <w:color w:val="2B2B2B"/>
          <w:sz w:val="21"/>
          <w:szCs w:val="21"/>
        </w:rPr>
        <w:t>These are the tenets we hold every programme in this report against — in each brand deep-dive that follows we note the consumer psychology it uses and which of these tenets it exemplifies. Synthesising all benchmarks, a great programme delivers value on eight dimensions — and the best premium programmes over-index on the emotional, experiential, status and community layers, not the purely economic one.</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400"/>
        <w:gridCol w:w="6960"/>
      </w:tblGrid>
      <w:tr>
        <w:trPr>
          <w:tblHeader/>
        </w:trPr>
        <w:tc>
          <w:tcPr>
            <w:tcW w:w="24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Value dimension</w:t>
            </w:r>
          </w:p>
        </w:tc>
        <w:tc>
          <w:tcPr>
            <w:tcW w:w="696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The question it answers / who does it well</w:t>
            </w:r>
          </w:p>
        </w:tc>
      </w:tr>
      <w:tr>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1. Functional</w:t>
            </w:r>
          </w:p>
        </w:tc>
        <w:tc>
          <w:tcPr>
            <w:tcW w:w="6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Does it make buying &amp; using easier? (saved prefs, free shipping, easy returns) — Amazon, Nike</w:t>
            </w:r>
          </w:p>
        </w:tc>
      </w:tr>
      <w:tr>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2. Economic</w:t>
            </w:r>
          </w:p>
        </w:tc>
        <w:tc>
          <w:tcPr>
            <w:tcW w:w="6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 believable financial worth without training discount addiction — Amex credits, Anker</w:t>
            </w:r>
          </w:p>
        </w:tc>
      </w:tr>
      <w:tr>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3. Emotional</w:t>
            </w:r>
          </w:p>
        </w:tc>
        <w:tc>
          <w:tcPr>
            <w:tcW w:w="6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Pride, delight, being seen — Nike, Nike Run Club</w:t>
            </w:r>
          </w:p>
        </w:tc>
      </w:tr>
      <w:tr>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4. Experiential</w:t>
            </w:r>
          </w:p>
        </w:tc>
        <w:tc>
          <w:tcPr>
            <w:tcW w:w="6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Access/drops/events money can’t easily buy — Marriott Moments, Nike SNKRS</w:t>
            </w:r>
          </w:p>
        </w:tc>
      </w:tr>
      <w:tr>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5. Status</w:t>
            </w:r>
          </w:p>
        </w:tc>
        <w:tc>
          <w:tcPr>
            <w:tcW w:w="6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Recognition and identity signalling — Marriott Titanium, Amex, Shoppers Stop Black</w:t>
            </w:r>
          </w:p>
        </w:tc>
      </w:tr>
      <w:tr>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6. Community</w:t>
            </w:r>
          </w:p>
        </w:tc>
        <w:tc>
          <w:tcPr>
            <w:tcW w:w="6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Belonging with people like me — Nike Run Club, boAt</w:t>
            </w:r>
          </w:p>
        </w:tc>
      </w:tr>
      <w:tr>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7. Utility</w:t>
            </w:r>
          </w:p>
        </w:tc>
        <w:tc>
          <w:tcPr>
            <w:tcW w:w="6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Worth having even when NOT buying — Nike apps, warranty/service</w:t>
            </w:r>
          </w:p>
        </w:tc>
      </w:tr>
      <w:tr>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8. Habit</w:t>
            </w:r>
          </w:p>
        </w:tc>
        <w:tc>
          <w:tcPr>
            <w:tcW w:w="6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 recurring reason to engage — Starbucks games, Myntra Insider Day</w:t>
            </w:r>
          </w:p>
        </w:tc>
      </w:tr>
    </w:tbl>
    <w:p>
      <w:pPr>
        <w:spacing w:after="80"/>
      </w:pPr>
    </w:p>
    <w:p>
      <w:pPr>
        <w:pStyle w:val="3"/>
        <w:spacing w:before="240" w:after="90"/>
      </w:pPr>
      <w:r>
        <w:rPr>
          <w:rFonts w:ascii="Calibri" w:hAnsi="Calibri" w:eastAsia="Calibri" w:cs="Calibri"/>
          <w:b/>
          <w:bCs/>
          <w:color w:val="B45F3B"/>
          <w:sz w:val="26"/>
          <w:szCs w:val="26"/>
        </w:rPr>
        <w:t>The DailyObjects Loyalty Design Principles (10)</w:t>
      </w:r>
    </w:p>
    <w:p>
      <w:pPr>
        <w:pStyle w:val="16"/>
        <w:numPr>
          <w:ilvl w:val="0"/>
          <w:numId w:val="2"/>
        </w:numPr>
        <w:spacing w:after="60" w:line="268" w:lineRule="auto"/>
      </w:pPr>
      <w:r>
        <w:rPr>
          <w:rFonts w:ascii="Calibri" w:hAnsi="Calibri" w:eastAsia="Calibri" w:cs="Calibri"/>
          <w:b/>
          <w:bCs/>
          <w:color w:val="2B2B2B"/>
          <w:sz w:val="21"/>
          <w:szCs w:val="21"/>
        </w:rPr>
        <w:t xml:space="preserve">Simplicity beats cleverness </w:t>
      </w:r>
      <w:r>
        <w:rPr>
          <w:rFonts w:ascii="Calibri" w:hAnsi="Calibri" w:eastAsia="Calibri" w:cs="Calibri"/>
          <w:color w:val="2B2B2B"/>
          <w:sz w:val="21"/>
          <w:szCs w:val="21"/>
        </w:rPr>
        <w:t>— one currency, legible earn/burn.</w:t>
      </w:r>
    </w:p>
    <w:p>
      <w:pPr>
        <w:pStyle w:val="16"/>
        <w:numPr>
          <w:ilvl w:val="0"/>
          <w:numId w:val="2"/>
        </w:numPr>
        <w:spacing w:after="60" w:line="268" w:lineRule="auto"/>
      </w:pPr>
      <w:r>
        <w:rPr>
          <w:rFonts w:ascii="Calibri" w:hAnsi="Calibri" w:eastAsia="Calibri" w:cs="Calibri"/>
          <w:b/>
          <w:bCs/>
          <w:color w:val="2B2B2B"/>
          <w:sz w:val="21"/>
          <w:szCs w:val="21"/>
        </w:rPr>
        <w:t xml:space="preserve">Recognition over discount </w:t>
      </w:r>
      <w:r>
        <w:rPr>
          <w:rFonts w:ascii="Calibri" w:hAnsi="Calibri" w:eastAsia="Calibri" w:cs="Calibri"/>
          <w:color w:val="2B2B2B"/>
          <w:sz w:val="21"/>
          <w:szCs w:val="21"/>
        </w:rPr>
        <w:t>— reward status and access to protect margin and brand.</w:t>
      </w:r>
    </w:p>
    <w:p>
      <w:pPr>
        <w:pStyle w:val="16"/>
        <w:numPr>
          <w:ilvl w:val="0"/>
          <w:numId w:val="2"/>
        </w:numPr>
        <w:spacing w:after="60" w:line="268" w:lineRule="auto"/>
      </w:pPr>
      <w:r>
        <w:rPr>
          <w:rFonts w:ascii="Calibri" w:hAnsi="Calibri" w:eastAsia="Calibri" w:cs="Calibri"/>
          <w:b/>
          <w:bCs/>
          <w:color w:val="2B2B2B"/>
          <w:sz w:val="21"/>
          <w:szCs w:val="21"/>
        </w:rPr>
        <w:t xml:space="preserve">Reward the behaviour you want </w:t>
      </w:r>
      <w:r>
        <w:rPr>
          <w:rFonts w:ascii="Calibri" w:hAnsi="Calibri" w:eastAsia="Calibri" w:cs="Calibri"/>
          <w:color w:val="2B2B2B"/>
          <w:sz w:val="21"/>
          <w:szCs w:val="21"/>
        </w:rPr>
        <w:t>(2nd purchase, cross-category, referral, app), not the behaviour you already have.</w:t>
      </w:r>
    </w:p>
    <w:p>
      <w:pPr>
        <w:pStyle w:val="16"/>
        <w:numPr>
          <w:ilvl w:val="0"/>
          <w:numId w:val="2"/>
        </w:numPr>
        <w:spacing w:after="60" w:line="268" w:lineRule="auto"/>
      </w:pPr>
      <w:r>
        <w:rPr>
          <w:rFonts w:ascii="Calibri" w:hAnsi="Calibri" w:eastAsia="Calibri" w:cs="Calibri"/>
          <w:b/>
          <w:bCs/>
          <w:color w:val="2B2B2B"/>
          <w:sz w:val="21"/>
          <w:szCs w:val="21"/>
        </w:rPr>
        <w:t xml:space="preserve">Emotional + experiential benefits create defensibility </w:t>
      </w:r>
      <w:r>
        <w:rPr>
          <w:rFonts w:ascii="Calibri" w:hAnsi="Calibri" w:eastAsia="Calibri" w:cs="Calibri"/>
          <w:color w:val="2B2B2B"/>
          <w:sz w:val="21"/>
          <w:szCs w:val="21"/>
        </w:rPr>
        <w:t>— monetary-only programmes get copied and start price wars.</w:t>
      </w:r>
    </w:p>
    <w:p>
      <w:pPr>
        <w:pStyle w:val="16"/>
        <w:numPr>
          <w:ilvl w:val="0"/>
          <w:numId w:val="2"/>
        </w:numPr>
        <w:spacing w:after="60" w:line="268" w:lineRule="auto"/>
      </w:pPr>
      <w:r>
        <w:rPr>
          <w:rFonts w:ascii="Calibri" w:hAnsi="Calibri" w:eastAsia="Calibri" w:cs="Calibri"/>
          <w:b/>
          <w:bCs/>
          <w:color w:val="2B2B2B"/>
          <w:sz w:val="21"/>
          <w:szCs w:val="21"/>
        </w:rPr>
        <w:t xml:space="preserve">One identity across every channel </w:t>
      </w:r>
      <w:r>
        <w:rPr>
          <w:rFonts w:ascii="Calibri" w:hAnsi="Calibri" w:eastAsia="Calibri" w:cs="Calibri"/>
          <w:color w:val="2B2B2B"/>
          <w:sz w:val="21"/>
          <w:szCs w:val="21"/>
        </w:rPr>
        <w:t>— omnichannel is the moat.</w:t>
      </w:r>
    </w:p>
    <w:p>
      <w:pPr>
        <w:pStyle w:val="16"/>
        <w:numPr>
          <w:ilvl w:val="0"/>
          <w:numId w:val="2"/>
        </w:numPr>
        <w:spacing w:after="60" w:line="268" w:lineRule="auto"/>
      </w:pPr>
      <w:r>
        <w:rPr>
          <w:rFonts w:ascii="Calibri" w:hAnsi="Calibri" w:eastAsia="Calibri" w:cs="Calibri"/>
          <w:b/>
          <w:bCs/>
          <w:color w:val="2B2B2B"/>
          <w:sz w:val="21"/>
          <w:szCs w:val="21"/>
        </w:rPr>
        <w:t xml:space="preserve">Make the first reward fast </w:t>
      </w:r>
      <w:r>
        <w:rPr>
          <w:rFonts w:ascii="Calibri" w:hAnsi="Calibri" w:eastAsia="Calibri" w:cs="Calibri"/>
          <w:color w:val="2B2B2B"/>
          <w:sz w:val="21"/>
          <w:szCs w:val="21"/>
        </w:rPr>
        <w:t>(endowed progress / goal gradient).</w:t>
      </w:r>
    </w:p>
    <w:p>
      <w:pPr>
        <w:pStyle w:val="16"/>
        <w:numPr>
          <w:ilvl w:val="0"/>
          <w:numId w:val="2"/>
        </w:numPr>
        <w:spacing w:after="60" w:line="268" w:lineRule="auto"/>
      </w:pPr>
      <w:r>
        <w:rPr>
          <w:rFonts w:ascii="Calibri" w:hAnsi="Calibri" w:eastAsia="Calibri" w:cs="Calibri"/>
          <w:b/>
          <w:bCs/>
          <w:color w:val="2B2B2B"/>
          <w:sz w:val="21"/>
          <w:szCs w:val="21"/>
        </w:rPr>
        <w:t xml:space="preserve">Fund from incrementality and margin </w:t>
      </w:r>
      <w:r>
        <w:rPr>
          <w:rFonts w:ascii="Calibri" w:hAnsi="Calibri" w:eastAsia="Calibri" w:cs="Calibri"/>
          <w:color w:val="2B2B2B"/>
          <w:sz w:val="21"/>
          <w:szCs w:val="21"/>
        </w:rPr>
        <w:t>— manage liability and breakage deliberately.</w:t>
      </w:r>
    </w:p>
    <w:p>
      <w:pPr>
        <w:pStyle w:val="16"/>
        <w:numPr>
          <w:ilvl w:val="0"/>
          <w:numId w:val="2"/>
        </w:numPr>
        <w:spacing w:after="60" w:line="268" w:lineRule="auto"/>
      </w:pPr>
      <w:r>
        <w:rPr>
          <w:rFonts w:ascii="Calibri" w:hAnsi="Calibri" w:eastAsia="Calibri" w:cs="Calibri"/>
          <w:b/>
          <w:bCs/>
          <w:color w:val="2B2B2B"/>
          <w:sz w:val="21"/>
          <w:szCs w:val="21"/>
        </w:rPr>
        <w:t xml:space="preserve">Data is the real ROI </w:t>
      </w:r>
      <w:r>
        <w:rPr>
          <w:rFonts w:ascii="Calibri" w:hAnsi="Calibri" w:eastAsia="Calibri" w:cs="Calibri"/>
          <w:color w:val="2B2B2B"/>
          <w:sz w:val="21"/>
          <w:szCs w:val="21"/>
        </w:rPr>
        <w:t>— identify, unify, personalise.</w:t>
      </w:r>
    </w:p>
    <w:p>
      <w:pPr>
        <w:pStyle w:val="16"/>
        <w:numPr>
          <w:ilvl w:val="0"/>
          <w:numId w:val="2"/>
        </w:numPr>
        <w:spacing w:after="60" w:line="268" w:lineRule="auto"/>
      </w:pPr>
      <w:r>
        <w:rPr>
          <w:rFonts w:ascii="Calibri" w:hAnsi="Calibri" w:eastAsia="Calibri" w:cs="Calibri"/>
          <w:b/>
          <w:bCs/>
          <w:color w:val="2B2B2B"/>
          <w:sz w:val="21"/>
          <w:szCs w:val="21"/>
        </w:rPr>
        <w:t xml:space="preserve">Design the system over time </w:t>
      </w:r>
      <w:r>
        <w:rPr>
          <w:rFonts w:ascii="Calibri" w:hAnsi="Calibri" w:eastAsia="Calibri" w:cs="Calibri"/>
          <w:color w:val="2B2B2B"/>
          <w:sz w:val="21"/>
          <w:szCs w:val="21"/>
        </w:rPr>
        <w:t>— expiry, tier refresh, reactivation, governance.</w:t>
      </w:r>
    </w:p>
    <w:p>
      <w:pPr>
        <w:pStyle w:val="16"/>
        <w:numPr>
          <w:ilvl w:val="0"/>
          <w:numId w:val="2"/>
        </w:numPr>
        <w:spacing w:after="60" w:line="268" w:lineRule="auto"/>
      </w:pPr>
      <w:r>
        <w:rPr>
          <w:rFonts w:ascii="Calibri" w:hAnsi="Calibri" w:eastAsia="Calibri" w:cs="Calibri"/>
          <w:b/>
          <w:bCs/>
          <w:color w:val="2B2B2B"/>
          <w:sz w:val="21"/>
          <w:szCs w:val="21"/>
        </w:rPr>
        <w:t xml:space="preserve">Differentiate by segment </w:t>
      </w:r>
      <w:r>
        <w:rPr>
          <w:rFonts w:ascii="Calibri" w:hAnsi="Calibri" w:eastAsia="Calibri" w:cs="Calibri"/>
          <w:color w:val="2B2B2B"/>
          <w:sz w:val="21"/>
          <w:szCs w:val="21"/>
        </w:rPr>
        <w:t>— not every customer gets the same proposition.</w:t>
      </w:r>
    </w:p>
    <w:p>
      <w:r>
        <w:br w:type="page"/>
      </w:r>
    </w:p>
    <w:p>
      <w:pPr>
        <w:pStyle w:val="2"/>
        <w:pBdr>
          <w:bottom w:val="single" w:color="B45F3B" w:sz="12" w:space="6"/>
        </w:pBdr>
        <w:spacing w:before="360" w:after="140"/>
      </w:pPr>
      <w:r>
        <w:rPr>
          <w:rFonts w:ascii="Calibri" w:hAnsi="Calibri" w:eastAsia="Calibri" w:cs="Calibri"/>
          <w:b/>
          <w:bCs/>
          <w:color w:val="1A1D2B"/>
          <w:sz w:val="34"/>
          <w:szCs w:val="34"/>
        </w:rPr>
        <w:t>4. Problem Statements a Loyalty Programme Can Address</w:t>
      </w:r>
    </w:p>
    <w:p>
      <w:pPr>
        <w:spacing w:after="160"/>
      </w:pPr>
      <w:r>
        <w:rPr>
          <w:rFonts w:ascii="Calibri" w:hAnsi="Calibri"/>
          <w:color w:val="2B2B2B"/>
          <w:sz w:val="21"/>
        </w:rPr>
        <w:t>A loyalty programme is a means, not an end. Before choosing mechanics, be explicit about the business problem it must solve. Below are the problems most relevant to DailyObjects, what “good” looks like for each, and the benchmark that solves it best — so the design in later sections targets a problem, not a fashion.</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50"/>
        <w:gridCol w:w="2950"/>
        <w:gridCol w:w="2000"/>
        <w:gridCol w:w="1760"/>
      </w:tblGrid>
      <w:tr>
        <w:trPr>
          <w:tblHeader/>
        </w:trPr>
        <w:tc>
          <w:tcPr>
            <w:tcW w:w="2650" w:type="dxa"/>
            <w:tcMar>
              <w:top w:w="60" w:type="dxa"/>
              <w:left w:w="90" w:type="dxa"/>
              <w:bottom w:w="60" w:type="dxa"/>
              <w:right w:w="90" w:type="dxa"/>
            </w:tcMar>
            <w:vAlign w:val="center"/>
            <w:shd w:val="clear" w:fill="1A1D2B"/>
          </w:tcPr>
          <w:p>
            <w:pPr>
              <w:spacing w:after="0" w:line="250" w:lineRule="auto"/>
              <w:jc w:val="left"/>
            </w:pPr>
            <w:r>
              <w:rPr>
                <w:rFonts w:ascii="Calibri" w:hAnsi="Calibri"/>
                <w:b/>
                <w:color w:val="FFFFFF"/>
                <w:sz w:val="18"/>
              </w:rPr>
              <w:t>Problem statement</w:t>
            </w:r>
          </w:p>
        </w:tc>
        <w:tc>
          <w:tcPr>
            <w:tcW w:w="2950" w:type="dxa"/>
            <w:tcMar>
              <w:top w:w="60" w:type="dxa"/>
              <w:left w:w="90" w:type="dxa"/>
              <w:bottom w:w="60" w:type="dxa"/>
              <w:right w:w="90" w:type="dxa"/>
            </w:tcMar>
            <w:vAlign w:val="center"/>
            <w:shd w:val="clear" w:fill="1A1D2B"/>
          </w:tcPr>
          <w:p>
            <w:pPr>
              <w:spacing w:after="0" w:line="250" w:lineRule="auto"/>
              <w:jc w:val="left"/>
            </w:pPr>
            <w:r>
              <w:rPr>
                <w:rFonts w:ascii="Calibri" w:hAnsi="Calibri"/>
                <w:b/>
                <w:color w:val="FFFFFF"/>
                <w:sz w:val="18"/>
              </w:rPr>
              <w:t>What “good” looks like</w:t>
            </w:r>
          </w:p>
        </w:tc>
        <w:tc>
          <w:tcPr>
            <w:tcW w:w="2000" w:type="dxa"/>
            <w:tcMar>
              <w:top w:w="60" w:type="dxa"/>
              <w:left w:w="90" w:type="dxa"/>
              <w:bottom w:w="60" w:type="dxa"/>
              <w:right w:w="90" w:type="dxa"/>
            </w:tcMar>
            <w:vAlign w:val="center"/>
            <w:shd w:val="clear" w:fill="1A1D2B"/>
          </w:tcPr>
          <w:p>
            <w:pPr>
              <w:spacing w:after="0" w:line="250" w:lineRule="auto"/>
              <w:jc w:val="left"/>
            </w:pPr>
            <w:r>
              <w:rPr>
                <w:rFonts w:ascii="Calibri" w:hAnsi="Calibri"/>
                <w:b/>
                <w:color w:val="FFFFFF"/>
                <w:sz w:val="18"/>
              </w:rPr>
              <w:t>Best-in-class exemplar</w:t>
            </w:r>
          </w:p>
        </w:tc>
        <w:tc>
          <w:tcPr>
            <w:tcW w:w="1760" w:type="dxa"/>
            <w:tcMar>
              <w:top w:w="60" w:type="dxa"/>
              <w:left w:w="90" w:type="dxa"/>
              <w:bottom w:w="60" w:type="dxa"/>
              <w:right w:w="90" w:type="dxa"/>
            </w:tcMar>
            <w:vAlign w:val="center"/>
            <w:shd w:val="clear" w:fill="1A1D2B"/>
          </w:tcPr>
          <w:p>
            <w:pPr>
              <w:spacing w:after="0" w:line="250" w:lineRule="auto"/>
              <w:jc w:val="left"/>
            </w:pPr>
            <w:r>
              <w:rPr>
                <w:rFonts w:ascii="Calibri" w:hAnsi="Calibri"/>
                <w:b/>
                <w:color w:val="FFFFFF"/>
                <w:sz w:val="18"/>
              </w:rPr>
              <w:t>Relevance</w:t>
            </w:r>
          </w:p>
        </w:tc>
      </w:tr>
      <w:tr>
        <w:tc>
          <w:tcPr>
            <w:tcW w:w="265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Weak first → second purchase</w:t>
            </w:r>
          </w:p>
        </w:tc>
        <w:tc>
          <w:tcPr>
            <w:tcW w:w="295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A fast first reward + a real reason to return</w:t>
            </w:r>
          </w:p>
        </w:tc>
        <w:tc>
          <w:tcPr>
            <w:tcW w:w="200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Amazon Prime · Starbucks</w:t>
            </w:r>
          </w:p>
        </w:tc>
        <w:tc>
          <w:tcPr>
            <w:tcW w:w="1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HIGH</w:t>
            </w:r>
          </w:p>
        </w:tc>
      </w:tr>
      <w:tr>
        <w:tc>
          <w:tcPr>
            <w:tcW w:w="265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No reason to engage between purchases</w:t>
            </w:r>
          </w:p>
        </w:tc>
        <w:tc>
          <w:tcPr>
            <w:tcW w:w="29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Utility or community outside the transaction</w:t>
            </w:r>
          </w:p>
        </w:tc>
        <w:tc>
          <w:tcPr>
            <w:tcW w:w="20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Nike Run Club · MUJI</w:t>
            </w:r>
          </w:p>
        </w:tc>
        <w:tc>
          <w:tcPr>
            <w:tcW w:w="17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HIGH</w:t>
            </w:r>
          </w:p>
        </w:tc>
      </w:tr>
      <w:tr>
        <w:tc>
          <w:tcPr>
            <w:tcW w:w="265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Discount dependence eroding margin</w:t>
            </w:r>
          </w:p>
        </w:tc>
        <w:tc>
          <w:tcPr>
            <w:tcW w:w="295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Reward with access &amp; status, not money off</w:t>
            </w:r>
          </w:p>
        </w:tc>
        <w:tc>
          <w:tcPr>
            <w:tcW w:w="200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Nike · MUJI · Marriott</w:t>
            </w:r>
          </w:p>
        </w:tc>
        <w:tc>
          <w:tcPr>
            <w:tcW w:w="1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HIGH</w:t>
            </w:r>
          </w:p>
        </w:tc>
      </w:tr>
      <w:tr>
        <w:tc>
          <w:tcPr>
            <w:tcW w:w="265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Weak emotional attachment / commoditised</w:t>
            </w:r>
          </w:p>
        </w:tc>
        <w:tc>
          <w:tcPr>
            <w:tcW w:w="29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Identity, status and community</w:t>
            </w:r>
          </w:p>
        </w:tc>
        <w:tc>
          <w:tcPr>
            <w:tcW w:w="20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Nike · Nike Run Club · Marriott</w:t>
            </w:r>
          </w:p>
        </w:tc>
        <w:tc>
          <w:tcPr>
            <w:tcW w:w="17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HIGH</w:t>
            </w:r>
          </w:p>
        </w:tc>
      </w:tr>
      <w:tr>
        <w:tc>
          <w:tcPr>
            <w:tcW w:w="265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Best customers unrecognised / VIP churn</w:t>
            </w:r>
          </w:p>
        </w:tc>
        <w:tc>
          <w:tcPr>
            <w:tcW w:w="295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Visible status + premium recognition</w:t>
            </w:r>
          </w:p>
        </w:tc>
        <w:tc>
          <w:tcPr>
            <w:tcW w:w="200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Marriott · Amex</w:t>
            </w:r>
          </w:p>
        </w:tc>
        <w:tc>
          <w:tcPr>
            <w:tcW w:w="1760" w:type="dxa"/>
            <w:tcMar>
              <w:top w:w="60" w:type="dxa"/>
              <w:left w:w="90" w:type="dxa"/>
              <w:bottom w:w="60" w:type="dxa"/>
              <w:right w:w="90" w:type="dxa"/>
            </w:tcMar>
            <w:vAlign w:val="center"/>
          </w:tcPr>
          <w:p>
            <w:pPr>
              <w:spacing w:after="0" w:line="250" w:lineRule="auto"/>
              <w:jc w:val="left"/>
            </w:pPr>
            <w:r>
              <w:rPr>
                <w:rFonts w:ascii="Calibri" w:hAnsi="Calibri"/>
                <w:b/>
                <w:color w:val="6A6F7E"/>
                <w:sz w:val="18"/>
              </w:rPr>
              <w:t>MEDIUM</w:t>
            </w:r>
          </w:p>
        </w:tc>
      </w:tr>
      <w:tr>
        <w:tc>
          <w:tcPr>
            <w:tcW w:w="265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Thin first-party data &amp; personalisation</w:t>
            </w:r>
          </w:p>
        </w:tc>
        <w:tc>
          <w:tcPr>
            <w:tcW w:w="29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Identity capture + behavioural data</w:t>
            </w:r>
          </w:p>
        </w:tc>
        <w:tc>
          <w:tcPr>
            <w:tcW w:w="20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Amazon · Starbucks</w:t>
            </w:r>
          </w:p>
        </w:tc>
        <w:tc>
          <w:tcPr>
            <w:tcW w:w="17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6A6F7E"/>
                <w:sz w:val="18"/>
              </w:rPr>
              <w:t>MEDIUM</w:t>
            </w:r>
          </w:p>
        </w:tc>
      </w:tr>
      <w:tr>
        <w:tc>
          <w:tcPr>
            <w:tcW w:w="265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Low AOV / shallow cross-category</w:t>
            </w:r>
          </w:p>
        </w:tc>
        <w:tc>
          <w:tcPr>
            <w:tcW w:w="295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Thresholds &amp; status that pull spend up and across</w:t>
            </w:r>
          </w:p>
        </w:tc>
        <w:tc>
          <w:tcPr>
            <w:tcW w:w="200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Marriott · Amazon</w:t>
            </w:r>
          </w:p>
        </w:tc>
        <w:tc>
          <w:tcPr>
            <w:tcW w:w="1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HIGH</w:t>
            </w:r>
          </w:p>
        </w:tc>
      </w:tr>
      <w:tr>
        <w:tc>
          <w:tcPr>
            <w:tcW w:w="265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Fragmented cross-channel experience</w:t>
            </w:r>
          </w:p>
        </w:tc>
        <w:tc>
          <w:tcPr>
            <w:tcW w:w="29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One identity, balance &amp; status everywhere</w:t>
            </w:r>
          </w:p>
        </w:tc>
        <w:tc>
          <w:tcPr>
            <w:tcW w:w="20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Nike · Starbucks</w:t>
            </w:r>
          </w:p>
        </w:tc>
        <w:tc>
          <w:tcPr>
            <w:tcW w:w="17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HIGH</w:t>
            </w:r>
          </w:p>
        </w:tc>
      </w:tr>
      <w:tr>
        <w:tc>
          <w:tcPr>
            <w:tcW w:w="265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High acquisition cost / weak advocacy</w:t>
            </w:r>
          </w:p>
        </w:tc>
        <w:tc>
          <w:tcPr>
            <w:tcW w:w="295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Community &amp; referral that create advocates</w:t>
            </w:r>
          </w:p>
        </w:tc>
        <w:tc>
          <w:tcPr>
            <w:tcW w:w="200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Nike · Nike Run Club</w:t>
            </w:r>
          </w:p>
        </w:tc>
        <w:tc>
          <w:tcPr>
            <w:tcW w:w="1760" w:type="dxa"/>
            <w:tcMar>
              <w:top w:w="60" w:type="dxa"/>
              <w:left w:w="90" w:type="dxa"/>
              <w:bottom w:w="60" w:type="dxa"/>
              <w:right w:w="90" w:type="dxa"/>
            </w:tcMar>
            <w:vAlign w:val="center"/>
          </w:tcPr>
          <w:p>
            <w:pPr>
              <w:spacing w:after="0" w:line="250" w:lineRule="auto"/>
              <w:jc w:val="left"/>
            </w:pPr>
            <w:r>
              <w:rPr>
                <w:rFonts w:ascii="Calibri" w:hAnsi="Calibri"/>
                <w:b/>
                <w:color w:val="6A6F7E"/>
                <w:sz w:val="18"/>
              </w:rPr>
              <w:t>MEDIUM</w:t>
            </w:r>
          </w:p>
        </w:tc>
      </w:tr>
    </w:tbl>
    <w:p>
      <w:pPr>
        <w:spacing w:before="120"/>
      </w:pPr>
      <w:r>
        <w:rPr>
          <w:rFonts w:ascii="Calibri" w:hAnsi="Calibri"/>
          <w:color w:val="2B2B2B"/>
          <w:sz w:val="21"/>
        </w:rPr>
        <w:t xml:space="preserve">Among the direct comparables, </w:t>
      </w:r>
      <w:r>
        <w:rPr>
          <w:rFonts w:ascii="Calibri" w:hAnsi="Calibri"/>
          <w:b/>
          <w:color w:val="2B2B2B"/>
          <w:sz w:val="21"/>
        </w:rPr>
        <w:t>Casetify</w:t>
      </w:r>
      <w:r>
        <w:rPr>
          <w:rFonts w:ascii="Calibri" w:hAnsi="Calibri"/>
          <w:color w:val="2B2B2B"/>
          <w:sz w:val="21"/>
        </w:rPr>
        <w:t xml:space="preserve"> shows tiers + warranty solving retention, </w:t>
      </w:r>
      <w:r>
        <w:rPr>
          <w:rFonts w:ascii="Calibri" w:hAnsi="Calibri"/>
          <w:b/>
          <w:color w:val="2B2B2B"/>
          <w:sz w:val="21"/>
        </w:rPr>
        <w:t>Mokobara</w:t>
      </w:r>
      <w:r>
        <w:rPr>
          <w:rFonts w:ascii="Calibri" w:hAnsi="Calibri"/>
          <w:color w:val="2B2B2B"/>
          <w:sz w:val="21"/>
        </w:rPr>
        <w:t xml:space="preserve"> shows that frequency is the precondition for loyalty economics, and </w:t>
      </w:r>
      <w:r>
        <w:rPr>
          <w:rFonts w:ascii="Calibri" w:hAnsi="Calibri"/>
          <w:b/>
          <w:color w:val="2B2B2B"/>
          <w:sz w:val="21"/>
        </w:rPr>
        <w:t>Nomad &amp; Bellroy</w:t>
      </w:r>
      <w:r>
        <w:rPr>
          <w:rFonts w:ascii="Calibri" w:hAnsi="Calibri"/>
          <w:color w:val="2B2B2B"/>
          <w:sz w:val="21"/>
        </w:rPr>
        <w:t xml:space="preserve"> show the cost of doing nothing — the whitespace. DailyObjects should target the HIGH-relevance problems above, not chase mechanics for their own sake.</w:t>
      </w:r>
    </w:p>
    <w:p>
      <w:pPr>
        <w:pStyle w:val="2"/>
        <w:pBdr>
          <w:bottom w:val="single" w:color="B45F3B" w:sz="12" w:space="6"/>
        </w:pBdr>
        <w:spacing w:before="360" w:after="140"/>
      </w:pPr>
      <w:r>
        <w:rPr>
          <w:rFonts w:ascii="Calibri" w:hAnsi="Calibri" w:eastAsia="Calibri" w:cs="Calibri"/>
          <w:b/>
          <w:bCs/>
          <w:color w:val="1A1D2B"/>
          <w:sz w:val="34"/>
          <w:szCs w:val="34"/>
        </w:rPr>
        <w:t>5. Sector Benchmarking — Master Comparison</w:t>
      </w:r>
    </w:p>
    <w:p>
      <w:pPr>
        <w:spacing w:after="120" w:line="276" w:lineRule="auto"/>
        <w:jc w:val="both"/>
      </w:pPr>
      <w:r>
        <w:rPr>
          <w:rFonts w:ascii="Calibri" w:hAnsi="Calibri"/>
          <w:b w:val="0"/>
          <w:color w:val="2B2B2B"/>
          <w:sz w:val="21"/>
        </w:rPr>
        <w:t>Thirteen programmes, standardised — this is the map; the deep-dives that follow are the territory. Column key: Pay = free vs paid membership · Pts = uses a points currency · Tiers = tiered status levels · Exp. = experiences / access rewards (events, early access, launches, workshops) · Comm. = community / belonging layer (forums, events, UGC, tribe identity) · Omni = omnichannel (one identity and benefits online and offline). Cells: Y = strong · ~ = partial · – = none.</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1460"/>
        <w:gridCol w:w="1164"/>
        <w:gridCol w:w="699"/>
        <w:gridCol w:w="599"/>
        <w:gridCol w:w="636"/>
        <w:gridCol w:w="611"/>
        <w:gridCol w:w="800"/>
        <w:gridCol w:w="692"/>
        <w:gridCol w:w="2699"/>
      </w:tblGrid>
      <w:tr>
        <w:trPr>
          <w:tblHeader/>
        </w:trPr>
        <w:tc>
          <w:tcPr>
            <w:tcW w:w="15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Brand</w:t>
            </w:r>
          </w:p>
        </w:tc>
        <w:tc>
          <w:tcPr>
            <w:tcW w:w="105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Sector</w:t>
            </w:r>
          </w:p>
        </w:tc>
        <w:tc>
          <w:tcPr>
            <w:tcW w:w="72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Pay</w:t>
            </w:r>
          </w:p>
        </w:tc>
        <w:tc>
          <w:tcPr>
            <w:tcW w:w="62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Pts</w:t>
            </w:r>
          </w:p>
        </w:tc>
        <w:tc>
          <w:tcPr>
            <w:tcW w:w="64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Tiers</w:t>
            </w:r>
          </w:p>
        </w:tc>
        <w:tc>
          <w:tcPr>
            <w:tcW w:w="62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Exp.</w:t>
            </w:r>
          </w:p>
        </w:tc>
        <w:tc>
          <w:tcPr>
            <w:tcW w:w="7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Comm.</w:t>
            </w:r>
          </w:p>
        </w:tc>
        <w:tc>
          <w:tcPr>
            <w:tcW w:w="7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Omni</w:t>
            </w:r>
          </w:p>
        </w:tc>
        <w:tc>
          <w:tcPr>
            <w:tcW w:w="281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Key differentiator / lesson</w:t>
            </w:r>
          </w:p>
        </w:tc>
      </w:tr>
      <w:tr>
        <w:tc>
          <w:tcPr>
            <w:tcW w:w="1500" w:type="dxa"/>
            <w:tcMar>
              <w:top w:w="60" w:type="dxa"/>
              <w:left w:w="90" w:type="dxa"/>
              <w:bottom w:w="60" w:type="dxa"/>
              <w:right w:w="90" w:type="dxa"/>
            </w:tcMar>
            <w:vAlign w:val="center"/>
          </w:tcPr>
          <w:p>
            <w:pPr>
              <w:spacing w:after="0" w:line="250" w:lineRule="auto"/>
              <w:jc w:val="left"/>
            </w:pPr>
            <w:r>
              <w:rPr>
                <w:rFonts w:ascii="Calibri" w:hAnsi="Calibri"/>
                <w:b/>
                <w:color w:val="2B2B2B"/>
                <w:sz w:val="17"/>
              </w:rPr>
              <w:t>Nike</w:t>
            </w:r>
          </w:p>
        </w:tc>
        <w:tc>
          <w:tcPr>
            <w:tcW w:w="105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Sportswear</w:t>
            </w:r>
          </w:p>
        </w:tc>
        <w:tc>
          <w:tcPr>
            <w:tcW w:w="7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4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Access + community, zero discount</w:t>
            </w:r>
          </w:p>
        </w:tc>
      </w:tr>
      <w:tr>
        <w:tc>
          <w:tcPr>
            <w:tcW w:w="15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7"/>
              </w:rPr>
              <w:t>MUJI</w:t>
            </w:r>
          </w:p>
        </w:tc>
        <w:tc>
          <w:tcPr>
            <w:tcW w:w="10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Lifestyle</w:t>
            </w:r>
          </w:p>
        </w:tc>
        <w:tc>
          <w:tcPr>
            <w:tcW w:w="7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64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Quiet minimalist mechanics + store check-in</w:t>
            </w:r>
          </w:p>
        </w:tc>
      </w:tr>
      <w:tr>
        <w:tc>
          <w:tcPr>
            <w:tcW w:w="1500" w:type="dxa"/>
            <w:tcMar>
              <w:top w:w="60" w:type="dxa"/>
              <w:left w:w="90" w:type="dxa"/>
              <w:bottom w:w="60" w:type="dxa"/>
              <w:right w:w="90" w:type="dxa"/>
            </w:tcMar>
            <w:vAlign w:val="center"/>
          </w:tcPr>
          <w:p>
            <w:pPr>
              <w:spacing w:after="0" w:line="250" w:lineRule="auto"/>
              <w:jc w:val="left"/>
            </w:pPr>
            <w:r>
              <w:rPr>
                <w:rFonts w:ascii="Calibri" w:hAnsi="Calibri"/>
                <w:b/>
                <w:color w:val="2B2B2B"/>
                <w:sz w:val="17"/>
              </w:rPr>
              <w:t>Starbucks</w:t>
            </w:r>
          </w:p>
        </w:tc>
        <w:tc>
          <w:tcPr>
            <w:tcW w:w="105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F&amp;B</w:t>
            </w:r>
          </w:p>
        </w:tc>
        <w:tc>
          <w:tcPr>
            <w:tcW w:w="7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64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App habit + stored-value float &amp; breakage</w:t>
            </w:r>
          </w:p>
        </w:tc>
      </w:tr>
      <w:tr>
        <w:tc>
          <w:tcPr>
            <w:tcW w:w="15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7"/>
              </w:rPr>
              <w:t>Marriott Bonvoy</w:t>
            </w:r>
          </w:p>
        </w:tc>
        <w:tc>
          <w:tcPr>
            <w:tcW w:w="10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Hotels</w:t>
            </w:r>
          </w:p>
        </w:tc>
        <w:tc>
          <w:tcPr>
            <w:tcW w:w="7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64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Status chase + experiential Moments</w:t>
            </w:r>
          </w:p>
        </w:tc>
      </w:tr>
      <w:tr>
        <w:tc>
          <w:tcPr>
            <w:tcW w:w="1500" w:type="dxa"/>
            <w:tcMar>
              <w:top w:w="60" w:type="dxa"/>
              <w:left w:w="90" w:type="dxa"/>
              <w:bottom w:w="60" w:type="dxa"/>
              <w:right w:w="90" w:type="dxa"/>
            </w:tcMar>
            <w:vAlign w:val="center"/>
          </w:tcPr>
          <w:p>
            <w:pPr>
              <w:spacing w:after="0" w:line="250" w:lineRule="auto"/>
              <w:jc w:val="left"/>
            </w:pPr>
            <w:r>
              <w:rPr>
                <w:rFonts w:ascii="Calibri" w:hAnsi="Calibri"/>
                <w:b/>
                <w:color w:val="2B2B2B"/>
                <w:sz w:val="17"/>
              </w:rPr>
              <w:t>Amex Platinum</w:t>
            </w:r>
          </w:p>
        </w:tc>
        <w:tc>
          <w:tcPr>
            <w:tcW w:w="105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Fin. services</w:t>
            </w:r>
          </w:p>
        </w:tc>
        <w:tc>
          <w:tcPr>
            <w:tcW w:w="7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Paid</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64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Use-it-or-lose-it credits; engagement = retention</w:t>
            </w:r>
          </w:p>
        </w:tc>
      </w:tr>
      <w:tr>
        <w:tc>
          <w:tcPr>
            <w:tcW w:w="15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7"/>
              </w:rPr>
              <w:t>Amazon Prime</w:t>
            </w:r>
          </w:p>
        </w:tc>
        <w:tc>
          <w:tcPr>
            <w:tcW w:w="10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E-commerce</w:t>
            </w:r>
          </w:p>
        </w:tc>
        <w:tc>
          <w:tcPr>
            <w:tcW w:w="7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Paid</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64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Paid convenience at ~10x perceived value</w:t>
            </w:r>
          </w:p>
        </w:tc>
      </w:tr>
      <w:tr>
        <w:tc>
          <w:tcPr>
            <w:tcW w:w="1500" w:type="dxa"/>
            <w:tcMar>
              <w:top w:w="60" w:type="dxa"/>
              <w:left w:w="90" w:type="dxa"/>
              <w:bottom w:w="60" w:type="dxa"/>
              <w:right w:w="90" w:type="dxa"/>
            </w:tcMar>
            <w:vAlign w:val="center"/>
          </w:tcPr>
          <w:p>
            <w:pPr>
              <w:spacing w:after="0" w:line="250" w:lineRule="auto"/>
              <w:jc w:val="left"/>
            </w:pPr>
            <w:r>
              <w:rPr>
                <w:rFonts w:ascii="Calibri" w:hAnsi="Calibri"/>
                <w:b/>
                <w:color w:val="2B2B2B"/>
                <w:sz w:val="17"/>
              </w:rPr>
              <w:t>Nike Run Club</w:t>
            </w:r>
          </w:p>
        </w:tc>
        <w:tc>
          <w:tcPr>
            <w:tcW w:w="105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Sports/community</w:t>
            </w:r>
          </w:p>
        </w:tc>
        <w:tc>
          <w:tcPr>
            <w:tcW w:w="7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4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Non-transactional utility &amp; community</w:t>
            </w:r>
          </w:p>
        </w:tc>
      </w:tr>
      <w:tr>
        <w:tc>
          <w:tcPr>
            <w:tcW w:w="15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7"/>
              </w:rPr>
              <w:t>Casetify</w:t>
            </w:r>
          </w:p>
        </w:tc>
        <w:tc>
          <w:tcPr>
            <w:tcW w:w="10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Accessories</w:t>
            </w:r>
          </w:p>
        </w:tc>
        <w:tc>
          <w:tcPr>
            <w:tcW w:w="7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64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281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In-category: tiers + birthday + warranty (voucher-led)</w:t>
            </w:r>
          </w:p>
        </w:tc>
      </w:tr>
      <w:tr>
        <w:tc>
          <w:tcPr>
            <w:tcW w:w="1500" w:type="dxa"/>
            <w:tcMar>
              <w:top w:w="60" w:type="dxa"/>
              <w:left w:w="90" w:type="dxa"/>
              <w:bottom w:w="60" w:type="dxa"/>
              <w:right w:w="90" w:type="dxa"/>
            </w:tcMar>
            <w:vAlign w:val="center"/>
          </w:tcPr>
          <w:p>
            <w:pPr>
              <w:spacing w:after="0" w:line="250" w:lineRule="auto"/>
              <w:jc w:val="left"/>
            </w:pPr>
            <w:r>
              <w:rPr>
                <w:rFonts w:ascii="Calibri" w:hAnsi="Calibri"/>
                <w:b/>
                <w:color w:val="2B2B2B"/>
                <w:sz w:val="17"/>
              </w:rPr>
              <w:t>Mokobara</w:t>
            </w:r>
          </w:p>
        </w:tc>
        <w:tc>
          <w:tcPr>
            <w:tcW w:w="105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Accessories</w:t>
            </w:r>
          </w:p>
        </w:tc>
        <w:tc>
          <w:tcPr>
            <w:tcW w:w="7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Paid</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64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Y</w:t>
            </w:r>
          </w:p>
        </w:tc>
        <w:tc>
          <w:tcPr>
            <w:tcW w:w="281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Paid tier, sale-proof discount, long warranty</w:t>
            </w:r>
          </w:p>
        </w:tc>
      </w:tr>
      <w:tr>
        <w:tc>
          <w:tcPr>
            <w:tcW w:w="15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7"/>
              </w:rPr>
              <w:t>Anker</w:t>
            </w:r>
          </w:p>
        </w:tc>
        <w:tc>
          <w:tcPr>
            <w:tcW w:w="10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Charging</w:t>
            </w:r>
          </w:p>
        </w:tc>
        <w:tc>
          <w:tcPr>
            <w:tcW w:w="7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Both</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Y</w:t>
            </w:r>
          </w:p>
        </w:tc>
        <w:tc>
          <w:tcPr>
            <w:tcW w:w="64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281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Credit→coupon ladder + modest paid tier</w:t>
            </w:r>
          </w:p>
        </w:tc>
      </w:tr>
      <w:tr>
        <w:tc>
          <w:tcPr>
            <w:tcW w:w="1500" w:type="dxa"/>
            <w:tcMar>
              <w:top w:w="60" w:type="dxa"/>
              <w:left w:w="90" w:type="dxa"/>
              <w:bottom w:w="60" w:type="dxa"/>
              <w:right w:w="90" w:type="dxa"/>
            </w:tcMar>
            <w:vAlign w:val="center"/>
          </w:tcPr>
          <w:p>
            <w:pPr>
              <w:spacing w:after="0" w:line="250" w:lineRule="auto"/>
              <w:jc w:val="left"/>
            </w:pPr>
            <w:r>
              <w:rPr>
                <w:rFonts w:ascii="Calibri" w:hAnsi="Calibri"/>
                <w:b/>
                <w:color w:val="2B2B2B"/>
                <w:sz w:val="17"/>
              </w:rPr>
              <w:t>Nomad</w:t>
            </w:r>
          </w:p>
        </w:tc>
        <w:tc>
          <w:tcPr>
            <w:tcW w:w="105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Accessories</w:t>
            </w:r>
          </w:p>
        </w:tc>
        <w:tc>
          <w:tcPr>
            <w:tcW w:w="7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4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w:t>
            </w:r>
          </w:p>
        </w:tc>
        <w:tc>
          <w:tcPr>
            <w:tcW w:w="2810" w:type="dxa"/>
            <w:tcMar>
              <w:top w:w="60" w:type="dxa"/>
              <w:left w:w="90" w:type="dxa"/>
              <w:bottom w:w="60" w:type="dxa"/>
              <w:right w:w="90" w:type="dxa"/>
            </w:tcMar>
            <w:vAlign w:val="center"/>
          </w:tcPr>
          <w:p>
            <w:pPr>
              <w:spacing w:after="0" w:line="250" w:lineRule="auto"/>
              <w:jc w:val="left"/>
            </w:pPr>
            <w:r>
              <w:rPr>
                <w:rFonts w:ascii="Calibri" w:hAnsi="Calibri"/>
                <w:b w:val="0"/>
                <w:color w:val="2B2B2B"/>
                <w:sz w:val="17"/>
              </w:rPr>
              <w:t>No programme — newsletter &amp; warranty only</w:t>
            </w:r>
          </w:p>
        </w:tc>
      </w:tr>
      <w:tr>
        <w:tc>
          <w:tcPr>
            <w:tcW w:w="15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7"/>
              </w:rPr>
              <w:t>Bellroy</w:t>
            </w:r>
          </w:p>
        </w:tc>
        <w:tc>
          <w:tcPr>
            <w:tcW w:w="105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Accessories</w:t>
            </w:r>
          </w:p>
        </w:tc>
        <w:tc>
          <w:tcPr>
            <w:tcW w:w="7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Free</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64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62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7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w:t>
            </w:r>
          </w:p>
        </w:tc>
        <w:tc>
          <w:tcPr>
            <w:tcW w:w="281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7"/>
              </w:rPr>
              <w:t>No programme — bundles &amp; newsletter only</w:t>
            </w:r>
          </w:p>
        </w:tc>
      </w:tr>
      <w:tr>
        <w:tc>
          <w:tcPr>
            <w:tcW w:w="150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DailyObjects (today)</w:t>
            </w:r>
          </w:p>
        </w:tc>
        <w:tc>
          <w:tcPr>
            <w:tcW w:w="105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Accessories</w:t>
            </w:r>
          </w:p>
        </w:tc>
        <w:tc>
          <w:tcPr>
            <w:tcW w:w="72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Free</w:t>
            </w:r>
          </w:p>
        </w:tc>
        <w:tc>
          <w:tcPr>
            <w:tcW w:w="62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Y</w:t>
            </w:r>
          </w:p>
        </w:tc>
        <w:tc>
          <w:tcPr>
            <w:tcW w:w="64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w:t>
            </w:r>
          </w:p>
        </w:tc>
        <w:tc>
          <w:tcPr>
            <w:tcW w:w="62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w:t>
            </w:r>
          </w:p>
        </w:tc>
        <w:tc>
          <w:tcPr>
            <w:tcW w:w="70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w:t>
            </w:r>
          </w:p>
        </w:tc>
        <w:tc>
          <w:tcPr>
            <w:tcW w:w="2810" w:type="dxa"/>
            <w:tcMar>
              <w:top w:w="60" w:type="dxa"/>
              <w:left w:w="90" w:type="dxa"/>
              <w:bottom w:w="60" w:type="dxa"/>
              <w:right w:w="90" w:type="dxa"/>
            </w:tcMar>
            <w:vAlign w:val="center"/>
          </w:tcPr>
          <w:p>
            <w:pPr>
              <w:spacing w:after="0" w:line="250" w:lineRule="auto"/>
              <w:jc w:val="left"/>
            </w:pPr>
            <w:r>
              <w:rPr>
                <w:rFonts w:ascii="Calibri" w:hAnsi="Calibri"/>
                <w:b/>
                <w:color w:val="B45F3B"/>
                <w:sz w:val="17"/>
              </w:rPr>
              <w:t>Flat voucher points — the upgrade opportunity</w:t>
            </w:r>
          </w:p>
        </w:tc>
      </w:tr>
    </w:tbl>
    <w:p>
      <w:pPr>
        <w:spacing w:after="60"/>
      </w:pPr>
    </w:p>
    <w:tbl>
      <w:tblPr>
        <w:tblStyle w:val="15"/>
        <w:tblW w:w="9360" w:type="dxa"/>
        <w:tblInd w:w="0" w:type="dxa"/>
        <w:tblBorders>
          <w:top w:val="none" w:color="auto" w:sz="0" w:space="0"/>
          <w:left w:val="single" w:color="B45F3B" w:sz="24"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60"/>
      </w:tblGrid>
      <w:tr>
        <w:tc>
          <w:tcPr>
            <w:tcW w:w="9360" w:type="dxa"/>
            <w:shd w:val="clear" w:color="auto" w:fill="EAF0EF"/>
            <w:tcMar>
              <w:top w:w="120" w:type="dxa"/>
              <w:left w:w="180" w:type="dxa"/>
              <w:bottom w:w="120" w:type="dxa"/>
              <w:right w:w="160" w:type="dxa"/>
            </w:tcMar>
          </w:tcPr>
          <w:p>
            <w:pPr>
              <w:spacing w:after="40"/>
            </w:pPr>
            <w:r>
              <w:rPr>
                <w:rFonts w:ascii="Calibri" w:hAnsi="Calibri" w:eastAsia="Calibri" w:cs="Calibri"/>
                <w:b/>
                <w:bCs/>
                <w:color w:val="B45F3B"/>
                <w:sz w:val="20"/>
                <w:szCs w:val="20"/>
              </w:rPr>
              <w:t>The single most important pattern</w:t>
            </w:r>
          </w:p>
          <w:p>
            <w:pPr>
              <w:spacing w:after="40" w:line="264" w:lineRule="auto"/>
            </w:pPr>
            <w:r>
              <w:rPr>
                <w:rFonts w:ascii="Calibri" w:hAnsi="Calibri" w:eastAsia="Calibri" w:cs="Calibri"/>
                <w:color w:val="2B2B2B"/>
                <w:sz w:val="20"/>
                <w:szCs w:val="20"/>
              </w:rPr>
              <w:t>Every premium brand that has built durable, margin-safe loyalty (Nike, MUJI, Marriott, Amex at the top tier) rewards access, service, status, community and experience — not price. And most global design-led accessory peers run no programme at all. DailyObjects can therefore differentiate with a well-built, community-flavoured, non-discount programme — a move its direct global competitors have not made.</w:t>
            </w:r>
          </w:p>
        </w:tc>
      </w:tr>
    </w:tbl>
    <w:p>
      <w:r>
        <w:br w:type="page"/>
      </w:r>
    </w:p>
    <w:p>
      <w:pPr>
        <w:pStyle w:val="2"/>
        <w:pBdr>
          <w:bottom w:val="single" w:color="B45F3B" w:sz="12" w:space="6"/>
        </w:pBdr>
        <w:spacing w:before="360" w:after="140"/>
      </w:pPr>
      <w:r>
        <w:rPr>
          <w:rFonts w:ascii="Calibri" w:hAnsi="Calibri" w:eastAsia="Calibri" w:cs="Calibri"/>
          <w:b/>
          <w:bCs/>
          <w:color w:val="1A1D2B"/>
          <w:sz w:val="34"/>
          <w:szCs w:val="34"/>
        </w:rPr>
        <w:t>6. Global Programme Deep-Dives</w:t>
      </w:r>
    </w:p>
    <w:p>
      <w:pPr>
        <w:spacing w:after="160"/>
      </w:pPr>
      <w:r>
        <w:rPr>
          <w:rFonts w:ascii="Calibri" w:hAnsi="Calibri"/>
          <w:b/>
          <w:color w:val="2B2B2B"/>
          <w:sz w:val="21"/>
        </w:rPr>
        <w:t xml:space="preserve">How to read these deep-dives — four honest lenses. </w:t>
      </w:r>
      <w:r>
        <w:rPr>
          <w:rFonts w:ascii="Calibri" w:hAnsi="Calibri"/>
          <w:b w:val="0"/>
          <w:color w:val="2B2B2B"/>
          <w:sz w:val="21"/>
        </w:rPr>
        <w:t xml:space="preserve">(1) Most points schemes are a deferred, conditional discount: earning ~1–2% back to redeem later is economically a rebate; the only difference from a plain markdown is behavioural (deferral creates a switching cost), not that it stops being margin given away. </w:t>
      </w:r>
      <w:r>
        <w:rPr>
          <w:rFonts w:ascii="Calibri" w:hAnsi="Calibri"/>
          <w:b w:val="0"/>
          <w:color w:val="2B2B2B"/>
          <w:sz w:val="21"/>
        </w:rPr>
        <w:t xml:space="preserve">(2) Emotional attachment is almost never built by the points — it is built by the non-points wrapper: status/tiers, community, recognition, gifting and experiences. </w:t>
      </w:r>
      <w:r>
        <w:rPr>
          <w:rFonts w:ascii="Calibri" w:hAnsi="Calibri"/>
          <w:b w:val="0"/>
          <w:color w:val="2B2B2B"/>
          <w:sz w:val="21"/>
        </w:rPr>
        <w:t xml:space="preserve">(3) The "first-party data" prize is real only where transactions would otherwise be anonymous or fragmented — strong for multi-brand, store-heavy retailers, weak for a D2C brand that already captures every online account (its data prize is in-store identity and preference enrichment). </w:t>
      </w:r>
      <w:r>
        <w:rPr>
          <w:rFonts w:ascii="Calibri" w:hAnsi="Calibri"/>
          <w:b w:val="0"/>
          <w:color w:val="2B2B2B"/>
          <w:sz w:val="21"/>
        </w:rPr>
        <w:t>(4) Every reward a physical-product brand gives is real COGS — unlike a hotel upgrade or a digital drop — so what a brand can afford to reward with is decisive. Each programme below is judged against these lenses and the tenets in Section 3.</w:t>
      </w:r>
    </w:p>
    <w:p>
      <w:pPr>
        <w:pStyle w:val="3"/>
        <w:spacing w:before="240" w:after="90"/>
      </w:pPr>
      <w:r>
        <w:rPr>
          <w:rFonts w:ascii="Calibri" w:hAnsi="Calibri" w:eastAsia="Calibri" w:cs="Calibri"/>
          <w:b/>
          <w:bCs/>
          <w:color w:val="B45F3B"/>
          <w:sz w:val="26"/>
          <w:szCs w:val="26"/>
        </w:rPr>
        <w:t>Nike Membership (Fashion / sportswear)</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00"/>
        <w:gridCol w:w="6760"/>
      </w:tblGrid>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Basics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Free membership across Nike App, SNKRS, .com and stores. No points, no discount — membership is binary.</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How it works</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Join free → unlock access, content and service. Recognition is by engagement, not spend.</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Key benefits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Early/exclusive SNKRS drops · member offers · free shipping · 60-day wear-test · easy returns · birthday.</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Business objectives</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Capture DTC margin; cut wholesale reliance</w:t>
            </w:r>
          </w:p>
          <w:p>
            <w:pPr>
              <w:spacing w:after="20"/>
            </w:pPr>
            <w:r>
              <w:rPr>
                <w:rFonts w:ascii="Calibri" w:hAnsi="Calibri"/>
                <w:b/>
                <w:color w:val="B45F3B"/>
                <w:sz w:val="18"/>
              </w:rPr>
              <w:t xml:space="preserve">▪  </w:t>
            </w:r>
            <w:r>
              <w:rPr>
                <w:rFonts w:ascii="Calibri" w:hAnsi="Calibri"/>
                <w:color w:val="2B2B2B"/>
                <w:sz w:val="18"/>
              </w:rPr>
              <w:t>Own first-party data (app/SNKRS ties buyer to sale)</w:t>
            </w:r>
          </w:p>
          <w:p>
            <w:pPr>
              <w:spacing w:after="20"/>
            </w:pPr>
            <w:r>
              <w:rPr>
                <w:rFonts w:ascii="Calibri" w:hAnsi="Calibri"/>
                <w:b/>
                <w:color w:val="B45F3B"/>
                <w:sz w:val="18"/>
              </w:rPr>
              <w:t xml:space="preserve">▪  </w:t>
            </w:r>
            <w:r>
              <w:rPr>
                <w:rFonts w:ascii="Calibri" w:hAnsi="Calibri"/>
                <w:color w:val="2B2B2B"/>
                <w:sz w:val="18"/>
              </w:rPr>
              <w:t>Build brand community, independent of purchase</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Economics</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~400M members; DTC ~58% of revenue</w:t>
            </w:r>
          </w:p>
          <w:p>
            <w:pPr>
              <w:spacing w:after="20"/>
            </w:pPr>
            <w:r>
              <w:rPr>
                <w:rFonts w:ascii="Calibri" w:hAnsi="Calibri"/>
                <w:b/>
                <w:color w:val="B45F3B"/>
                <w:sz w:val="18"/>
              </w:rPr>
              <w:t xml:space="preserve">▪  </w:t>
            </w:r>
            <w:r>
              <w:rPr>
                <w:rFonts w:ascii="Calibri" w:hAnsi="Calibri"/>
                <w:color w:val="2B2B2B"/>
                <w:sz w:val="18"/>
              </w:rPr>
              <w:t>Rewards are access/content — near-zero marginal cost</w:t>
            </w:r>
          </w:p>
          <w:p>
            <w:pPr>
              <w:spacing w:after="20"/>
            </w:pPr>
            <w:r>
              <w:rPr>
                <w:rFonts w:ascii="Calibri" w:hAnsi="Calibri"/>
                <w:b/>
                <w:color w:val="B45F3B"/>
                <w:sz w:val="18"/>
              </w:rPr>
              <w:t xml:space="preserve">▪  </w:t>
            </w:r>
            <w:r>
              <w:rPr>
                <w:rFonts w:ascii="Calibri" w:hAnsi="Calibri"/>
                <w:color w:val="2B2B2B"/>
                <w:sz w:val="18"/>
              </w:rPr>
              <w:t>No points liability, no margin give-back</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Consumer psychology</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Identity &amp; belonging (membership = self-expression)</w:t>
            </w:r>
          </w:p>
          <w:p>
            <w:pPr>
              <w:spacing w:after="20"/>
            </w:pPr>
            <w:r>
              <w:rPr>
                <w:rFonts w:ascii="Calibri" w:hAnsi="Calibri"/>
                <w:b/>
                <w:color w:val="B45F3B"/>
                <w:sz w:val="18"/>
              </w:rPr>
              <w:t xml:space="preserve">▪  </w:t>
            </w:r>
            <w:r>
              <w:rPr>
                <w:rFonts w:ascii="Calibri" w:hAnsi="Calibri"/>
                <w:color w:val="2B2B2B"/>
                <w:sz w:val="18"/>
              </w:rPr>
              <w:t>Scarcity / FOMO on drops drives desire</w:t>
            </w:r>
          </w:p>
          <w:p>
            <w:pPr>
              <w:spacing w:after="20"/>
            </w:pPr>
            <w:r>
              <w:rPr>
                <w:rFonts w:ascii="Calibri" w:hAnsi="Calibri"/>
                <w:b/>
                <w:color w:val="B45F3B"/>
                <w:sz w:val="18"/>
              </w:rPr>
              <w:t xml:space="preserve">▪  </w:t>
            </w:r>
            <w:r>
              <w:rPr>
                <w:rFonts w:ascii="Calibri" w:hAnsi="Calibri"/>
                <w:color w:val="2B2B2B"/>
                <w:sz w:val="18"/>
              </w:rPr>
              <w:t>Reciprocity from genuinely useful free apps</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Consumer experience</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Feels like a club, not a discount card</w:t>
            </w:r>
          </w:p>
          <w:p>
            <w:pPr>
              <w:spacing w:after="20"/>
            </w:pPr>
            <w:r>
              <w:rPr>
                <w:rFonts w:ascii="Calibri" w:hAnsi="Calibri"/>
                <w:b/>
                <w:color w:val="B45F3B"/>
                <w:sz w:val="18"/>
              </w:rPr>
              <w:t xml:space="preserve">▪  </w:t>
            </w:r>
            <w:r>
              <w:rPr>
                <w:rFonts w:ascii="Calibri" w:hAnsi="Calibri"/>
                <w:color w:val="2B2B2B"/>
                <w:sz w:val="18"/>
              </w:rPr>
              <w:t>The app is the hub — drops, content, orders</w:t>
            </w:r>
          </w:p>
          <w:p>
            <w:pPr>
              <w:spacing w:after="20"/>
            </w:pPr>
            <w:r>
              <w:rPr>
                <w:rFonts w:ascii="Calibri" w:hAnsi="Calibri"/>
                <w:b/>
                <w:color w:val="B45F3B"/>
                <w:sz w:val="18"/>
              </w:rPr>
              <w:t xml:space="preserve">▪  </w:t>
            </w:r>
            <w:r>
              <w:rPr>
                <w:rFonts w:ascii="Calibri" w:hAnsi="Calibri"/>
                <w:color w:val="2B2B2B"/>
                <w:sz w:val="18"/>
              </w:rPr>
              <w:t>“Getting in first” is the reward</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What makes it work</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Rewards with access and community — impossible to price-match, with zero discount.</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Lesson for DailyObjects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The cleanest model to emulate: reward with early access and community, not money off. Caveat — access only bites if the brand is desirable enough that getting in first feels like a prize; build that drop/scarcity culture first.</w:t>
            </w:r>
          </w:p>
        </w:tc>
      </w:tr>
    </w:tbl>
    <w:p>
      <w:pPr>
        <w:pStyle w:val="3"/>
        <w:spacing w:before="240" w:after="90"/>
      </w:pPr>
      <w:r>
        <w:rPr>
          <w:rFonts w:ascii="Calibri" w:hAnsi="Calibri" w:eastAsia="Calibri" w:cs="Calibri"/>
          <w:b/>
          <w:bCs/>
          <w:color w:val="B45F3B"/>
          <w:sz w:val="26"/>
          <w:szCs w:val="26"/>
        </w:rPr>
        <w:t>MUJI passport (Premium / lifestyle)</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00"/>
        <w:gridCol w:w="6760"/>
      </w:tblGrid>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Basics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Free app (“MUJI passport”), minimalist by design. Earns MUJI Miles plus coupons.</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How it works</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Earn Miles by shopping AND by store check-in; thresholds trigger coupons; miles reset ~annually.</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Key benefits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Coupons · exclusive promos · store check-in · birthday perks — deliberately light-touch.</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Business objectives</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Drive app adoption and store footfall</w:t>
            </w:r>
          </w:p>
          <w:p>
            <w:pPr>
              <w:spacing w:after="20"/>
            </w:pPr>
            <w:r>
              <w:rPr>
                <w:rFonts w:ascii="Calibri" w:hAnsi="Calibri"/>
                <w:b/>
                <w:color w:val="B45F3B"/>
                <w:sz w:val="18"/>
              </w:rPr>
              <w:t xml:space="preserve">▪  </w:t>
            </w:r>
            <w:r>
              <w:rPr>
                <w:rFonts w:ascii="Calibri" w:hAnsi="Calibri"/>
                <w:color w:val="2B2B2B"/>
                <w:sz w:val="18"/>
              </w:rPr>
              <w:t>Nudge modest frequency</w:t>
            </w:r>
          </w:p>
          <w:p>
            <w:pPr>
              <w:spacing w:after="20"/>
            </w:pPr>
            <w:r>
              <w:rPr>
                <w:rFonts w:ascii="Calibri" w:hAnsi="Calibri"/>
                <w:b/>
                <w:color w:val="B45F3B"/>
                <w:sz w:val="18"/>
              </w:rPr>
              <w:t xml:space="preserve">▪  </w:t>
            </w:r>
            <w:r>
              <w:rPr>
                <w:rFonts w:ascii="Calibri" w:hAnsi="Calibri"/>
                <w:color w:val="2B2B2B"/>
                <w:sz w:val="18"/>
              </w:rPr>
              <w:t>Capture light first-party data</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Economics</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Coupons are a small, modest-cost discount</w:t>
            </w:r>
          </w:p>
          <w:p>
            <w:pPr>
              <w:spacing w:after="20"/>
            </w:pPr>
            <w:r>
              <w:rPr>
                <w:rFonts w:ascii="Calibri" w:hAnsi="Calibri"/>
                <w:b/>
                <w:color w:val="B45F3B"/>
                <w:sz w:val="18"/>
              </w:rPr>
              <w:t xml:space="preserve">▪  </w:t>
            </w:r>
            <w:r>
              <w:rPr>
                <w:rFonts w:ascii="Calibri" w:hAnsi="Calibri"/>
                <w:color w:val="2B2B2B"/>
                <w:sz w:val="18"/>
              </w:rPr>
              <w:t>~100% redemption uplift via personalisation (reported)</w:t>
            </w:r>
          </w:p>
          <w:p>
            <w:pPr>
              <w:spacing w:after="20"/>
            </w:pPr>
            <w:r>
              <w:rPr>
                <w:rFonts w:ascii="Calibri" w:hAnsi="Calibri"/>
                <w:b/>
                <w:color w:val="B45F3B"/>
                <w:sz w:val="18"/>
              </w:rPr>
              <w:t xml:space="preserve">▪  </w:t>
            </w:r>
            <w:r>
              <w:rPr>
                <w:rFonts w:ascii="Calibri" w:hAnsi="Calibri"/>
                <w:color w:val="2B2B2B"/>
                <w:sz w:val="18"/>
              </w:rPr>
              <w:t>No tiers, low liability</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Consumer psychology</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Endowed progress (check-in toward thresholds)</w:t>
            </w:r>
          </w:p>
          <w:p>
            <w:pPr>
              <w:spacing w:after="20"/>
            </w:pPr>
            <w:r>
              <w:rPr>
                <w:rFonts w:ascii="Calibri" w:hAnsi="Calibri"/>
                <w:b/>
                <w:color w:val="B45F3B"/>
                <w:sz w:val="18"/>
              </w:rPr>
              <w:t xml:space="preserve">▪  </w:t>
            </w:r>
            <w:r>
              <w:rPr>
                <w:rFonts w:ascii="Calibri" w:hAnsi="Calibri"/>
                <w:color w:val="2B2B2B"/>
                <w:sz w:val="18"/>
              </w:rPr>
              <w:t>Low-friction habit</w:t>
            </w:r>
          </w:p>
          <w:p>
            <w:pPr>
              <w:spacing w:after="20"/>
            </w:pPr>
            <w:r>
              <w:rPr>
                <w:rFonts w:ascii="Calibri" w:hAnsi="Calibri"/>
                <w:b/>
                <w:color w:val="B45F3B"/>
                <w:sz w:val="18"/>
              </w:rPr>
              <w:t xml:space="preserve">▪  </w:t>
            </w:r>
            <w:r>
              <w:rPr>
                <w:rFonts w:ascii="Calibri" w:hAnsi="Calibri"/>
                <w:color w:val="2B2B2B"/>
                <w:sz w:val="18"/>
              </w:rPr>
              <w:t>Restraint avoids over-gamification fatigue</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Consumer experience</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Quiet and unobtrusive — matches the brand</w:t>
            </w:r>
          </w:p>
          <w:p>
            <w:pPr>
              <w:spacing w:after="20"/>
            </w:pPr>
            <w:r>
              <w:rPr>
                <w:rFonts w:ascii="Calibri" w:hAnsi="Calibri"/>
                <w:b/>
                <w:color w:val="B45F3B"/>
                <w:sz w:val="18"/>
              </w:rPr>
              <w:t xml:space="preserve">▪  </w:t>
            </w:r>
            <w:r>
              <w:rPr>
                <w:rFonts w:ascii="Calibri" w:hAnsi="Calibri"/>
                <w:color w:val="2B2B2B"/>
                <w:sz w:val="18"/>
              </w:rPr>
              <w:t>Check-in rewards visiting, not just spending</w:t>
            </w:r>
          </w:p>
          <w:p>
            <w:pPr>
              <w:spacing w:after="20"/>
            </w:pPr>
            <w:r>
              <w:rPr>
                <w:rFonts w:ascii="Calibri" w:hAnsi="Calibri"/>
                <w:b/>
                <w:color w:val="B45F3B"/>
                <w:sz w:val="18"/>
              </w:rPr>
              <w:t xml:space="preserve">▪  </w:t>
            </w:r>
            <w:r>
              <w:rPr>
                <w:rFonts w:ascii="Calibri" w:hAnsi="Calibri"/>
                <w:color w:val="2B2B2B"/>
                <w:sz w:val="18"/>
              </w:rPr>
              <w:t>Feels calm, never “gamified”</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What makes it work</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Mechanics match a minimalist brand; store check-in decouples engagement from spend.</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Lesson for DailyObjects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Match loudness to brand and reward non-spend actions (visits, reviews). Borrow the discipline, not the coupons — which are simply discounting.</w:t>
            </w:r>
          </w:p>
        </w:tc>
      </w:tr>
    </w:tbl>
    <w:p>
      <w:pPr>
        <w:pStyle w:val="3"/>
        <w:spacing w:before="240" w:after="90"/>
      </w:pPr>
      <w:r>
        <w:rPr>
          <w:rFonts w:ascii="Calibri" w:hAnsi="Calibri" w:eastAsia="Calibri" w:cs="Calibri"/>
          <w:b/>
          <w:bCs/>
          <w:color w:val="B45F3B"/>
          <w:sz w:val="26"/>
          <w:szCs w:val="26"/>
        </w:rPr>
        <w:t>Starbucks Rewards (Food &amp; beverage)</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00"/>
        <w:gridCol w:w="6760"/>
      </w:tblGrid>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Basics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App-led, free “Stars.” 2026 tiers Green/Gold/Reserve. Mobile Order &amp; Pay is the hub.</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How it works</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Earn Stars per $ (tier-multiplied); redeem for product; reload a prepaid balance.</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Key benefits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Free product · birthday reward · games/challenges · early access · order &amp; pay.</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Business objectives</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Drive daily frequency and habit</w:t>
            </w:r>
          </w:p>
          <w:p>
            <w:pPr>
              <w:spacing w:after="20"/>
            </w:pPr>
            <w:r>
              <w:rPr>
                <w:rFonts w:ascii="Calibri" w:hAnsi="Calibri"/>
                <w:b/>
                <w:color w:val="B45F3B"/>
                <w:sz w:val="18"/>
              </w:rPr>
              <w:t xml:space="preserve">▪  </w:t>
            </w:r>
            <w:r>
              <w:rPr>
                <w:rFonts w:ascii="Calibri" w:hAnsi="Calibri"/>
                <w:color w:val="2B2B2B"/>
                <w:sz w:val="18"/>
              </w:rPr>
              <w:t>Shift spend to prepaid reload (float + breakage)</w:t>
            </w:r>
          </w:p>
          <w:p>
            <w:pPr>
              <w:spacing w:after="20"/>
            </w:pPr>
            <w:r>
              <w:rPr>
                <w:rFonts w:ascii="Calibri" w:hAnsi="Calibri"/>
                <w:b/>
                <w:color w:val="B45F3B"/>
                <w:sz w:val="18"/>
              </w:rPr>
              <w:t xml:space="preserve">▪  </w:t>
            </w:r>
            <w:r>
              <w:rPr>
                <w:rFonts w:ascii="Calibri" w:hAnsi="Calibri"/>
                <w:color w:val="2B2B2B"/>
                <w:sz w:val="18"/>
              </w:rPr>
              <w:t>Capture order-level app data</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Economics</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Float ~$1.85B (interest-free); breakage ~$207M/yr</w:t>
            </w:r>
          </w:p>
          <w:p>
            <w:pPr>
              <w:spacing w:after="20"/>
            </w:pPr>
            <w:r>
              <w:rPr>
                <w:rFonts w:ascii="Calibri" w:hAnsi="Calibri"/>
                <w:b/>
                <w:color w:val="B45F3B"/>
                <w:sz w:val="18"/>
              </w:rPr>
              <w:t xml:space="preserve">▪  </w:t>
            </w:r>
            <w:r>
              <w:rPr>
                <w:rFonts w:ascii="Calibri" w:hAnsi="Calibri"/>
                <w:color w:val="2B2B2B"/>
                <w:sz w:val="18"/>
              </w:rPr>
              <w:t>Rewards ~60% of US company revenue</w:t>
            </w:r>
          </w:p>
          <w:p>
            <w:pPr>
              <w:spacing w:after="20"/>
            </w:pPr>
            <w:r>
              <w:rPr>
                <w:rFonts w:ascii="Calibri" w:hAnsi="Calibri"/>
                <w:b/>
                <w:color w:val="B45F3B"/>
                <w:sz w:val="18"/>
              </w:rPr>
              <w:t xml:space="preserve">▪  </w:t>
            </w:r>
            <w:r>
              <w:rPr>
                <w:rFonts w:ascii="Calibri" w:hAnsi="Calibri"/>
                <w:color w:val="2B2B2B"/>
                <w:sz w:val="18"/>
              </w:rPr>
              <w:t>Stars are a rebate-in-kind, partly self-funded</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Consumer psychology</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Goal-gradient + habit (Stars to the next reward)</w:t>
            </w:r>
          </w:p>
          <w:p>
            <w:pPr>
              <w:spacing w:after="20"/>
            </w:pPr>
            <w:r>
              <w:rPr>
                <w:rFonts w:ascii="Calibri" w:hAnsi="Calibri"/>
                <w:b/>
                <w:color w:val="B45F3B"/>
                <w:sz w:val="18"/>
              </w:rPr>
              <w:t xml:space="preserve">▪  </w:t>
            </w:r>
            <w:r>
              <w:rPr>
                <w:rFonts w:ascii="Calibri" w:hAnsi="Calibri"/>
                <w:color w:val="2B2B2B"/>
                <w:sz w:val="18"/>
              </w:rPr>
              <w:t>Loss aversion (6-month expiry urgency)</w:t>
            </w:r>
          </w:p>
          <w:p>
            <w:pPr>
              <w:spacing w:after="20"/>
            </w:pPr>
            <w:r>
              <w:rPr>
                <w:rFonts w:ascii="Calibri" w:hAnsi="Calibri"/>
                <w:b/>
                <w:color w:val="B45F3B"/>
                <w:sz w:val="18"/>
              </w:rPr>
              <w:t xml:space="preserve">▪  </w:t>
            </w:r>
            <w:r>
              <w:rPr>
                <w:rFonts w:ascii="Calibri" w:hAnsi="Calibri"/>
                <w:color w:val="2B2B2B"/>
                <w:sz w:val="18"/>
              </w:rPr>
              <w:t>Mental accounting (reloaded money feels “spent”)</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Consumer experience</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Order, pay and earn in one tap</w:t>
            </w:r>
          </w:p>
          <w:p>
            <w:pPr>
              <w:spacing w:after="20"/>
            </w:pPr>
            <w:r>
              <w:rPr>
                <w:rFonts w:ascii="Calibri" w:hAnsi="Calibri"/>
                <w:b/>
                <w:color w:val="B45F3B"/>
                <w:sz w:val="18"/>
              </w:rPr>
              <w:t xml:space="preserve">▪  </w:t>
            </w:r>
            <w:r>
              <w:rPr>
                <w:rFonts w:ascii="Calibri" w:hAnsi="Calibri"/>
                <w:color w:val="2B2B2B"/>
                <w:sz w:val="18"/>
              </w:rPr>
              <w:t>Fast, frictionless, routine</w:t>
            </w:r>
          </w:p>
          <w:p>
            <w:pPr>
              <w:spacing w:after="20"/>
            </w:pPr>
            <w:r>
              <w:rPr>
                <w:rFonts w:ascii="Calibri" w:hAnsi="Calibri"/>
                <w:b/>
                <w:color w:val="B45F3B"/>
                <w:sz w:val="18"/>
              </w:rPr>
              <w:t xml:space="preserve">▪  </w:t>
            </w:r>
            <w:r>
              <w:rPr>
                <w:rFonts w:ascii="Calibri" w:hAnsi="Calibri"/>
                <w:color w:val="2B2B2B"/>
                <w:sz w:val="18"/>
              </w:rPr>
              <w:t>Attachment is thin — 2026 cuts drew backlash</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What makes it work</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Habit + convenience + a self-funding float/breakage engine — not emotion.</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Lesson for DailyObjects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The float/breakage model needs high frequency and prepaid behaviour — it does not transfer. Borrow the app as the data and habit hub; a rebate will not create attachment.</w:t>
            </w:r>
          </w:p>
        </w:tc>
      </w:tr>
    </w:tbl>
    <w:p>
      <w:pPr>
        <w:pStyle w:val="3"/>
        <w:spacing w:before="240" w:after="90"/>
      </w:pPr>
      <w:r>
        <w:rPr>
          <w:rFonts w:ascii="Calibri" w:hAnsi="Calibri" w:eastAsia="Calibri" w:cs="Calibri"/>
          <w:b/>
          <w:bCs/>
          <w:color w:val="B45F3B"/>
          <w:sz w:val="26"/>
          <w:szCs w:val="26"/>
        </w:rPr>
        <w:t>Marriott Bonvoy (Travel / hospitality)</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00"/>
        <w:gridCol w:w="6760"/>
      </w:tblGrid>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Basics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Free; status earned by nights (Silver → Titanium → Ambassador). Rebranded 2019.</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How it works</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Earn ~10 pts/$ (tier bonus); status by nights; redeem points for free nights.</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Key benefits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Upgrades · lounge · breakfast · late checkout · free nights · Bonvoy Moments · airline transfers.</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Business objectives</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Drive DIRECT booking (bypass OTA commission)</w:t>
            </w:r>
          </w:p>
          <w:p>
            <w:pPr>
              <w:spacing w:after="20"/>
            </w:pPr>
            <w:r>
              <w:rPr>
                <w:rFonts w:ascii="Calibri" w:hAnsi="Calibri"/>
                <w:b/>
                <w:color w:val="B45F3B"/>
                <w:sz w:val="18"/>
              </w:rPr>
              <w:t xml:space="preserve">▪  </w:t>
            </w:r>
            <w:r>
              <w:rPr>
                <w:rFonts w:ascii="Calibri" w:hAnsi="Calibri"/>
                <w:color w:val="2B2B2B"/>
                <w:sz w:val="18"/>
              </w:rPr>
              <w:t>Status-based emotional lock-in</w:t>
            </w:r>
          </w:p>
          <w:p>
            <w:pPr>
              <w:spacing w:after="20"/>
            </w:pPr>
            <w:r>
              <w:rPr>
                <w:rFonts w:ascii="Calibri" w:hAnsi="Calibri"/>
                <w:b/>
                <w:color w:val="B45F3B"/>
                <w:sz w:val="18"/>
              </w:rPr>
              <w:t xml:space="preserve">▪  </w:t>
            </w:r>
            <w:r>
              <w:rPr>
                <w:rFonts w:ascii="Calibri" w:hAnsi="Calibri"/>
                <w:color w:val="2B2B2B"/>
                <w:sz w:val="18"/>
              </w:rPr>
              <w:t>Card and partner ancillary revenue</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Economics</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Rewards funded by avoided ~15–25% OTA commission</w:t>
            </w:r>
          </w:p>
          <w:p>
            <w:pPr>
              <w:spacing w:after="20"/>
            </w:pPr>
            <w:r>
              <w:rPr>
                <w:rFonts w:ascii="Calibri" w:hAnsi="Calibri"/>
                <w:b/>
                <w:color w:val="B45F3B"/>
                <w:sz w:val="18"/>
              </w:rPr>
              <w:t xml:space="preserve">▪  </w:t>
            </w:r>
            <w:r>
              <w:rPr>
                <w:rFonts w:ascii="Calibri" w:hAnsi="Calibri"/>
                <w:color w:val="2B2B2B"/>
                <w:sz w:val="18"/>
              </w:rPr>
              <w:t>Status perks are near-zero marginal cost (empty rooms)</w:t>
            </w:r>
          </w:p>
          <w:p>
            <w:pPr>
              <w:spacing w:after="20"/>
            </w:pPr>
            <w:r>
              <w:rPr>
                <w:rFonts w:ascii="Calibri" w:hAnsi="Calibri"/>
                <w:b/>
                <w:color w:val="B45F3B"/>
                <w:sz w:val="18"/>
              </w:rPr>
              <w:t xml:space="preserve">▪  </w:t>
            </w:r>
            <w:r>
              <w:rPr>
                <w:rFonts w:ascii="Calibri" w:hAnsi="Calibri"/>
                <w:color w:val="2B2B2B"/>
                <w:sz w:val="18"/>
              </w:rPr>
              <w:t>Points→nights are a cheaply-funded rebate</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Consumer psychology</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Status-striving and an aspirational “chase”</w:t>
            </w:r>
          </w:p>
          <w:p>
            <w:pPr>
              <w:spacing w:after="20"/>
            </w:pPr>
            <w:r>
              <w:rPr>
                <w:rFonts w:ascii="Calibri" w:hAnsi="Calibri"/>
                <w:b/>
                <w:color w:val="B45F3B"/>
                <w:sz w:val="18"/>
              </w:rPr>
              <w:t xml:space="preserve">▪  </w:t>
            </w:r>
            <w:r>
              <w:rPr>
                <w:rFonts w:ascii="Calibri" w:hAnsi="Calibri"/>
                <w:color w:val="2B2B2B"/>
                <w:sz w:val="18"/>
              </w:rPr>
              <w:t>Loss aversion on annual re-qualification</w:t>
            </w:r>
          </w:p>
          <w:p>
            <w:pPr>
              <w:spacing w:after="20"/>
            </w:pPr>
            <w:r>
              <w:rPr>
                <w:rFonts w:ascii="Calibri" w:hAnsi="Calibri"/>
                <w:b/>
                <w:color w:val="B45F3B"/>
                <w:sz w:val="18"/>
              </w:rPr>
              <w:t xml:space="preserve">▪  </w:t>
            </w:r>
            <w:r>
              <w:rPr>
                <w:rFonts w:ascii="Calibri" w:hAnsi="Calibri"/>
                <w:color w:val="2B2B2B"/>
                <w:sz w:val="18"/>
              </w:rPr>
              <w:t>“Earning the right to indulge” (Moments)</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Consumer experience</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Recognition on arrival — upgrade, greeting</w:t>
            </w:r>
          </w:p>
          <w:p>
            <w:pPr>
              <w:spacing w:after="20"/>
            </w:pPr>
            <w:r>
              <w:rPr>
                <w:rFonts w:ascii="Calibri" w:hAnsi="Calibri"/>
                <w:b/>
                <w:color w:val="B45F3B"/>
                <w:sz w:val="18"/>
              </w:rPr>
              <w:t xml:space="preserve">▪  </w:t>
            </w:r>
            <w:r>
              <w:rPr>
                <w:rFonts w:ascii="Calibri" w:hAnsi="Calibri"/>
                <w:color w:val="2B2B2B"/>
                <w:sz w:val="18"/>
              </w:rPr>
              <w:t>Status feels earned and visible</w:t>
            </w:r>
          </w:p>
          <w:p>
            <w:pPr>
              <w:spacing w:after="20"/>
            </w:pPr>
            <w:r>
              <w:rPr>
                <w:rFonts w:ascii="Calibri" w:hAnsi="Calibri"/>
                <w:b/>
                <w:color w:val="B45F3B"/>
                <w:sz w:val="18"/>
              </w:rPr>
              <w:t xml:space="preserve">▪  </w:t>
            </w:r>
            <w:r>
              <w:rPr>
                <w:rFonts w:ascii="Calibri" w:hAnsi="Calibri"/>
                <w:color w:val="2B2B2B"/>
                <w:sz w:val="18"/>
              </w:rPr>
              <w:t>Access to experiences money can’t easily buy</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What makes it work</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Cheap-to-give status plus OTA-funded rewards create lock-in a cash discount cannot.</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Lesson for DailyObjects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Cheap status beats cash — but you have no OTA windfall and no perishable inventory; a free case is real COGS. Fund from margin and lean on zero-cost recognition.</w:t>
            </w:r>
          </w:p>
        </w:tc>
      </w:tr>
    </w:tbl>
    <w:p>
      <w:pPr>
        <w:pStyle w:val="3"/>
        <w:spacing w:before="240" w:after="90"/>
      </w:pPr>
      <w:r>
        <w:rPr>
          <w:rFonts w:ascii="Calibri" w:hAnsi="Calibri" w:eastAsia="Calibri" w:cs="Calibri"/>
          <w:b/>
          <w:bCs/>
          <w:color w:val="B45F3B"/>
          <w:sz w:val="26"/>
          <w:szCs w:val="26"/>
        </w:rPr>
        <w:t>American Express Platinum (Financial services)</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00"/>
        <w:gridCol w:w="6760"/>
      </w:tblGrid>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Basics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Paid flagship card ($895/yr). Transferable Membership Rewards points; no tiers.</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How it works</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Earn MR (5x on travel); transfer to ~19 partners; use monthly statement credits.</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Key benefits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Use-it-or-lose-it credits · 1,550+ lounges · concierge · status signalling · $3,500+ stated value.</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Business objectives</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Fee + interchange revenue</w:t>
            </w:r>
          </w:p>
          <w:p>
            <w:pPr>
              <w:spacing w:after="20"/>
            </w:pPr>
            <w:r>
              <w:rPr>
                <w:rFonts w:ascii="Calibri" w:hAnsi="Calibri"/>
                <w:b/>
                <w:color w:val="B45F3B"/>
                <w:sz w:val="18"/>
              </w:rPr>
              <w:t xml:space="preserve">▪  </w:t>
            </w:r>
            <w:r>
              <w:rPr>
                <w:rFonts w:ascii="Calibri" w:hAnsi="Calibri"/>
                <w:color w:val="2B2B2B"/>
                <w:sz w:val="18"/>
              </w:rPr>
              <w:t>Engineer monthly engagement as retention</w:t>
            </w:r>
          </w:p>
          <w:p>
            <w:pPr>
              <w:spacing w:after="20"/>
            </w:pPr>
            <w:r>
              <w:rPr>
                <w:rFonts w:ascii="Calibri" w:hAnsi="Calibri"/>
                <w:b/>
                <w:color w:val="B45F3B"/>
                <w:sz w:val="18"/>
              </w:rPr>
              <w:t xml:space="preserve">▪  </w:t>
            </w:r>
            <w:r>
              <w:rPr>
                <w:rFonts w:ascii="Calibri" w:hAnsi="Calibri"/>
                <w:color w:val="2B2B2B"/>
                <w:sz w:val="18"/>
              </w:rPr>
              <w:t>Lock-in via final point transfers</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Economics</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$895 fee vs $3,500+ curated value</w:t>
            </w:r>
          </w:p>
          <w:p>
            <w:pPr>
              <w:spacing w:after="20"/>
            </w:pPr>
            <w:r>
              <w:rPr>
                <w:rFonts w:ascii="Calibri" w:hAnsi="Calibri"/>
                <w:b/>
                <w:color w:val="B45F3B"/>
                <w:sz w:val="18"/>
              </w:rPr>
              <w:t xml:space="preserve">▪  </w:t>
            </w:r>
            <w:r>
              <w:rPr>
                <w:rFonts w:ascii="Calibri" w:hAnsi="Calibri"/>
                <w:color w:val="2B2B2B"/>
                <w:sz w:val="18"/>
              </w:rPr>
              <w:t>Funded by fee + interchange, not product margin</w:t>
            </w:r>
          </w:p>
          <w:p>
            <w:pPr>
              <w:spacing w:after="20"/>
            </w:pPr>
            <w:r>
              <w:rPr>
                <w:rFonts w:ascii="Calibri" w:hAnsi="Calibri"/>
                <w:b/>
                <w:color w:val="B45F3B"/>
                <w:sz w:val="18"/>
              </w:rPr>
              <w:t xml:space="preserve">▪  </w:t>
            </w:r>
            <w:r>
              <w:rPr>
                <w:rFonts w:ascii="Calibri" w:hAnsi="Calibri"/>
                <w:color w:val="2B2B2B"/>
                <w:sz w:val="18"/>
              </w:rPr>
              <w:t>Breakage on unused monthly credits</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Consumer psychology</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Sunk cost (the annual fee)</w:t>
            </w:r>
          </w:p>
          <w:p>
            <w:pPr>
              <w:spacing w:after="20"/>
            </w:pPr>
            <w:r>
              <w:rPr>
                <w:rFonts w:ascii="Calibri" w:hAnsi="Calibri"/>
                <w:b/>
                <w:color w:val="B45F3B"/>
                <w:sz w:val="18"/>
              </w:rPr>
              <w:t xml:space="preserve">▪  </w:t>
            </w:r>
            <w:r>
              <w:rPr>
                <w:rFonts w:ascii="Calibri" w:hAnsi="Calibri"/>
                <w:color w:val="2B2B2B"/>
                <w:sz w:val="18"/>
              </w:rPr>
              <w:t>Loss aversion (credits expire monthly)</w:t>
            </w:r>
          </w:p>
          <w:p>
            <w:pPr>
              <w:spacing w:after="20"/>
            </w:pPr>
            <w:r>
              <w:rPr>
                <w:rFonts w:ascii="Calibri" w:hAnsi="Calibri"/>
                <w:b/>
                <w:color w:val="B45F3B"/>
                <w:sz w:val="18"/>
              </w:rPr>
              <w:t xml:space="preserve">▪  </w:t>
            </w:r>
            <w:r>
              <w:rPr>
                <w:rFonts w:ascii="Calibri" w:hAnsi="Calibri"/>
                <w:color w:val="2B2B2B"/>
                <w:sz w:val="18"/>
              </w:rPr>
              <w:t>Status signalling (metal card, lounges)</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Consumer experience</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A “coupon-book” you work each month</w:t>
            </w:r>
          </w:p>
          <w:p>
            <w:pPr>
              <w:spacing w:after="20"/>
            </w:pPr>
            <w:r>
              <w:rPr>
                <w:rFonts w:ascii="Calibri" w:hAnsi="Calibri"/>
                <w:b/>
                <w:color w:val="B45F3B"/>
                <w:sz w:val="18"/>
              </w:rPr>
              <w:t xml:space="preserve">▪  </w:t>
            </w:r>
            <w:r>
              <w:rPr>
                <w:rFonts w:ascii="Calibri" w:hAnsi="Calibri"/>
                <w:color w:val="2B2B2B"/>
                <w:sz w:val="18"/>
              </w:rPr>
              <w:t>Premium cues — weight, lounges, concierge</w:t>
            </w:r>
          </w:p>
          <w:p>
            <w:pPr>
              <w:spacing w:after="20"/>
            </w:pPr>
            <w:r>
              <w:rPr>
                <w:rFonts w:ascii="Calibri" w:hAnsi="Calibri"/>
                <w:b/>
                <w:color w:val="B45F3B"/>
                <w:sz w:val="18"/>
              </w:rPr>
              <w:t xml:space="preserve">▪  </w:t>
            </w:r>
            <w:r>
              <w:rPr>
                <w:rFonts w:ascii="Calibri" w:hAnsi="Calibri"/>
                <w:color w:val="2B2B2B"/>
                <w:sz w:val="18"/>
              </w:rPr>
              <w:t>Effortful, but that IS the retention hook</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What makes it work</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Engagement engineered as retention; funded by fee + interchange, not by eroding margin.</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Lesson for DailyObjects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“Give a reason to return on a cadence” transfers (drops, a members’ day). The economics — interchange, paywalled credits — do not; that is just discounting behind a fee.</w:t>
            </w:r>
          </w:p>
        </w:tc>
      </w:tr>
    </w:tbl>
    <w:p>
      <w:pPr>
        <w:pStyle w:val="3"/>
        <w:spacing w:before="240" w:after="90"/>
      </w:pPr>
      <w:r>
        <w:rPr>
          <w:rFonts w:ascii="Calibri" w:hAnsi="Calibri" w:eastAsia="Calibri" w:cs="Calibri"/>
          <w:b/>
          <w:bCs/>
          <w:color w:val="B45F3B"/>
          <w:sz w:val="26"/>
          <w:szCs w:val="26"/>
        </w:rPr>
        <w:t>Amazon Prime (E-commerce)</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00"/>
        <w:gridCol w:w="6760"/>
      </w:tblGrid>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Basics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Paid membership ($139/yr). Flat, no points. A shipping + content bundle.</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How it works</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Pay a fee → instant free/fast shipping, Prime Video, Music and Prime Day.</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Key benefits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Fast free shipping (anchor) · content (glue) · Prime Day · grocery/pharmacy perks.</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Business objectives</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Lock in share of wallet via sunk cost</w:t>
            </w:r>
          </w:p>
          <w:p>
            <w:pPr>
              <w:spacing w:after="20"/>
            </w:pPr>
            <w:r>
              <w:rPr>
                <w:rFonts w:ascii="Calibri" w:hAnsi="Calibri"/>
                <w:b/>
                <w:color w:val="B45F3B"/>
                <w:sz w:val="18"/>
              </w:rPr>
              <w:t xml:space="preserve">▪  </w:t>
            </w:r>
            <w:r>
              <w:rPr>
                <w:rFonts w:ascii="Calibri" w:hAnsi="Calibri"/>
                <w:color w:val="2B2B2B"/>
                <w:sz w:val="18"/>
              </w:rPr>
              <w:t>Run the fee as its own subscription P&amp;L</w:t>
            </w:r>
          </w:p>
          <w:p>
            <w:pPr>
              <w:spacing w:after="20"/>
            </w:pPr>
            <w:r>
              <w:rPr>
                <w:rFonts w:ascii="Calibri" w:hAnsi="Calibri"/>
                <w:b/>
                <w:color w:val="B45F3B"/>
                <w:sz w:val="18"/>
              </w:rPr>
              <w:t xml:space="preserve">▪  </w:t>
            </w:r>
            <w:r>
              <w:rPr>
                <w:rFonts w:ascii="Calibri" w:hAnsi="Calibri"/>
                <w:color w:val="2B2B2B"/>
                <w:sz w:val="18"/>
              </w:rPr>
              <w:t>Use the content flywheel to cut churn</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Economics</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Value ~10x the fee (~$1,437 vs $139)</w:t>
            </w:r>
          </w:p>
          <w:p>
            <w:pPr>
              <w:spacing w:after="20"/>
            </w:pPr>
            <w:r>
              <w:rPr>
                <w:rFonts w:ascii="Calibri" w:hAnsi="Calibri"/>
                <w:b/>
                <w:color w:val="B45F3B"/>
                <w:sz w:val="18"/>
              </w:rPr>
              <w:t xml:space="preserve">▪  </w:t>
            </w:r>
            <w:r>
              <w:rPr>
                <w:rFonts w:ascii="Calibri" w:hAnsi="Calibri"/>
                <w:color w:val="2B2B2B"/>
                <w:sz w:val="18"/>
              </w:rPr>
              <w:t>$49.6B subscription segment (FY25)</w:t>
            </w:r>
          </w:p>
          <w:p>
            <w:pPr>
              <w:spacing w:after="20"/>
            </w:pPr>
            <w:r>
              <w:rPr>
                <w:rFonts w:ascii="Calibri" w:hAnsi="Calibri"/>
                <w:b/>
                <w:color w:val="B45F3B"/>
                <w:sz w:val="18"/>
              </w:rPr>
              <w:t xml:space="preserve">▪  </w:t>
            </w:r>
            <w:r>
              <w:rPr>
                <w:rFonts w:ascii="Calibri" w:hAnsi="Calibri"/>
                <w:color w:val="2B2B2B"/>
                <w:sz w:val="18"/>
              </w:rPr>
              <w:t>Self-funding — a fee, not a margin give-back</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Consumer psychology</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Sunk cost (“get my money’s worth”)</w:t>
            </w:r>
          </w:p>
          <w:p>
            <w:pPr>
              <w:spacing w:after="20"/>
            </w:pPr>
            <w:r>
              <w:rPr>
                <w:rFonts w:ascii="Calibri" w:hAnsi="Calibri"/>
                <w:b/>
                <w:color w:val="B45F3B"/>
                <w:sz w:val="18"/>
              </w:rPr>
              <w:t xml:space="preserve">▪  </w:t>
            </w:r>
            <w:r>
              <w:rPr>
                <w:rFonts w:ascii="Calibri" w:hAnsi="Calibri"/>
                <w:color w:val="2B2B2B"/>
                <w:sz w:val="18"/>
              </w:rPr>
              <w:t>Loss aversion (cancelling loses a daily bundle)</w:t>
            </w:r>
          </w:p>
          <w:p>
            <w:pPr>
              <w:spacing w:after="20"/>
            </w:pPr>
            <w:r>
              <w:rPr>
                <w:rFonts w:ascii="Calibri" w:hAnsi="Calibri"/>
                <w:b/>
                <w:color w:val="B45F3B"/>
                <w:sz w:val="18"/>
              </w:rPr>
              <w:t xml:space="preserve">▪  </w:t>
            </w:r>
            <w:r>
              <w:rPr>
                <w:rFonts w:ascii="Calibri" w:hAnsi="Calibri"/>
                <w:color w:val="2B2B2B"/>
                <w:sz w:val="18"/>
              </w:rPr>
              <w:t>“Free” shipping reframes every basket</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Consumer experience</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Frictionless — 1-click, fast delivery</w:t>
            </w:r>
          </w:p>
          <w:p>
            <w:pPr>
              <w:spacing w:after="20"/>
            </w:pPr>
            <w:r>
              <w:rPr>
                <w:rFonts w:ascii="Calibri" w:hAnsi="Calibri"/>
                <w:b/>
                <w:color w:val="B45F3B"/>
                <w:sz w:val="18"/>
              </w:rPr>
              <w:t xml:space="preserve">▪  </w:t>
            </w:r>
            <w:r>
              <w:rPr>
                <w:rFonts w:ascii="Calibri" w:hAnsi="Calibri"/>
                <w:color w:val="2B2B2B"/>
                <w:sz w:val="18"/>
              </w:rPr>
              <w:t>The bundle is used almost daily</w:t>
            </w:r>
          </w:p>
          <w:p>
            <w:pPr>
              <w:spacing w:after="20"/>
            </w:pPr>
            <w:r>
              <w:rPr>
                <w:rFonts w:ascii="Calibri" w:hAnsi="Calibri"/>
                <w:b/>
                <w:color w:val="B45F3B"/>
                <w:sz w:val="18"/>
              </w:rPr>
              <w:t xml:space="preserve">▪  </w:t>
            </w:r>
            <w:r>
              <w:rPr>
                <w:rFonts w:ascii="Calibri" w:hAnsi="Calibri"/>
                <w:color w:val="2B2B2B"/>
                <w:sz w:val="18"/>
              </w:rPr>
              <w:t>Convenience is the entire feeling</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What makes it work</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Value dwarfs the fee, and the bundle is used often enough that cancelling feels like a loss.</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Lesson for DailyObjects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A paid tier needs frequent use to justify the fee — hard at medium frequency. A later, narrow play for your highest-frequency customers.</w:t>
            </w:r>
          </w:p>
        </w:tc>
      </w:tr>
    </w:tbl>
    <w:p>
      <w:pPr>
        <w:pStyle w:val="3"/>
        <w:spacing w:before="240" w:after="90"/>
      </w:pPr>
      <w:r>
        <w:rPr>
          <w:rFonts w:ascii="Calibri" w:hAnsi="Calibri" w:eastAsia="Calibri" w:cs="Calibri"/>
          <w:b/>
          <w:bCs/>
          <w:color w:val="B45F3B"/>
          <w:sz w:val="26"/>
          <w:szCs w:val="26"/>
        </w:rPr>
        <w:t>Nike Run Club (Sports / community)</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600"/>
        <w:gridCol w:w="6760"/>
      </w:tblGrid>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Basics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Free app (NRC) inside Nike membership — coaching, guided runs, challenges. Non-transactional.</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How it works</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Track runs, follow plans, join challenges; recognition via achievements, not spend.</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Key benefits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Free training content · guided runs · challenges · community · achievement badges.</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Business objectives</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Deepen the brand relationship beyond purchase</w:t>
            </w:r>
          </w:p>
          <w:p>
            <w:pPr>
              <w:spacing w:after="20"/>
            </w:pPr>
            <w:r>
              <w:rPr>
                <w:rFonts w:ascii="Calibri" w:hAnsi="Calibri"/>
                <w:b/>
                <w:color w:val="B45F3B"/>
                <w:sz w:val="18"/>
              </w:rPr>
              <w:t xml:space="preserve">▪  </w:t>
            </w:r>
            <w:r>
              <w:rPr>
                <w:rFonts w:ascii="Calibri" w:hAnsi="Calibri"/>
                <w:color w:val="2B2B2B"/>
                <w:sz w:val="18"/>
              </w:rPr>
              <w:t>Drive app engagement and habit</w:t>
            </w:r>
          </w:p>
          <w:p>
            <w:pPr>
              <w:spacing w:after="20"/>
            </w:pPr>
            <w:r>
              <w:rPr>
                <w:rFonts w:ascii="Calibri" w:hAnsi="Calibri"/>
                <w:b/>
                <w:color w:val="B45F3B"/>
                <w:sz w:val="18"/>
              </w:rPr>
              <w:t xml:space="preserve">▪  </w:t>
            </w:r>
            <w:r>
              <w:rPr>
                <w:rFonts w:ascii="Calibri" w:hAnsi="Calibri"/>
                <w:color w:val="2B2B2B"/>
                <w:sz w:val="18"/>
              </w:rPr>
              <w:t>Feed data and product relevance</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Economics</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Content is largely fixed-cost, near-zero marginal</w:t>
            </w:r>
          </w:p>
          <w:p>
            <w:pPr>
              <w:spacing w:after="20"/>
            </w:pPr>
            <w:r>
              <w:rPr>
                <w:rFonts w:ascii="Calibri" w:hAnsi="Calibri"/>
                <w:b/>
                <w:color w:val="B45F3B"/>
                <w:sz w:val="18"/>
              </w:rPr>
              <w:t xml:space="preserve">▪  </w:t>
            </w:r>
            <w:r>
              <w:rPr>
                <w:rFonts w:ascii="Calibri" w:hAnsi="Calibri"/>
                <w:color w:val="2B2B2B"/>
                <w:sz w:val="18"/>
              </w:rPr>
              <w:t>No rewards liability</w:t>
            </w:r>
          </w:p>
          <w:p>
            <w:pPr>
              <w:spacing w:after="20"/>
            </w:pPr>
            <w:r>
              <w:rPr>
                <w:rFonts w:ascii="Calibri" w:hAnsi="Calibri"/>
                <w:b/>
                <w:color w:val="B45F3B"/>
                <w:sz w:val="18"/>
              </w:rPr>
              <w:t xml:space="preserve">▪  </w:t>
            </w:r>
            <w:r>
              <w:rPr>
                <w:rFonts w:ascii="Calibri" w:hAnsi="Calibri"/>
                <w:color w:val="2B2B2B"/>
                <w:sz w:val="18"/>
              </w:rPr>
              <w:t>ROI = engagement and LTV, hard to isolate</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Consumer psychology</w:t>
            </w:r>
          </w:p>
        </w:tc>
        <w:tc>
          <w:tcPr>
            <w:tcW w:w="6760" w:type="dxa"/>
            <w:tcMar>
              <w:top w:w="60" w:type="dxa"/>
              <w:left w:w="90" w:type="dxa"/>
              <w:bottom w:w="60" w:type="dxa"/>
              <w:right w:w="90" w:type="dxa"/>
            </w:tcMar>
            <w:vAlign w:val="center"/>
            <w:shd w:val="clear" w:fill="F5F1EC"/>
          </w:tcPr>
          <w:p>
            <w:pPr>
              <w:spacing w:after="20" w:line="250" w:lineRule="auto"/>
              <w:jc w:val="left"/>
            </w:pPr>
            <w:r>
              <w:rPr>
                <w:rFonts w:ascii="Calibri" w:hAnsi="Calibri"/>
                <w:b/>
                <w:color w:val="B45F3B"/>
                <w:sz w:val="18"/>
              </w:rPr>
              <w:t xml:space="preserve">▪  </w:t>
            </w:r>
            <w:r>
              <w:rPr>
                <w:rFonts w:ascii="Calibri" w:hAnsi="Calibri"/>
                <w:color w:val="2B2B2B"/>
                <w:sz w:val="18"/>
              </w:rPr>
              <w:t>Identity (“I’m a runner, with Nike”)</w:t>
            </w:r>
          </w:p>
          <w:p>
            <w:pPr>
              <w:spacing w:after="20"/>
            </w:pPr>
            <w:r>
              <w:rPr>
                <w:rFonts w:ascii="Calibri" w:hAnsi="Calibri"/>
                <w:b/>
                <w:color w:val="B45F3B"/>
                <w:sz w:val="18"/>
              </w:rPr>
              <w:t xml:space="preserve">▪  </w:t>
            </w:r>
            <w:r>
              <w:rPr>
                <w:rFonts w:ascii="Calibri" w:hAnsi="Calibri"/>
                <w:color w:val="2B2B2B"/>
                <w:sz w:val="18"/>
              </w:rPr>
              <w:t>Goal-gradient (streaks and challenges)</w:t>
            </w:r>
          </w:p>
          <w:p>
            <w:pPr>
              <w:spacing w:after="20"/>
            </w:pPr>
            <w:r>
              <w:rPr>
                <w:rFonts w:ascii="Calibri" w:hAnsi="Calibri"/>
                <w:b/>
                <w:color w:val="B45F3B"/>
                <w:sz w:val="18"/>
              </w:rPr>
              <w:t xml:space="preserve">▪  </w:t>
            </w:r>
            <w:r>
              <w:rPr>
                <w:rFonts w:ascii="Calibri" w:hAnsi="Calibri"/>
                <w:color w:val="2B2B2B"/>
                <w:sz w:val="18"/>
              </w:rPr>
              <w:t>Social proof and community belonging</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Consumer experience</w:t>
            </w:r>
          </w:p>
        </w:tc>
        <w:tc>
          <w:tcPr>
            <w:tcW w:w="6760" w:type="dxa"/>
            <w:tcMar>
              <w:top w:w="60" w:type="dxa"/>
              <w:left w:w="90" w:type="dxa"/>
              <w:bottom w:w="60" w:type="dxa"/>
              <w:right w:w="90" w:type="dxa"/>
            </w:tcMar>
            <w:vAlign w:val="center"/>
          </w:tcPr>
          <w:p>
            <w:pPr>
              <w:spacing w:after="20" w:line="250" w:lineRule="auto"/>
              <w:jc w:val="left"/>
            </w:pPr>
            <w:r>
              <w:rPr>
                <w:rFonts w:ascii="Calibri" w:hAnsi="Calibri"/>
                <w:b/>
                <w:color w:val="B45F3B"/>
                <w:sz w:val="18"/>
              </w:rPr>
              <w:t xml:space="preserve">▪  </w:t>
            </w:r>
            <w:r>
              <w:rPr>
                <w:rFonts w:ascii="Calibri" w:hAnsi="Calibri"/>
                <w:color w:val="2B2B2B"/>
                <w:sz w:val="18"/>
              </w:rPr>
              <w:t>Feels like a coach and a community, not a shop</w:t>
            </w:r>
          </w:p>
          <w:p>
            <w:pPr>
              <w:spacing w:after="20"/>
            </w:pPr>
            <w:r>
              <w:rPr>
                <w:rFonts w:ascii="Calibri" w:hAnsi="Calibri"/>
                <w:b/>
                <w:color w:val="B45F3B"/>
                <w:sz w:val="18"/>
              </w:rPr>
              <w:t xml:space="preserve">▪  </w:t>
            </w:r>
            <w:r>
              <w:rPr>
                <w:rFonts w:ascii="Calibri" w:hAnsi="Calibri"/>
                <w:color w:val="2B2B2B"/>
                <w:sz w:val="18"/>
              </w:rPr>
              <w:t>Achievement, not transaction</w:t>
            </w:r>
          </w:p>
          <w:p>
            <w:pPr>
              <w:spacing w:after="20"/>
            </w:pPr>
            <w:r>
              <w:rPr>
                <w:rFonts w:ascii="Calibri" w:hAnsi="Calibri"/>
                <w:b/>
                <w:color w:val="B45F3B"/>
                <w:sz w:val="18"/>
              </w:rPr>
              <w:t xml:space="preserve">▪  </w:t>
            </w:r>
            <w:r>
              <w:rPr>
                <w:rFonts w:ascii="Calibri" w:hAnsi="Calibri"/>
                <w:color w:val="2B2B2B"/>
                <w:sz w:val="18"/>
              </w:rPr>
              <w:t>Value even when not buying (utility)</w:t>
            </w:r>
          </w:p>
        </w:tc>
      </w:tr>
      <w:tr>
        <w:tc>
          <w:tcPr>
            <w:tcW w:w="26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What makes it work</w:t>
            </w:r>
          </w:p>
        </w:tc>
        <w:tc>
          <w:tcPr>
            <w:tcW w:w="676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Non-transactional utility and community build attachment decoupled from spend.</w:t>
            </w:r>
          </w:p>
        </w:tc>
      </w:tr>
      <w:tr>
        <w:tc>
          <w:tcPr>
            <w:tcW w:w="26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Lesson for DailyObjects</w:t>
            </w:r>
          </w:p>
        </w:tc>
        <w:tc>
          <w:tcPr>
            <w:tcW w:w="6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The purest “value when not buying” model. A design community, content or utility can bond customers between purchases — the antidote to a medium-frequency category.</w:t>
            </w:r>
          </w:p>
        </w:tc>
      </w:tr>
    </w:tbl>
    <w:p>
      <w:pPr>
        <w:pStyle w:val="2"/>
        <w:pBdr>
          <w:bottom w:val="single" w:color="B45F3B" w:sz="12" w:space="6"/>
        </w:pBdr>
        <w:spacing w:before="360" w:after="140"/>
      </w:pPr>
      <w:r>
        <w:rPr>
          <w:rFonts w:ascii="Calibri" w:hAnsi="Calibri" w:eastAsia="Calibri" w:cs="Calibri"/>
          <w:b/>
          <w:bCs/>
          <w:color w:val="1A1D2B"/>
          <w:sz w:val="34"/>
          <w:szCs w:val="34"/>
        </w:rPr>
        <w:t>7. Indian Programmes &amp; Direct Comparables</w:t>
      </w:r>
    </w:p>
    <w:p>
      <w:pPr>
        <w:spacing w:after="160"/>
      </w:pPr>
      <w:r>
        <w:rPr>
          <w:rFonts w:ascii="Calibri" w:hAnsi="Calibri"/>
          <w:b/>
          <w:color w:val="2B2B2B"/>
          <w:sz w:val="21"/>
        </w:rPr>
        <w:t xml:space="preserve">Reading Section 6 with the same lens. </w:t>
      </w:r>
      <w:r>
        <w:rPr>
          <w:rFonts w:ascii="Calibri" w:hAnsi="Calibri"/>
          <w:b w:val="0"/>
          <w:color w:val="2B2B2B"/>
          <w:sz w:val="21"/>
        </w:rPr>
        <w:t xml:space="preserve">Indian loyalty is dominated by two archetypes that are mostly discounting in disguise: coalition and e-commerce point currencies (Tata Neu, Reliance, Flipkart, Nykaa, Decathlon), where earning ~0.5–2% back to redeem later is a deferred rebate; and paid-convenience memberships (Swiggy, Bewakoof), where a fee funds free delivery. </w:t>
      </w:r>
      <w:r>
        <w:rPr>
          <w:rFonts w:ascii="Calibri" w:hAnsi="Calibri"/>
          <w:b w:val="0"/>
          <w:color w:val="2B2B2B"/>
          <w:sz w:val="21"/>
        </w:rPr>
        <w:t xml:space="preserve">The genuinely non-discount, defensible ideas are the minority — and those are the ones worth borrowing: Tira (points buy product, not cash), Shoppers Stop Black (an experiential top tier), Titan (milestone anchoring plus a savings/commitment device), Croma (warranty, service and trade-in as currency), and Myntra/Decathlon (engagement earning that builds data and content). </w:t>
      </w:r>
      <w:r>
        <w:rPr>
          <w:rFonts w:ascii="Calibri" w:hAnsi="Calibri"/>
          <w:b w:val="0"/>
          <w:color w:val="2B2B2B"/>
          <w:sz w:val="21"/>
        </w:rPr>
        <w:t>The COGS caveat still applies: unlike a coalition giant funding rewards from partner budgets, DailyObjects funds every reward from its own product margin — so it should cherry-pick the non-discount mechanics and avoid the coalition/discount race. The “honest read” column below classifies each programme and corrects its lesson.</w:t>
      </w:r>
    </w:p>
    <w:p>
      <w:pPr>
        <w:pStyle w:val="3"/>
        <w:spacing w:before="240" w:after="90"/>
      </w:pPr>
      <w:r>
        <w:rPr>
          <w:rFonts w:ascii="Calibri" w:hAnsi="Calibri" w:eastAsia="Calibri" w:cs="Calibri"/>
          <w:b/>
          <w:bCs/>
          <w:color w:val="B45F3B"/>
          <w:sz w:val="26"/>
          <w:szCs w:val="26"/>
        </w:rPr>
        <w:t>7.1  Strong Indian programmes — mechanics &amp; transferable lessons</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1900"/>
        <w:gridCol w:w="900"/>
        <w:gridCol w:w="2400"/>
        <w:gridCol w:w="4160"/>
      </w:tblGrid>
      <w:tr>
        <w:trPr>
          <w:tblHeader/>
        </w:trPr>
        <w:tc>
          <w:tcPr>
            <w:tcW w:w="19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Programme</w:t>
            </w:r>
          </w:p>
        </w:tc>
        <w:tc>
          <w:tcPr>
            <w:tcW w:w="9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Pay</w:t>
            </w:r>
          </w:p>
        </w:tc>
        <w:tc>
          <w:tcPr>
            <w:tcW w:w="24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Mechanic</w:t>
            </w:r>
          </w:p>
        </w:tc>
        <w:tc>
          <w:tcPr>
            <w:tcW w:w="416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Honest read &amp; lesson for DailyObjects</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Tata Neu / NeuPass</w:t>
            </w:r>
          </w:p>
        </w:tc>
        <w:tc>
          <w:tcPr>
            <w:tcW w:w="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NeuCoins 1=₹1 across a conglomerate; 5 tiers</w:t>
            </w:r>
          </w:p>
        </w:tc>
        <w:tc>
          <w:tcPr>
            <w:tcW w:w="41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Discount at core — </w:t>
            </w:r>
            <w:r>
              <w:rPr>
                <w:rFonts w:ascii="Calibri" w:hAnsi="Calibri"/>
                <w:b w:val="0"/>
                <w:color w:val="2B2B2B"/>
                <w:sz w:val="18"/>
              </w:rPr>
              <w:t>NeuCoins are a ~2–8% rebate dressed as a currency; the non-discount edge is coalition breadth + rolling activity-based expiry, yet engagement stayed weak. DO: borrow only the rolling expiry — a currency alone doesn’t create loyalty, and you can’t out-scale a conglomerate.</w:t>
            </w:r>
          </w:p>
        </w:tc>
      </w:tr>
      <w:tr>
        <w:tc>
          <w:tcPr>
            <w:tcW w:w="1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Reliance One</w:t>
            </w:r>
          </w:p>
        </w:tc>
        <w:tc>
          <w:tcPr>
            <w:tcW w:w="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~1 pt/₹200 across JioMart/AJIO/Digital/Tira</w:t>
            </w:r>
          </w:p>
        </w:tc>
        <w:tc>
          <w:tcPr>
            <w:tcW w:w="41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Near-pure discounting — </w:t>
            </w:r>
            <w:r>
              <w:rPr>
                <w:rFonts w:ascii="Calibri" w:hAnsi="Calibri"/>
                <w:b w:val="0"/>
                <w:color w:val="2B2B2B"/>
                <w:sz w:val="18"/>
              </w:rPr>
              <w:t>a thin ~0.5% rebate across a retail empire; breadth is the only differentiator and emotional pull is low. DO: nothing to copy on mechanics — compete on depth, design and identity, not breadth.</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Myntra Insider</w:t>
            </w:r>
          </w:p>
        </w:tc>
        <w:tc>
          <w:tcPr>
            <w:tcW w:w="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SuperCoins; tiers climbed via reviews/quizzes/referrals; monthly Insider Day</w:t>
            </w:r>
          </w:p>
        </w:tc>
        <w:tc>
          <w:tcPr>
            <w:tcW w:w="41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Discount, but smartly wrapped — </w:t>
            </w:r>
            <w:r>
              <w:rPr>
                <w:rFonts w:ascii="Calibri" w:hAnsi="Calibri"/>
                <w:b w:val="0"/>
                <w:color w:val="2B2B2B"/>
                <w:sz w:val="18"/>
              </w:rPr>
              <w:t>the coins are a rebate and the headline is a monthly % off, but engagement earning (reviews, quizzes) builds data/content and Insider Day builds habit. DO: copy the engagement earning and a recurring members’ moment — not the monthly discount, which trains deal-waiting.</w:t>
            </w:r>
          </w:p>
        </w:tc>
      </w:tr>
      <w:tr>
        <w:tc>
          <w:tcPr>
            <w:tcW w:w="1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Nykaa Prive</w:t>
            </w:r>
          </w:p>
        </w:tc>
        <w:tc>
          <w:tcPr>
            <w:tcW w:w="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1 pt/₹1; birthday-month multipliers 1.5x/2x/3x</w:t>
            </w:r>
          </w:p>
        </w:tc>
        <w:tc>
          <w:tcPr>
            <w:tcW w:w="41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Discount with an emotional frame — </w:t>
            </w:r>
            <w:r>
              <w:rPr>
                <w:rFonts w:ascii="Calibri" w:hAnsi="Calibri"/>
                <w:b w:val="0"/>
                <w:color w:val="2B2B2B"/>
                <w:sz w:val="18"/>
              </w:rPr>
              <w:t>points and birthday multipliers are still rebates, just time-boxed; the “your month” framing is the only non-discount part. DO: keep the low-cost birthday moment, but deliver it as a gift or early access, not another % off.</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Tira Treats</w:t>
            </w:r>
          </w:p>
        </w:tc>
        <w:tc>
          <w:tcPr>
            <w:tcW w:w="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10 pts/₹100; points buy full-size product; concierge</w:t>
            </w:r>
          </w:p>
        </w:tc>
        <w:tc>
          <w:tcPr>
            <w:tcW w:w="41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De-discounted redemption — </w:t>
            </w:r>
            <w:r>
              <w:rPr>
                <w:rFonts w:ascii="Calibri" w:hAnsi="Calibri"/>
                <w:b w:val="0"/>
                <w:color w:val="2B2B2B"/>
                <w:sz w:val="18"/>
              </w:rPr>
              <w:t>the smartest burn design in the set: points buy aspirational PRODUCT, not cash, which feels like a gift and steers value away from cash-back. DO: directly transferable — let points buy product/limited editions to protect price perception.</w:t>
            </w:r>
          </w:p>
        </w:tc>
      </w:tr>
      <w:tr>
        <w:tc>
          <w:tcPr>
            <w:tcW w:w="1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Shoppers Stop First Citizen</w:t>
            </w:r>
          </w:p>
        </w:tc>
        <w:tc>
          <w:tcPr>
            <w:tcW w:w="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Paid</w:t>
            </w:r>
          </w:p>
        </w:tc>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Silver→Black; Black ₹4,500/yr adds golf/sailing experiences</w:t>
            </w:r>
          </w:p>
        </w:tc>
        <w:tc>
          <w:tcPr>
            <w:tcW w:w="41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Genuinely non-discount at the top — </w:t>
            </w:r>
            <w:r>
              <w:rPr>
                <w:rFonts w:ascii="Calibri" w:hAnsi="Calibri"/>
                <w:b w:val="0"/>
                <w:color w:val="2B2B2B"/>
                <w:sz w:val="18"/>
              </w:rPr>
              <w:t>base points are a rebate, but the paid Black tier sells belonging through experiences and service. DO: emulate the aspirational, experiential top tier — but a physical-goods brand funds experiences from margin, so scope them.</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Titan Encircle</w:t>
            </w:r>
          </w:p>
        </w:tc>
        <w:tc>
          <w:tcPr>
            <w:tcW w:w="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NuCoins across Titan group; life-event offers; Golden Harvest savings</w:t>
            </w:r>
          </w:p>
        </w:tc>
        <w:tc>
          <w:tcPr>
            <w:tcW w:w="41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Commitment beats points — </w:t>
            </w:r>
            <w:r>
              <w:rPr>
                <w:rFonts w:ascii="Calibri" w:hAnsi="Calibri"/>
                <w:b w:val="0"/>
                <w:color w:val="2B2B2B"/>
                <w:sz w:val="18"/>
              </w:rPr>
              <w:t>points are a rebate; the real levers are non-discount — life-event anchoring and the Golden Harvest savings scheme that locks future spend. DO: borrow milestone anchoring and a possible pre-pay/commitment mechanic for higher-ticket items.</w:t>
            </w:r>
          </w:p>
        </w:tc>
      </w:tr>
      <w:tr>
        <w:tc>
          <w:tcPr>
            <w:tcW w:w="1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Swiggy One / One BLCK</w:t>
            </w:r>
          </w:p>
        </w:tc>
        <w:tc>
          <w:tcPr>
            <w:tcW w:w="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Paid</w:t>
            </w:r>
          </w:p>
        </w:tc>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Surge/delivery-fee waiver; invite-only apex tier</w:t>
            </w:r>
          </w:p>
        </w:tc>
        <w:tc>
          <w:tcPr>
            <w:tcW w:w="41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Paid convenience, not product discount — </w:t>
            </w:r>
            <w:r>
              <w:rPr>
                <w:rFonts w:ascii="Calibri" w:hAnsi="Calibri"/>
                <w:b w:val="0"/>
                <w:color w:val="2B2B2B"/>
                <w:sz w:val="18"/>
              </w:rPr>
              <w:t>a fee funds free delivery; ROI is obvious only at high frequency, and BLCK adds status. DO: a paid tier needs obvious maths and frequent use — hard for DailyObjects, where shipping is a smaller share of the basket; keep it a later, narrow play.</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Decathlon</w:t>
            </w:r>
          </w:p>
        </w:tc>
        <w:tc>
          <w:tcPr>
            <w:tcW w:w="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1 pt/₹1 (~2%); up to 250 pts per review</w:t>
            </w:r>
          </w:p>
        </w:tc>
        <w:tc>
          <w:tcPr>
            <w:tcW w:w="41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Transparent discounting + data — </w:t>
            </w:r>
            <w:r>
              <w:rPr>
                <w:rFonts w:ascii="Calibri" w:hAnsi="Calibri"/>
                <w:b w:val="0"/>
                <w:color w:val="2B2B2B"/>
                <w:sz w:val="18"/>
              </w:rPr>
              <w:t>an explicit ~2% rebate; the clever non-discount bit is paying for reviews. DO: copy the review-for-points mechanic (cheap data and content), not the flat rebate.</w:t>
            </w:r>
          </w:p>
        </w:tc>
      </w:tr>
      <w:tr>
        <w:tc>
          <w:tcPr>
            <w:tcW w:w="1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Croma Privileges</w:t>
            </w:r>
          </w:p>
        </w:tc>
        <w:tc>
          <w:tcPr>
            <w:tcW w:w="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Free</w:t>
            </w:r>
          </w:p>
        </w:tc>
        <w:tc>
          <w:tcPr>
            <w:tcW w:w="24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NeuCoins + lifetime service, e-waste pickup, exchange bonus</w:t>
            </w:r>
          </w:p>
        </w:tc>
        <w:tc>
          <w:tcPr>
            <w:tcW w:w="41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Service is the real currency — </w:t>
            </w:r>
            <w:r>
              <w:rPr>
                <w:rFonts w:ascii="Calibri" w:hAnsi="Calibri"/>
                <w:b w:val="0"/>
                <w:color w:val="2B2B2B"/>
                <w:sz w:val="18"/>
              </w:rPr>
              <w:t>points are a rebate, but warranty, e-waste pickup, exchange and lifetime service are the non-discount value that fits durable tech. DO: directly relevant — warranty/repair/trade-in as loyalty currency, carrying the sustainability story.</w:t>
            </w:r>
          </w:p>
        </w:tc>
      </w:tr>
    </w:tbl>
    <w:p>
      <w:pPr>
        <w:spacing w:after="80"/>
      </w:pPr>
    </w:p>
    <w:p>
      <w:pPr>
        <w:pStyle w:val="3"/>
        <w:spacing w:before="240" w:after="90"/>
      </w:pPr>
      <w:r>
        <w:rPr>
          <w:rFonts w:ascii="Calibri" w:hAnsi="Calibri" w:eastAsia="Calibri" w:cs="Calibri"/>
          <w:b/>
          <w:bCs/>
          <w:color w:val="B45F3B"/>
          <w:sz w:val="26"/>
          <w:szCs w:val="26"/>
        </w:rPr>
        <w:t>7.2  DailyObjects-comparable brands — who runs loyalty, who doesn’t</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1900"/>
        <w:gridCol w:w="1300"/>
        <w:gridCol w:w="1400"/>
        <w:gridCol w:w="4760"/>
      </w:tblGrid>
      <w:tr>
        <w:trPr>
          <w:tblHeader/>
        </w:trPr>
        <w:tc>
          <w:tcPr>
            <w:tcW w:w="19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Brand</w:t>
            </w:r>
          </w:p>
        </w:tc>
        <w:tc>
          <w:tcPr>
            <w:tcW w:w="13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Origin / price</w:t>
            </w:r>
          </w:p>
        </w:tc>
        <w:tc>
          <w:tcPr>
            <w:tcW w:w="14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Programme type</w:t>
            </w:r>
          </w:p>
        </w:tc>
        <w:tc>
          <w:tcPr>
            <w:tcW w:w="476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Honest read &amp; lesson for DailyObjects</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eastAsia="Calibri" w:cs="Calibri"/>
                <w:b/>
                <w:bCs/>
                <w:color w:val="2B2B2B"/>
                <w:sz w:val="18"/>
                <w:szCs w:val="18"/>
              </w:rPr>
              <w:t>Casetify</w:t>
            </w:r>
          </w:p>
        </w:tc>
        <w:tc>
          <w:tcPr>
            <w:tcW w:w="1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Global / premium</w:t>
            </w:r>
          </w:p>
        </w:tc>
        <w:tc>
          <w:tcPr>
            <w:tcW w:w="1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Full tiered</w:t>
            </w:r>
          </w:p>
        </w:tc>
        <w:tc>
          <w:tcPr>
            <w:tcW w:w="4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In-category, but voucher-led — </w:t>
            </w:r>
            <w:r>
              <w:rPr>
                <w:rFonts w:ascii="Calibri" w:hAnsi="Calibri"/>
                <w:b w:val="0"/>
                <w:color w:val="2B2B2B"/>
                <w:sz w:val="18"/>
              </w:rPr>
              <w:t>the 30% vouchers are discounting; the tier + birthday gift + 12-mo VIP warranty are the non-discount, on-brand layer. DO: the template to follow — but lead with warranty/tier/birthday and de-emphasise the vouchers.</w:t>
            </w:r>
          </w:p>
        </w:tc>
      </w:tr>
      <w:tr>
        <w:tc>
          <w:tcPr>
            <w:tcW w:w="1900" w:type="dxa"/>
            <w:tcMar>
              <w:top w:w="60" w:type="dxa"/>
              <w:left w:w="90" w:type="dxa"/>
              <w:bottom w:w="60" w:type="dxa"/>
              <w:right w:w="90" w:type="dxa"/>
            </w:tcMar>
            <w:vAlign w:val="center"/>
            <w:shd w:val="clear" w:fill="F5F1EC"/>
          </w:tcPr>
          <w:p>
            <w:pPr>
              <w:spacing w:after="0" w:line="250" w:lineRule="auto"/>
              <w:jc w:val="left"/>
            </w:pPr>
            <w:r>
              <w:rPr>
                <w:rFonts w:ascii="Calibri" w:hAnsi="Calibri" w:eastAsia="Calibri" w:cs="Calibri"/>
                <w:b/>
                <w:bCs/>
                <w:color w:val="2B2B2B"/>
                <w:sz w:val="18"/>
                <w:szCs w:val="18"/>
              </w:rPr>
              <w:t>Mokobara</w:t>
            </w:r>
          </w:p>
        </w:tc>
        <w:tc>
          <w:tcPr>
            <w:tcW w:w="1300" w:type="dxa"/>
            <w:tcMar>
              <w:top w:w="60" w:type="dxa"/>
              <w:left w:w="90" w:type="dxa"/>
              <w:bottom w:w="60" w:type="dxa"/>
              <w:right w:w="90" w:type="dxa"/>
            </w:tcMar>
            <w:vAlign w:val="center"/>
            <w:shd w:val="clear" w:fill="F5F1EC"/>
          </w:tcPr>
          <w:p>
            <w:pPr>
              <w:spacing w:after="0" w:line="250" w:lineRule="auto"/>
              <w:jc w:val="left"/>
            </w:pPr>
            <w:r>
              <w:rPr>
                <w:rFonts w:ascii="Calibri" w:hAnsi="Calibri" w:eastAsia="Calibri" w:cs="Calibri"/>
                <w:color w:val="2B2B2B"/>
                <w:sz w:val="18"/>
                <w:szCs w:val="18"/>
              </w:rPr>
              <w:t>India / mid-premium</w:t>
            </w:r>
          </w:p>
        </w:tc>
        <w:tc>
          <w:tcPr>
            <w:tcW w:w="1400" w:type="dxa"/>
            <w:tcMar>
              <w:top w:w="60" w:type="dxa"/>
              <w:left w:w="90" w:type="dxa"/>
              <w:bottom w:w="60" w:type="dxa"/>
              <w:right w:w="90" w:type="dxa"/>
            </w:tcMar>
            <w:vAlign w:val="center"/>
            <w:shd w:val="clear" w:fill="F5F1EC"/>
          </w:tcPr>
          <w:p>
            <w:pPr>
              <w:spacing w:after="0" w:line="250" w:lineRule="auto"/>
              <w:jc w:val="left"/>
            </w:pPr>
            <w:r>
              <w:rPr>
                <w:rFonts w:ascii="Calibri" w:hAnsi="Calibri" w:eastAsia="Calibri" w:cs="Calibri"/>
                <w:color w:val="2B2B2B"/>
                <w:sz w:val="18"/>
                <w:szCs w:val="18"/>
              </w:rPr>
              <w:t>Paid membership</w:t>
            </w:r>
          </w:p>
        </w:tc>
        <w:tc>
          <w:tcPr>
            <w:tcW w:w="47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 xml:space="preserve">Member discount, cushioned — </w:t>
            </w:r>
            <w:r>
              <w:rPr>
                <w:rFonts w:ascii="Calibri" w:hAnsi="Calibri"/>
                <w:b w:val="0"/>
                <w:color w:val="2B2B2B"/>
                <w:sz w:val="18"/>
              </w:rPr>
              <w:t>the 5%-off-even-in-sales core IS a guaranteed rebate, but the fee + 6-yr warranty + early access add lock-in, and it worked (3x member sales) once the catalogue broadened to create occasions. DO: frequency is the precondition for loyalty economics (your broad range is an asset); if you offer a member discount, pair it with warranty + access and test the margin.</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Anker</w:t>
            </w:r>
          </w:p>
        </w:tc>
        <w:tc>
          <w:tcPr>
            <w:tcW w:w="1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Global / mid</w:t>
            </w:r>
          </w:p>
        </w:tc>
        <w:tc>
          <w:tcPr>
            <w:tcW w:w="14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Points + paid</w:t>
            </w:r>
          </w:p>
        </w:tc>
        <w:tc>
          <w:tcPr>
            <w:tcW w:w="4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Discount-centric + service — </w:t>
            </w:r>
            <w:r>
              <w:rPr>
                <w:rFonts w:ascii="Calibri" w:hAnsi="Calibri"/>
                <w:b w:val="0"/>
                <w:color w:val="2B2B2B"/>
                <w:sz w:val="18"/>
              </w:rPr>
              <w:t>the credit→coupon ladder is explicit discounting; Anker Plus adds paid convenience + warranty. DO: skip the coupon ladder — the transferable bit is a modest paid tier bundling warranty + delivery.</w:t>
            </w:r>
          </w:p>
        </w:tc>
      </w:tr>
      <w:tr>
        <w:tc>
          <w:tcPr>
            <w:tcW w:w="190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2B2B2B"/>
                <w:sz w:val="18"/>
              </w:rPr>
              <w:t>Nomad</w:t>
            </w:r>
          </w:p>
        </w:tc>
        <w:tc>
          <w:tcPr>
            <w:tcW w:w="13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Global / premium</w:t>
            </w:r>
          </w:p>
        </w:tc>
        <w:tc>
          <w:tcPr>
            <w:tcW w:w="1400" w:type="dxa"/>
            <w:tcMar>
              <w:top w:w="60" w:type="dxa"/>
              <w:left w:w="90" w:type="dxa"/>
              <w:bottom w:w="60" w:type="dxa"/>
              <w:right w:w="90" w:type="dxa"/>
            </w:tcMar>
            <w:vAlign w:val="center"/>
            <w:shd w:val="clear" w:fill="F5F1EC"/>
          </w:tcPr>
          <w:p>
            <w:pPr>
              <w:spacing w:after="0" w:line="250" w:lineRule="auto"/>
              <w:jc w:val="left"/>
            </w:pPr>
            <w:r>
              <w:rPr>
                <w:rFonts w:ascii="Calibri" w:hAnsi="Calibri"/>
                <w:b w:val="0"/>
                <w:color w:val="2B2B2B"/>
                <w:sz w:val="18"/>
              </w:rPr>
              <w:t>None (newsletter)</w:t>
            </w:r>
          </w:p>
        </w:tc>
        <w:tc>
          <w:tcPr>
            <w:tcW w:w="4760" w:type="dxa"/>
            <w:tcMar>
              <w:top w:w="60" w:type="dxa"/>
              <w:left w:w="90" w:type="dxa"/>
              <w:bottom w:w="60" w:type="dxa"/>
              <w:right w:w="90" w:type="dxa"/>
            </w:tcMar>
            <w:vAlign w:val="center"/>
            <w:shd w:val="clear" w:fill="F5F1EC"/>
          </w:tcPr>
          <w:p>
            <w:pPr>
              <w:spacing w:after="0" w:line="250" w:lineRule="auto"/>
              <w:jc w:val="left"/>
            </w:pPr>
            <w:r>
              <w:rPr>
                <w:rFonts w:ascii="Calibri" w:hAnsi="Calibri"/>
                <w:b/>
                <w:color w:val="B45F3B"/>
                <w:sz w:val="18"/>
              </w:rPr>
              <w:t xml:space="preserve">No programme — </w:t>
            </w:r>
            <w:r>
              <w:rPr>
                <w:rFonts w:ascii="Calibri" w:hAnsi="Calibri"/>
                <w:color w:val="2B2B2B"/>
                <w:sz w:val="18"/>
              </w:rPr>
              <w:t>15% welcome + early access via newsletter. Relies on product and email, no structured retention. DO: a real programme is a differentiator none of these premium peers have built.</w:t>
            </w:r>
          </w:p>
        </w:tc>
      </w:tr>
      <w:tr>
        <w:tc>
          <w:tcPr>
            <w:tcW w:w="1900" w:type="dxa"/>
            <w:tcMar>
              <w:top w:w="60" w:type="dxa"/>
              <w:left w:w="90" w:type="dxa"/>
              <w:bottom w:w="60" w:type="dxa"/>
              <w:right w:w="90" w:type="dxa"/>
            </w:tcMar>
            <w:vAlign w:val="center"/>
          </w:tcPr>
          <w:p>
            <w:pPr>
              <w:spacing w:after="0" w:line="250" w:lineRule="auto"/>
              <w:jc w:val="left"/>
            </w:pPr>
            <w:r>
              <w:rPr>
                <w:rFonts w:ascii="Calibri" w:hAnsi="Calibri"/>
                <w:b/>
                <w:color w:val="2B2B2B"/>
                <w:sz w:val="18"/>
              </w:rPr>
              <w:t>Bellroy</w:t>
            </w:r>
          </w:p>
        </w:tc>
        <w:tc>
          <w:tcPr>
            <w:tcW w:w="130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Global / premium</w:t>
            </w:r>
          </w:p>
        </w:tc>
        <w:tc>
          <w:tcPr>
            <w:tcW w:w="1400" w:type="dxa"/>
            <w:tcMar>
              <w:top w:w="60" w:type="dxa"/>
              <w:left w:w="90" w:type="dxa"/>
              <w:bottom w:w="60" w:type="dxa"/>
              <w:right w:w="90" w:type="dxa"/>
            </w:tcMar>
            <w:vAlign w:val="center"/>
          </w:tcPr>
          <w:p>
            <w:pPr>
              <w:spacing w:after="0" w:line="250" w:lineRule="auto"/>
              <w:jc w:val="left"/>
            </w:pPr>
            <w:r>
              <w:rPr>
                <w:rFonts w:ascii="Calibri" w:hAnsi="Calibri"/>
                <w:b w:val="0"/>
                <w:color w:val="2B2B2B"/>
                <w:sz w:val="18"/>
              </w:rPr>
              <w:t>None (newsletter)</w:t>
            </w:r>
          </w:p>
        </w:tc>
        <w:tc>
          <w:tcPr>
            <w:tcW w:w="4760" w:type="dxa"/>
            <w:tcMar>
              <w:top w:w="60" w:type="dxa"/>
              <w:left w:w="90" w:type="dxa"/>
              <w:bottom w:w="60" w:type="dxa"/>
              <w:right w:w="90" w:type="dxa"/>
            </w:tcMar>
            <w:vAlign w:val="center"/>
          </w:tcPr>
          <w:p>
            <w:pPr>
              <w:spacing w:after="0" w:line="250" w:lineRule="auto"/>
              <w:jc w:val="left"/>
            </w:pPr>
            <w:r>
              <w:rPr>
                <w:rFonts w:ascii="Calibri" w:hAnsi="Calibri"/>
                <w:b/>
                <w:color w:val="B45F3B"/>
                <w:sz w:val="18"/>
              </w:rPr>
              <w:t xml:space="preserve">No programme — </w:t>
            </w:r>
            <w:r>
              <w:rPr>
                <w:rFonts w:ascii="Calibri" w:hAnsi="Calibri"/>
                <w:color w:val="2B2B2B"/>
                <w:sz w:val="18"/>
              </w:rPr>
              <w:t>bundle discounts + newsletter VIP; retention rests on product quality and email. DO: the same whitespace — build the structured, non-discount programme they haven’t.</w:t>
            </w:r>
          </w:p>
        </w:tc>
      </w:tr>
    </w:tbl>
    <w:p>
      <w:r>
        <w:br w:type="page"/>
      </w:r>
    </w:p>
    <w:p>
      <w:bookmarkStart w:id="0" w:name="_GoBack"/>
      <w:bookmarkEnd w:id="0"/>
    </w:p>
    <w:p/>
    <w:p>
      <w:pPr>
        <w:pStyle w:val="2"/>
        <w:pBdr>
          <w:bottom w:val="single" w:color="B45F3B" w:sz="12" w:space="6"/>
        </w:pBdr>
        <w:spacing w:before="360" w:after="140"/>
      </w:pPr>
      <w:r>
        <w:rPr>
          <w:rFonts w:ascii="Calibri" w:hAnsi="Calibri" w:eastAsia="Calibri" w:cs="Calibri"/>
          <w:b/>
          <w:bCs/>
          <w:color w:val="1A1D2B"/>
          <w:sz w:val="34"/>
          <w:szCs w:val="34"/>
        </w:rPr>
        <w:t>8. Omnichannel Loyalty</w:t>
      </w:r>
    </w:p>
    <w:p>
      <w:pPr>
        <w:spacing w:after="120" w:line="276" w:lineRule="auto"/>
        <w:jc w:val="both"/>
      </w:pPr>
      <w:r>
        <w:rPr>
          <w:rFonts w:ascii="Calibri" w:hAnsi="Calibri" w:eastAsia="Calibri" w:cs="Calibri"/>
          <w:color w:val="2B2B2B"/>
          <w:sz w:val="21"/>
          <w:szCs w:val="21"/>
        </w:rPr>
        <w:t xml:space="preserve">A programme is not omnichannel merely because it has a website and an app. Genuine omnichannel loyalty means the customer is </w:t>
      </w:r>
      <w:r>
        <w:rPr>
          <w:rFonts w:ascii="Calibri" w:hAnsi="Calibri" w:eastAsia="Calibri" w:cs="Calibri"/>
          <w:b/>
          <w:bCs/>
          <w:color w:val="2B2B2B"/>
          <w:sz w:val="21"/>
          <w:szCs w:val="21"/>
        </w:rPr>
        <w:t>the same recognised person, with the same balance and status, in real time, everywhere</w:t>
      </w:r>
      <w:r>
        <w:rPr>
          <w:rFonts w:ascii="Calibri" w:hAnsi="Calibri" w:eastAsia="Calibri" w:cs="Calibri"/>
          <w:color w:val="2B2B2B"/>
          <w:sz w:val="21"/>
          <w:szCs w:val="21"/>
        </w:rPr>
        <w:t xml:space="preserve"> — app, web, store POS, marketplace and service. Most “omnichannel” programmes are really multichannel: they exist in several places but don’t share a brain.</w:t>
      </w:r>
    </w:p>
    <w:p>
      <w:pPr>
        <w:pStyle w:val="3"/>
        <w:spacing w:before="240" w:after="90"/>
      </w:pPr>
      <w:r>
        <w:rPr>
          <w:rFonts w:ascii="Calibri" w:hAnsi="Calibri" w:eastAsia="Calibri" w:cs="Calibri"/>
          <w:b/>
          <w:bCs/>
          <w:color w:val="B45F3B"/>
          <w:sz w:val="26"/>
          <w:szCs w:val="26"/>
        </w:rPr>
        <w:t>8.1  Exemplars</w:t>
      </w:r>
    </w:p>
    <w:p>
      <w:pPr>
        <w:pStyle w:val="16"/>
        <w:numPr>
          <w:ilvl w:val="0"/>
          <w:numId w:val="1"/>
        </w:numPr>
        <w:spacing w:after="60" w:line="268" w:lineRule="auto"/>
      </w:pPr>
      <w:r>
        <w:rPr>
          <w:rFonts w:ascii="Calibri" w:hAnsi="Calibri" w:eastAsia="Calibri" w:cs="Calibri"/>
          <w:b/>
          <w:bCs/>
          <w:color w:val="2B2B2B"/>
          <w:sz w:val="21"/>
          <w:szCs w:val="21"/>
        </w:rPr>
        <w:t xml:space="preserve">Sephora </w:t>
      </w:r>
      <w:r>
        <w:rPr>
          <w:rFonts w:ascii="Calibri" w:hAnsi="Calibri" w:eastAsia="Calibri" w:cs="Calibri"/>
          <w:color w:val="2B2B2B"/>
          <w:sz w:val="21"/>
          <w:szCs w:val="21"/>
        </w:rPr>
        <w:t>— ~74M active members, ~80% of transactions to one ID; in-store diagnostics enrich the digital profile; AR shade-match correlates with ~30% fewer returns.</w:t>
      </w:r>
    </w:p>
    <w:p>
      <w:pPr>
        <w:pStyle w:val="16"/>
        <w:numPr>
          <w:ilvl w:val="0"/>
          <w:numId w:val="1"/>
        </w:numPr>
        <w:spacing w:after="60" w:line="268" w:lineRule="auto"/>
      </w:pPr>
      <w:r>
        <w:rPr>
          <w:rFonts w:ascii="Calibri" w:hAnsi="Calibri" w:eastAsia="Calibri" w:cs="Calibri"/>
          <w:b/>
          <w:bCs/>
          <w:color w:val="2B2B2B"/>
          <w:sz w:val="21"/>
          <w:szCs w:val="21"/>
        </w:rPr>
        <w:t xml:space="preserve">Nike </w:t>
      </w:r>
      <w:r>
        <w:rPr>
          <w:rFonts w:ascii="Calibri" w:hAnsi="Calibri" w:eastAsia="Calibri" w:cs="Calibri"/>
          <w:color w:val="2B2B2B"/>
          <w:sz w:val="21"/>
          <w:szCs w:val="21"/>
        </w:rPr>
        <w:t>— one account across stores, .com, SNKRS, NRC/NTC; behaviour (workouts), not just purchases, earns recognition.</w:t>
      </w:r>
    </w:p>
    <w:p>
      <w:pPr>
        <w:pStyle w:val="16"/>
        <w:numPr>
          <w:ilvl w:val="0"/>
          <w:numId w:val="1"/>
        </w:numPr>
        <w:spacing w:after="60" w:line="268" w:lineRule="auto"/>
      </w:pPr>
      <w:r>
        <w:rPr>
          <w:rFonts w:ascii="Calibri" w:hAnsi="Calibri" w:eastAsia="Calibri" w:cs="Calibri"/>
          <w:b/>
          <w:bCs/>
          <w:color w:val="2B2B2B"/>
          <w:sz w:val="21"/>
          <w:szCs w:val="21"/>
        </w:rPr>
        <w:t xml:space="preserve">Starbucks </w:t>
      </w:r>
      <w:r>
        <w:rPr>
          <w:rFonts w:ascii="Calibri" w:hAnsi="Calibri" w:eastAsia="Calibri" w:cs="Calibri"/>
          <w:color w:val="2B2B2B"/>
          <w:sz w:val="21"/>
          <w:szCs w:val="21"/>
        </w:rPr>
        <w:t>— fuses ordering + payment + loyalty in one app; the unified wallet becomes a financial asset (float + breakage).</w:t>
      </w:r>
    </w:p>
    <w:p>
      <w:pPr>
        <w:pStyle w:val="16"/>
        <w:numPr>
          <w:ilvl w:val="0"/>
          <w:numId w:val="1"/>
        </w:numPr>
        <w:spacing w:after="60" w:line="268" w:lineRule="auto"/>
      </w:pPr>
      <w:r>
        <w:rPr>
          <w:rFonts w:ascii="Calibri" w:hAnsi="Calibri" w:eastAsia="Calibri" w:cs="Calibri"/>
          <w:b/>
          <w:bCs/>
          <w:color w:val="2B2B2B"/>
          <w:sz w:val="21"/>
          <w:szCs w:val="21"/>
        </w:rPr>
        <w:t xml:space="preserve">Decathlon </w:t>
      </w:r>
      <w:r>
        <w:rPr>
          <w:rFonts w:ascii="Calibri" w:hAnsi="Calibri" w:eastAsia="Calibri" w:cs="Calibri"/>
          <w:color w:val="2B2B2B"/>
          <w:sz w:val="21"/>
          <w:szCs w:val="21"/>
        </w:rPr>
        <w:t>— purchases across online/mobile/store link to one account (identified members ≈52% of revenue); rewards even for circular behaviour (repairs, resale).</w:t>
      </w:r>
    </w:p>
    <w:p>
      <w:pPr>
        <w:pStyle w:val="16"/>
        <w:numPr>
          <w:ilvl w:val="0"/>
          <w:numId w:val="1"/>
        </w:numPr>
        <w:spacing w:after="60" w:line="268" w:lineRule="auto"/>
      </w:pPr>
      <w:r>
        <w:rPr>
          <w:rFonts w:ascii="Calibri" w:hAnsi="Calibri" w:eastAsia="Calibri" w:cs="Calibri"/>
          <w:b/>
          <w:bCs/>
          <w:color w:val="2B2B2B"/>
          <w:sz w:val="21"/>
          <w:szCs w:val="21"/>
        </w:rPr>
        <w:t xml:space="preserve">Tata Neu (cautionary) </w:t>
      </w:r>
      <w:r>
        <w:rPr>
          <w:rFonts w:ascii="Calibri" w:hAnsi="Calibri" w:eastAsia="Calibri" w:cs="Calibri"/>
          <w:color w:val="2B2B2B"/>
          <w:sz w:val="21"/>
          <w:szCs w:val="21"/>
        </w:rPr>
        <w:t>— a cross-brand currency undermined by legacy-integration pain and weak cross-vertical usage: a shared currency is necessary but not sufficient without working identity/ledger integration and a compelling reason-to-use.</w:t>
      </w:r>
    </w:p>
    <w:p>
      <w:pPr>
        <w:pStyle w:val="3"/>
        <w:spacing w:before="240" w:after="90"/>
      </w:pPr>
      <w:r>
        <w:rPr>
          <w:rFonts w:ascii="Calibri" w:hAnsi="Calibri" w:eastAsia="Calibri" w:cs="Calibri"/>
          <w:b/>
          <w:bCs/>
          <w:color w:val="B45F3B"/>
          <w:sz w:val="26"/>
          <w:szCs w:val="26"/>
        </w:rPr>
        <w:t>8.2  Minimum capability stack (dependency order)</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560"/>
        <w:gridCol w:w="2900"/>
        <w:gridCol w:w="5900"/>
      </w:tblGrid>
      <w:tr>
        <w:trPr>
          <w:tblHeader/>
        </w:trPr>
        <w:tc>
          <w:tcPr>
            <w:tcW w:w="56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w:t>
            </w:r>
          </w:p>
        </w:tc>
        <w:tc>
          <w:tcPr>
            <w:tcW w:w="29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Capability</w:t>
            </w:r>
          </w:p>
        </w:tc>
        <w:tc>
          <w:tcPr>
            <w:tcW w:w="59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Why</w:t>
            </w:r>
          </w:p>
        </w:tc>
      </w:tr>
      <w:tr>
        <w:tc>
          <w:tcPr>
            <w:tcW w:w="5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1</w:t>
            </w:r>
          </w:p>
        </w:tc>
        <w:tc>
          <w:tcPr>
            <w:tcW w:w="2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Unified Customer ID</w:t>
            </w:r>
          </w:p>
        </w:tc>
        <w:tc>
          <w:tcPr>
            <w:tcW w:w="5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One persistent profile per person across every channel — the foundation (Sephora’s ~80% benchmark).</w:t>
            </w:r>
          </w:p>
        </w:tc>
      </w:tr>
      <w:tr>
        <w:tc>
          <w:tcPr>
            <w:tcW w:w="5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2</w:t>
            </w:r>
          </w:p>
        </w:tc>
        <w:tc>
          <w:tcPr>
            <w:tcW w:w="2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Identity resolution (phone-OTP + email + loyalty ID)</w:t>
            </w:r>
          </w:p>
        </w:tc>
        <w:tc>
          <w:tcPr>
            <w:tcW w:w="5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Stitch anonymous web/app sessions to the known in-store customer; deterministic &gt; probabilistic. In India, phone number is the key.</w:t>
            </w:r>
          </w:p>
        </w:tc>
      </w:tr>
      <w:tr>
        <w:tc>
          <w:tcPr>
            <w:tcW w:w="5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3</w:t>
            </w:r>
          </w:p>
        </w:tc>
        <w:tc>
          <w:tcPr>
            <w:tcW w:w="2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CDP</w:t>
            </w:r>
          </w:p>
        </w:tc>
        <w:tc>
          <w:tcPr>
            <w:tcW w:w="5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Ingest CRM, POS, e-comm, app, marketplace, web into one real-time profile.</w:t>
            </w:r>
          </w:p>
        </w:tc>
      </w:tr>
      <w:tr>
        <w:tc>
          <w:tcPr>
            <w:tcW w:w="5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4</w:t>
            </w:r>
          </w:p>
        </w:tc>
        <w:tc>
          <w:tcPr>
            <w:tcW w:w="2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Single wallet / unified points+value ledger</w:t>
            </w:r>
          </w:p>
        </w:tc>
        <w:tc>
          <w:tcPr>
            <w:tcW w:w="5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One balance that debits/credits identically everywhere — avoids “why is my balance different in store?”</w:t>
            </w:r>
          </w:p>
        </w:tc>
      </w:tr>
      <w:tr>
        <w:tc>
          <w:tcPr>
            <w:tcW w:w="5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5</w:t>
            </w:r>
          </w:p>
        </w:tc>
        <w:tc>
          <w:tcPr>
            <w:tcW w:w="2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POS integration (real-time, bidirectional)</w:t>
            </w:r>
          </w:p>
        </w:tc>
        <w:tc>
          <w:tcPr>
            <w:tcW w:w="5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Identify member, earn/burn against the same ledger, enrich the profile at the moment of sale.</w:t>
            </w:r>
          </w:p>
        </w:tc>
      </w:tr>
      <w:tr>
        <w:tc>
          <w:tcPr>
            <w:tcW w:w="5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6</w:t>
            </w:r>
          </w:p>
        </w:tc>
        <w:tc>
          <w:tcPr>
            <w:tcW w:w="2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Cross-channel earn AND redeem</w:t>
            </w:r>
          </w:p>
        </w:tc>
        <w:tc>
          <w:tcPr>
            <w:tcW w:w="5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Never “sorry, that reward only works online.”</w:t>
            </w:r>
          </w:p>
        </w:tc>
      </w:tr>
      <w:tr>
        <w:tc>
          <w:tcPr>
            <w:tcW w:w="5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7</w:t>
            </w:r>
          </w:p>
        </w:tc>
        <w:tc>
          <w:tcPr>
            <w:tcW w:w="2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Real-time processing &amp; consistency</w:t>
            </w:r>
          </w:p>
        </w:tc>
        <w:tc>
          <w:tcPr>
            <w:tcW w:w="5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Balance/tier/offers within seconds; server-validated redemption (anti-fraud).</w:t>
            </w:r>
          </w:p>
        </w:tc>
      </w:tr>
      <w:tr>
        <w:tc>
          <w:tcPr>
            <w:tcW w:w="5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8</w:t>
            </w:r>
          </w:p>
        </w:tc>
        <w:tc>
          <w:tcPr>
            <w:tcW w:w="2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Personalisation / orchestration</w:t>
            </w:r>
          </w:p>
        </w:tc>
        <w:tc>
          <w:tcPr>
            <w:tcW w:w="59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Offers, tier triggers and lifecycle across email/SMS/push/WhatsApp/store-associate tools.</w:t>
            </w:r>
          </w:p>
        </w:tc>
      </w:tr>
      <w:tr>
        <w:tc>
          <w:tcPr>
            <w:tcW w:w="5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9</w:t>
            </w:r>
          </w:p>
        </w:tc>
        <w:tc>
          <w:tcPr>
            <w:tcW w:w="2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Operational plumbing</w:t>
            </w:r>
          </w:p>
        </w:tc>
        <w:tc>
          <w:tcPr>
            <w:tcW w:w="59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Click-&amp;-collect, ship-from-store, endless aisle, unified inventory that recognition rides on.</w:t>
            </w:r>
          </w:p>
        </w:tc>
      </w:tr>
    </w:tbl>
    <w:p>
      <w:pPr>
        <w:spacing w:after="60"/>
      </w:pPr>
    </w:p>
    <w:tbl>
      <w:tblPr>
        <w:tblStyle w:val="15"/>
        <w:tblW w:w="9360" w:type="dxa"/>
        <w:tblInd w:w="0" w:type="dxa"/>
        <w:tblBorders>
          <w:top w:val="none" w:color="auto" w:sz="0" w:space="0"/>
          <w:left w:val="single" w:color="B45F3B" w:sz="24"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60"/>
      </w:tblGrid>
      <w:tr>
        <w:tc>
          <w:tcPr>
            <w:tcW w:w="9360" w:type="dxa"/>
            <w:shd w:val="clear" w:color="auto" w:fill="EAF0EF"/>
            <w:tcMar>
              <w:top w:w="120" w:type="dxa"/>
              <w:left w:w="180" w:type="dxa"/>
              <w:bottom w:w="120" w:type="dxa"/>
              <w:right w:w="160" w:type="dxa"/>
            </w:tcMar>
          </w:tcPr>
          <w:p>
            <w:pPr>
              <w:spacing w:after="40"/>
            </w:pPr>
            <w:r>
              <w:rPr>
                <w:rFonts w:ascii="Calibri" w:hAnsi="Calibri" w:eastAsia="Calibri" w:cs="Calibri"/>
                <w:b/>
                <w:bCs/>
                <w:color w:val="B45F3B"/>
                <w:sz w:val="20"/>
                <w:szCs w:val="20"/>
              </w:rPr>
              <w:t>DailyObjects’ omnichannel moat</w:t>
            </w:r>
          </w:p>
          <w:p>
            <w:pPr>
              <w:spacing w:after="40" w:line="264" w:lineRule="auto"/>
            </w:pPr>
            <w:r>
              <w:rPr>
                <w:rFonts w:ascii="Calibri" w:hAnsi="Calibri" w:eastAsia="Calibri" w:cs="Calibri"/>
                <w:color w:val="2B2B2B"/>
                <w:sz w:val="20"/>
                <w:szCs w:val="20"/>
              </w:rPr>
              <w:t>Because DailyObjects is building 150 stores plus airport and Apple-partner presence while most D2C loyalty stays web-only, phone-number identity that is recognised and transactable in every store is a durable moat — the single most important build. Get it right and the programme becomes the CRM backbone of the whole company.</w:t>
            </w:r>
          </w:p>
        </w:tc>
      </w:tr>
    </w:tbl>
    <w:p>
      <w:r>
        <w:br w:type="page"/>
      </w:r>
    </w:p>
    <w:p>
      <w:pPr>
        <w:pStyle w:val="2"/>
        <w:pBdr>
          <w:bottom w:val="single" w:color="B45F3B" w:sz="12" w:space="6"/>
        </w:pBdr>
        <w:spacing w:before="360" w:after="140"/>
      </w:pPr>
      <w:r>
        <w:rPr>
          <w:rFonts w:ascii="Calibri" w:hAnsi="Calibri" w:eastAsia="Calibri" w:cs="Calibri"/>
          <w:b/>
          <w:bCs/>
          <w:color w:val="1A1D2B"/>
          <w:sz w:val="34"/>
          <w:szCs w:val="34"/>
        </w:rPr>
        <w:t>9. Failure &amp; Underperformance Case Studies</w:t>
      </w:r>
    </w:p>
    <w:p>
      <w:pPr>
        <w:spacing w:after="120" w:line="276" w:lineRule="auto"/>
        <w:jc w:val="both"/>
      </w:pPr>
      <w:r>
        <w:rPr>
          <w:rFonts w:ascii="Calibri" w:hAnsi="Calibri" w:eastAsia="Calibri" w:cs="Calibri"/>
          <w:color w:val="2B2B2B"/>
          <w:sz w:val="21"/>
          <w:szCs w:val="21"/>
        </w:rPr>
        <w:t xml:space="preserve">Eleven cautionary cases. The recurring pattern: the business optimises the </w:t>
      </w:r>
      <w:r>
        <w:rPr>
          <w:rFonts w:ascii="Calibri" w:hAnsi="Calibri" w:eastAsia="Calibri" w:cs="Calibri"/>
          <w:b/>
          <w:bCs/>
          <w:color w:val="2B2B2B"/>
          <w:sz w:val="21"/>
          <w:szCs w:val="21"/>
        </w:rPr>
        <w:t>liability</w:t>
      </w:r>
      <w:r>
        <w:rPr>
          <w:rFonts w:ascii="Calibri" w:hAnsi="Calibri" w:eastAsia="Calibri" w:cs="Calibri"/>
          <w:color w:val="2B2B2B"/>
          <w:sz w:val="21"/>
          <w:szCs w:val="21"/>
        </w:rPr>
        <w:t xml:space="preserve"> (cutting cost, chasing spend, harvesting breakage) at the expense of the </w:t>
      </w:r>
      <w:r>
        <w:rPr>
          <w:rFonts w:ascii="Calibri" w:hAnsi="Calibri" w:eastAsia="Calibri" w:cs="Calibri"/>
          <w:b/>
          <w:bCs/>
          <w:color w:val="2B2B2B"/>
          <w:sz w:val="21"/>
          <w:szCs w:val="21"/>
        </w:rPr>
        <w:t>promise</w:t>
      </w:r>
      <w:r>
        <w:rPr>
          <w:rFonts w:ascii="Calibri" w:hAnsi="Calibri" w:eastAsia="Calibri" w:cs="Calibri"/>
          <w:color w:val="2B2B2B"/>
          <w:sz w:val="21"/>
          <w:szCs w:val="21"/>
        </w:rPr>
        <w:t xml:space="preserve"> — and makes changes abruptly, without notice or a value story.</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100"/>
        <w:gridCol w:w="3300"/>
        <w:gridCol w:w="3960"/>
      </w:tblGrid>
      <w:tr>
        <w:trPr>
          <w:tblHeader/>
        </w:trPr>
        <w:tc>
          <w:tcPr>
            <w:tcW w:w="21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Case</w:t>
            </w:r>
          </w:p>
        </w:tc>
        <w:tc>
          <w:tcPr>
            <w:tcW w:w="33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What happened / why it failed</w:t>
            </w:r>
          </w:p>
        </w:tc>
        <w:tc>
          <w:tcPr>
            <w:tcW w:w="396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Lesson for DailyObjects</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Delta SkyMiles 2023</w:t>
            </w:r>
          </w:p>
        </w:tc>
        <w:tc>
          <w:tcPr>
            <w:tcW w:w="3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Shifted status to $-spent, doubled thresholds, gated lounges; severed flying↔status. CEO: “went too far”; rolled back in a month.</w:t>
            </w:r>
          </w:p>
        </w:tc>
        <w:tc>
          <w:tcPr>
            <w:tcW w:w="3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Never make status feel bought vs earned; pre-announce and pilot; keep an emotional earning path.</w:t>
            </w:r>
          </w:p>
        </w:tc>
      </w:tr>
      <w:tr>
        <w:tc>
          <w:tcPr>
            <w:tcW w:w="21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Starbucks 2016</w:t>
            </w:r>
          </w:p>
        </w:tc>
        <w:tc>
          <w:tcPr>
            <w:tcW w:w="33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Visits→spend earning penalised frequent low-spend buyers (~21 visits vs 12).</w:t>
            </w:r>
          </w:p>
        </w:tc>
        <w:tc>
          <w:tcPr>
            <w:tcW w:w="3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Spend-based earning quietly punishes your most frequent customers; keep the first reward reachable in 1–2 orders.</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Plenti (Amex) 2015–18</w:t>
            </w:r>
          </w:p>
        </w:tc>
        <w:tc>
          <w:tcPr>
            <w:tcW w:w="3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US multi-brand coalition collapsed: low awareness, partner agendas, confusing UX, no cross-shopping logic.</w:t>
            </w:r>
          </w:p>
        </w:tc>
        <w:tc>
          <w:tcPr>
            <w:tcW w:w="3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Coalitions need a shared customer + immediate value; keep the first-party programme simple and owned.</w:t>
            </w:r>
          </w:p>
        </w:tc>
      </w:tr>
      <w:tr>
        <w:tc>
          <w:tcPr>
            <w:tcW w:w="21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AIR MILES Canada 2016</w:t>
            </w:r>
          </w:p>
        </w:tc>
        <w:tc>
          <w:tcPr>
            <w:tcW w:w="33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Quiet 5-yr expiry to harvest breakage → class action + legislation; cancelled a month before.</w:t>
            </w:r>
          </w:p>
        </w:tc>
        <w:tc>
          <w:tcPr>
            <w:tcW w:w="3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Engineered expiry/breakage is a trust bomb and legal risk; make expiry generous, activity-based, reminded.</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Marriott + SPG 2018</w:t>
            </w:r>
          </w:p>
        </w:tc>
        <w:tc>
          <w:tcPr>
            <w:tcW w:w="3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Merger devalued prized transfers ~33% + IT meltdown + data breach.</w:t>
            </w:r>
          </w:p>
        </w:tc>
        <w:tc>
          <w:tcPr>
            <w:tcW w:w="3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Migrations fail on perceived devaluation AND execution; over-invest in data migration/QA; communicate parity.</w:t>
            </w:r>
          </w:p>
        </w:tc>
      </w:tr>
      <w:tr>
        <w:tc>
          <w:tcPr>
            <w:tcW w:w="21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Subway Sub Club →2005</w:t>
            </w:r>
          </w:p>
        </w:tc>
        <w:tc>
          <w:tcPr>
            <w:tcW w:w="33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Paper stamp cards destroyed by counterfeit fraud (printers + eBay).</w:t>
            </w:r>
          </w:p>
        </w:tc>
        <w:tc>
          <w:tcPr>
            <w:tcW w:w="3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Any manual/physical token is a fraud liability; use account-bound, server-validated digital currency.</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Best Buy Reward Zone →2023</w:t>
            </w:r>
          </w:p>
        </w:tc>
        <w:tc>
          <w:tcPr>
            <w:tcW w:w="3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Salami-slice devaluations; free earn ended, points only for card-holders.</w:t>
            </w:r>
          </w:p>
        </w:tc>
        <w:tc>
          <w:tcPr>
            <w:tcW w:w="3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Cumulative devaluations erode trust; keep a free, universally-earnable base tier; don’t gate behind a card.</w:t>
            </w:r>
          </w:p>
        </w:tc>
      </w:tr>
      <w:tr>
        <w:tc>
          <w:tcPr>
            <w:tcW w:w="21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Tesco Clubcard 2018</w:t>
            </w:r>
          </w:p>
        </w:tc>
        <w:tc>
          <w:tcPr>
            <w:tcW w:w="33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Cut partner boost 4x→3x with no notice; public backlash; forced to delay.</w:t>
            </w:r>
          </w:p>
        </w:tc>
        <w:tc>
          <w:tcPr>
            <w:tcW w:w="3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Even defensible economics become a crisis without a notice/redemption runway.</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Walgreens 2020</w:t>
            </w:r>
          </w:p>
        </w:tc>
        <w:tc>
          <w:tcPr>
            <w:tcW w:w="3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Forced re-opt-in by deadline or lose balance; “Cash” had no fixed value.</w:t>
            </w:r>
          </w:p>
        </w:tc>
        <w:tc>
          <w:tcPr>
            <w:tcW w:w="3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Re-enrolment walls shed passive-but-valuable members; auto-migrate balances; keep currency clearly valued.</w:t>
            </w:r>
          </w:p>
        </w:tc>
      </w:tr>
      <w:tr>
        <w:tc>
          <w:tcPr>
            <w:tcW w:w="21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JCPenney 2012</w:t>
            </w:r>
          </w:p>
        </w:tc>
        <w:tc>
          <w:tcPr>
            <w:tcW w:w="33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Killed coupons/markdowns cold-turkey; SSS −31.7%; CEO fired.</w:t>
            </w:r>
          </w:p>
        </w:tc>
        <w:tc>
          <w:tcPr>
            <w:tcW w:w="39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Customers want perceived savings; don’t train discount addiction, but don’t detox a conditioned base cold-turkey.</w:t>
            </w:r>
          </w:p>
        </w:tc>
      </w:tr>
      <w:tr>
        <w:tc>
          <w:tcPr>
            <w:tcW w:w="21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Shoppers Optimum</w:t>
            </w:r>
          </w:p>
        </w:tc>
        <w:tc>
          <w:tcPr>
            <w:tcW w:w="33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Devalued the high-value redemption events heavy collectors organised spend around.</w:t>
            </w:r>
          </w:p>
        </w:tc>
        <w:tc>
          <w:tcPr>
            <w:tcW w:w="39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Best customers build habits around specific redemption mechanics; degrading them is felt acutely.</w:t>
            </w:r>
          </w:p>
        </w:tc>
      </w:tr>
    </w:tbl>
    <w:p>
      <w:pPr>
        <w:spacing w:after="60"/>
      </w:pPr>
    </w:p>
    <w:p>
      <w:pPr>
        <w:pStyle w:val="4"/>
        <w:spacing w:before="160" w:after="60"/>
      </w:pPr>
      <w:r>
        <w:rPr>
          <w:rFonts w:ascii="Calibri" w:hAnsi="Calibri" w:eastAsia="Calibri" w:cs="Calibri"/>
          <w:b/>
          <w:bCs/>
          <w:color w:val="2C6E6B"/>
          <w:sz w:val="22"/>
          <w:szCs w:val="22"/>
        </w:rPr>
        <w:t>Failure taxonomy → DailyObjects guardrails</w:t>
      </w:r>
    </w:p>
    <w:p>
      <w:pPr>
        <w:pStyle w:val="16"/>
        <w:numPr>
          <w:ilvl w:val="0"/>
          <w:numId w:val="1"/>
        </w:numPr>
        <w:spacing w:after="60" w:line="268" w:lineRule="auto"/>
      </w:pPr>
      <w:r>
        <w:rPr>
          <w:rFonts w:ascii="Calibri" w:hAnsi="Calibri" w:eastAsia="Calibri" w:cs="Calibri"/>
          <w:b/>
          <w:bCs/>
          <w:color w:val="2B2B2B"/>
          <w:sz w:val="21"/>
          <w:szCs w:val="21"/>
        </w:rPr>
        <w:t xml:space="preserve">Abrupt devaluation → </w:t>
      </w:r>
      <w:r>
        <w:rPr>
          <w:rFonts w:ascii="Calibri" w:hAnsi="Calibri" w:eastAsia="Calibri" w:cs="Calibri"/>
          <w:color w:val="2B2B2B"/>
          <w:sz w:val="21"/>
          <w:szCs w:val="21"/>
        </w:rPr>
        <w:t>always give a redemption runway and pre-announce.</w:t>
      </w:r>
    </w:p>
    <w:p>
      <w:pPr>
        <w:pStyle w:val="16"/>
        <w:numPr>
          <w:ilvl w:val="0"/>
          <w:numId w:val="1"/>
        </w:numPr>
        <w:spacing w:after="60" w:line="268" w:lineRule="auto"/>
      </w:pPr>
      <w:r>
        <w:rPr>
          <w:rFonts w:ascii="Calibri" w:hAnsi="Calibri" w:eastAsia="Calibri" w:cs="Calibri"/>
          <w:b/>
          <w:bCs/>
          <w:color w:val="2B2B2B"/>
          <w:sz w:val="21"/>
          <w:szCs w:val="21"/>
        </w:rPr>
        <w:t xml:space="preserve">Hurting best/frequent customers → </w:t>
      </w:r>
      <w:r>
        <w:rPr>
          <w:rFonts w:ascii="Calibri" w:hAnsi="Calibri" w:eastAsia="Calibri" w:cs="Calibri"/>
          <w:color w:val="2B2B2B"/>
          <w:sz w:val="21"/>
          <w:szCs w:val="21"/>
        </w:rPr>
        <w:t>model every change by cohort first.</w:t>
      </w:r>
    </w:p>
    <w:p>
      <w:pPr>
        <w:pStyle w:val="16"/>
        <w:numPr>
          <w:ilvl w:val="0"/>
          <w:numId w:val="1"/>
        </w:numPr>
        <w:spacing w:after="60" w:line="268" w:lineRule="auto"/>
      </w:pPr>
      <w:r>
        <w:rPr>
          <w:rFonts w:ascii="Calibri" w:hAnsi="Calibri" w:eastAsia="Calibri" w:cs="Calibri"/>
          <w:b/>
          <w:bCs/>
          <w:color w:val="2B2B2B"/>
          <w:sz w:val="21"/>
          <w:szCs w:val="21"/>
        </w:rPr>
        <w:t xml:space="preserve">Engineered breakage/expiry → </w:t>
      </w:r>
      <w:r>
        <w:rPr>
          <w:rFonts w:ascii="Calibri" w:hAnsi="Calibri" w:eastAsia="Calibri" w:cs="Calibri"/>
          <w:color w:val="2B2B2B"/>
          <w:sz w:val="21"/>
          <w:szCs w:val="21"/>
        </w:rPr>
        <w:t>activity-based expiry; auto-migrate balances.</w:t>
      </w:r>
    </w:p>
    <w:p>
      <w:pPr>
        <w:pStyle w:val="16"/>
        <w:numPr>
          <w:ilvl w:val="0"/>
          <w:numId w:val="1"/>
        </w:numPr>
        <w:spacing w:after="60" w:line="268" w:lineRule="auto"/>
      </w:pPr>
      <w:r>
        <w:rPr>
          <w:rFonts w:ascii="Calibri" w:hAnsi="Calibri" w:eastAsia="Calibri" w:cs="Calibri"/>
          <w:b/>
          <w:bCs/>
          <w:color w:val="2B2B2B"/>
          <w:sz w:val="21"/>
          <w:szCs w:val="21"/>
        </w:rPr>
        <w:t xml:space="preserve">Complexity → </w:t>
      </w:r>
      <w:r>
        <w:rPr>
          <w:rFonts w:ascii="Calibri" w:hAnsi="Calibri" w:eastAsia="Calibri" w:cs="Calibri"/>
          <w:color w:val="2B2B2B"/>
          <w:sz w:val="21"/>
          <w:szCs w:val="21"/>
        </w:rPr>
        <w:t>simplicity beats optionality; one clear currency.</w:t>
      </w:r>
    </w:p>
    <w:p>
      <w:pPr>
        <w:pStyle w:val="16"/>
        <w:numPr>
          <w:ilvl w:val="0"/>
          <w:numId w:val="1"/>
        </w:numPr>
        <w:spacing w:after="60" w:line="268" w:lineRule="auto"/>
      </w:pPr>
      <w:r>
        <w:rPr>
          <w:rFonts w:ascii="Calibri" w:hAnsi="Calibri" w:eastAsia="Calibri" w:cs="Calibri"/>
          <w:b/>
          <w:bCs/>
          <w:color w:val="2B2B2B"/>
          <w:sz w:val="21"/>
          <w:szCs w:val="21"/>
        </w:rPr>
        <w:t xml:space="preserve">Manual-token fraud → </w:t>
      </w:r>
      <w:r>
        <w:rPr>
          <w:rFonts w:ascii="Calibri" w:hAnsi="Calibri" w:eastAsia="Calibri" w:cs="Calibri"/>
          <w:color w:val="2B2B2B"/>
          <w:sz w:val="21"/>
          <w:szCs w:val="21"/>
        </w:rPr>
        <w:t>account-bound, server-validated digital only.</w:t>
      </w:r>
    </w:p>
    <w:p>
      <w:pPr>
        <w:pStyle w:val="16"/>
        <w:numPr>
          <w:ilvl w:val="0"/>
          <w:numId w:val="1"/>
        </w:numPr>
        <w:spacing w:after="60" w:line="268" w:lineRule="auto"/>
      </w:pPr>
      <w:r>
        <w:rPr>
          <w:rFonts w:ascii="Calibri" w:hAnsi="Calibri" w:eastAsia="Calibri" w:cs="Calibri"/>
          <w:b/>
          <w:bCs/>
          <w:color w:val="2B2B2B"/>
          <w:sz w:val="21"/>
          <w:szCs w:val="21"/>
        </w:rPr>
        <w:t xml:space="preserve">Migration failure → </w:t>
      </w:r>
      <w:r>
        <w:rPr>
          <w:rFonts w:ascii="Calibri" w:hAnsi="Calibri" w:eastAsia="Calibri" w:cs="Calibri"/>
          <w:color w:val="2B2B2B"/>
          <w:sz w:val="21"/>
          <w:szCs w:val="21"/>
        </w:rPr>
        <w:t>over-invest in data migration + QA.</w:t>
      </w:r>
    </w:p>
    <w:p>
      <w:pPr>
        <w:pStyle w:val="16"/>
        <w:numPr>
          <w:ilvl w:val="0"/>
          <w:numId w:val="1"/>
        </w:numPr>
        <w:spacing w:after="60" w:line="268" w:lineRule="auto"/>
      </w:pPr>
      <w:r>
        <w:rPr>
          <w:rFonts w:ascii="Calibri" w:hAnsi="Calibri" w:eastAsia="Calibri" w:cs="Calibri"/>
          <w:b/>
          <w:bCs/>
          <w:color w:val="2B2B2B"/>
          <w:sz w:val="21"/>
          <w:szCs w:val="21"/>
        </w:rPr>
        <w:t xml:space="preserve">Discount addiction → </w:t>
      </w:r>
      <w:r>
        <w:rPr>
          <w:rFonts w:ascii="Calibri" w:hAnsi="Calibri" w:eastAsia="Calibri" w:cs="Calibri"/>
          <w:color w:val="2B2B2B"/>
          <w:sz w:val="21"/>
          <w:szCs w:val="21"/>
        </w:rPr>
        <w:t>points/tiers/status, not blanket coupons.</w:t>
      </w:r>
    </w:p>
    <w:p>
      <w:r>
        <w:br w:type="page"/>
      </w:r>
    </w:p>
    <w:p>
      <w:pPr>
        <w:pStyle w:val="2"/>
        <w:pBdr>
          <w:bottom w:val="single" w:color="B45F3B" w:sz="12" w:space="6"/>
        </w:pBdr>
        <w:spacing w:before="360" w:after="140"/>
      </w:pPr>
      <w:r>
        <w:rPr>
          <w:rFonts w:ascii="Calibri" w:hAnsi="Calibri" w:eastAsia="Calibri" w:cs="Calibri"/>
          <w:b/>
          <w:bCs/>
          <w:color w:val="1A1D2B"/>
          <w:sz w:val="34"/>
          <w:szCs w:val="34"/>
        </w:rPr>
        <w:t>10. Consumer Psychology of Loyalty</w:t>
      </w:r>
    </w:p>
    <w:p>
      <w:pPr>
        <w:spacing w:after="120" w:line="276" w:lineRule="auto"/>
        <w:jc w:val="both"/>
      </w:pPr>
      <w:r>
        <w:rPr>
          <w:rFonts w:ascii="Calibri" w:hAnsi="Calibri" w:eastAsia="Calibri" w:cs="Calibri"/>
          <w:color w:val="2B2B2B"/>
          <w:sz w:val="21"/>
          <w:szCs w:val="21"/>
        </w:rPr>
        <w:t>Why people join, engage and abandon — the biases to design with (ethically) and never against.</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2500"/>
        <w:gridCol w:w="6860"/>
      </w:tblGrid>
      <w:tr>
        <w:trPr>
          <w:tblHeader/>
        </w:trPr>
        <w:tc>
          <w:tcPr>
            <w:tcW w:w="25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Principle (evidence)</w:t>
            </w:r>
          </w:p>
        </w:tc>
        <w:tc>
          <w:tcPr>
            <w:tcW w:w="686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Design implication for DailyObjects</w:t>
            </w:r>
          </w:p>
        </w:tc>
      </w:tr>
      <w:tr>
        <w:tc>
          <w:tcPr>
            <w:tcW w:w="25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Goal-gradient effect (Kivetz, Urminsky &amp; Zheng 2006)</w:t>
            </w:r>
          </w:p>
        </w:tc>
        <w:tc>
          <w:tcPr>
            <w:tcW w:w="68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Members buy faster nearer a reward. → Show visible progress (“2 orders to your reward”); momentum is strongest in the final stretch.</w:t>
            </w:r>
          </w:p>
        </w:tc>
      </w:tr>
      <w:tr>
        <w:tc>
          <w:tcPr>
            <w:tcW w:w="25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Endowed progress (Nunes &amp; Drèze 2006)</w:t>
            </w:r>
          </w:p>
        </w:tc>
        <w:tc>
          <w:tcPr>
            <w:tcW w:w="68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 pre-stamped head-start lifts completion 19%→34% — but only if a reason is given. → Enrol members at ~20% progress with a stated “welcome bonus.”</w:t>
            </w:r>
          </w:p>
        </w:tc>
      </w:tr>
      <w:tr>
        <w:tc>
          <w:tcPr>
            <w:tcW w:w="25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Loss aversion (Kahneman &amp; Tversky, ~2:1)</w:t>
            </w:r>
          </w:p>
        </w:tc>
        <w:tc>
          <w:tcPr>
            <w:tcW w:w="68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Tiers make members work to KEEP status; balances feel owned, so devaluation registers as theft. → Protect earned status and balances.</w:t>
            </w:r>
          </w:p>
        </w:tc>
      </w:tr>
      <w:tr>
        <w:tc>
          <w:tcPr>
            <w:tcW w:w="25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Status &amp; recognition</w:t>
            </w:r>
          </w:p>
        </w:tc>
        <w:tc>
          <w:tcPr>
            <w:tcW w:w="68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Tier programmes drive materially higher engagement than flat points; even “meaningless” badges work. → Named tiers, “member since,” early drops — cheap, emotionally binding.</w:t>
            </w:r>
          </w:p>
        </w:tc>
      </w:tr>
      <w:tr>
        <w:tc>
          <w:tcPr>
            <w:tcW w:w="25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Reciprocity (Cialdini)</w:t>
            </w:r>
          </w:p>
        </w:tc>
        <w:tc>
          <w:tcPr>
            <w:tcW w:w="68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Perks read as gifts when fair; backfire when stingy. → Surprise-and-delight yields disproportionate goodwill per rupee.</w:t>
            </w:r>
          </w:p>
        </w:tc>
      </w:tr>
      <w:tr>
        <w:tc>
          <w:tcPr>
            <w:tcW w:w="25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Earning the right to indulge (Kivetz &amp; Simonson 2002)</w:t>
            </w:r>
          </w:p>
        </w:tc>
        <w:tc>
          <w:tcPr>
            <w:tcW w:w="68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Higher effort → members prefer hedonic/luxury rewards. → Frame top-tier rewards as aspirational product/exclusive drops, not discounts.</w:t>
            </w:r>
          </w:p>
        </w:tc>
      </w:tr>
      <w:tr>
        <w:tc>
          <w:tcPr>
            <w:tcW w:w="25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Sunk cost / lock-in</w:t>
            </w:r>
          </w:p>
        </w:tc>
        <w:tc>
          <w:tcPr>
            <w:tcW w:w="68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Accumulated points/status are switching costs — but only while the currency feels safe.</w:t>
            </w:r>
          </w:p>
        </w:tc>
      </w:tr>
      <w:tr>
        <w:tc>
          <w:tcPr>
            <w:tcW w:w="25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Breakage psychology (ASC 606)</w:t>
            </w:r>
          </w:p>
        </w:tc>
        <w:tc>
          <w:tcPr>
            <w:tcW w:w="68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Many programmes profit from inaction. → Treat breakage as by-product, nudge redemption (it deepens habit), model liability conservatively.</w:t>
            </w:r>
          </w:p>
        </w:tc>
      </w:tr>
      <w:tr>
        <w:tc>
          <w:tcPr>
            <w:tcW w:w="25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Discount-addiction death spiral</w:t>
            </w:r>
          </w:p>
        </w:tc>
        <w:tc>
          <w:tcPr>
            <w:tcW w:w="68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Constant discounting anchors the low price as “real.” → Use currency/status; reserve discounts for targeted member-only moments.</w:t>
            </w:r>
          </w:p>
        </w:tc>
      </w:tr>
    </w:tbl>
    <w:p>
      <w:pPr>
        <w:spacing w:after="60"/>
      </w:pPr>
    </w:p>
    <w:tbl>
      <w:tblPr>
        <w:tblStyle w:val="15"/>
        <w:tblW w:w="9360" w:type="dxa"/>
        <w:tblInd w:w="0" w:type="dxa"/>
        <w:tblBorders>
          <w:top w:val="none" w:color="auto" w:sz="0" w:space="0"/>
          <w:left w:val="single" w:color="2C6E6B" w:sz="24"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60"/>
      </w:tblGrid>
      <w:tr>
        <w:tc>
          <w:tcPr>
            <w:tcW w:w="9360" w:type="dxa"/>
            <w:shd w:val="clear" w:color="auto" w:fill="EAF0EF"/>
            <w:tcMar>
              <w:top w:w="120" w:type="dxa"/>
              <w:left w:w="180" w:type="dxa"/>
              <w:bottom w:w="120" w:type="dxa"/>
              <w:right w:w="160" w:type="dxa"/>
            </w:tcMar>
          </w:tcPr>
          <w:p>
            <w:pPr>
              <w:spacing w:after="40"/>
            </w:pPr>
            <w:r>
              <w:rPr>
                <w:rFonts w:ascii="Calibri" w:hAnsi="Calibri" w:eastAsia="Calibri" w:cs="Calibri"/>
                <w:b/>
                <w:bCs/>
                <w:color w:val="2C6E6B"/>
                <w:sz w:val="20"/>
                <w:szCs w:val="20"/>
              </w:rPr>
              <w:t>Why members abandon</w:t>
            </w:r>
          </w:p>
          <w:p>
            <w:pPr>
              <w:spacing w:after="40" w:line="264" w:lineRule="auto"/>
            </w:pPr>
            <w:r>
              <w:rPr>
                <w:rFonts w:ascii="Calibri" w:hAnsi="Calibri" w:eastAsia="Calibri" w:cs="Calibri"/>
                <w:color w:val="2B2B2B"/>
                <w:sz w:val="20"/>
                <w:szCs w:val="20"/>
              </w:rPr>
              <w:t>Churn happens when the first reward feels unreachable, a devaluation/expiry breaks the ownership promise, the programme is too complex to see the value, rewards feel stingy, or a re-enrolment wall filters out passive members. Every DailyObjects design choice below is set against these five failure modes.</w:t>
            </w:r>
          </w:p>
        </w:tc>
      </w:tr>
    </w:tbl>
    <w:p>
      <w:r>
        <w:br w:type="page"/>
      </w:r>
    </w:p>
    <w:p>
      <w:pPr>
        <w:pStyle w:val="2"/>
        <w:pBdr>
          <w:bottom w:val="single" w:color="B45F3B" w:sz="12" w:space="6"/>
        </w:pBdr>
        <w:spacing w:before="360" w:after="140"/>
      </w:pPr>
      <w:r>
        <w:rPr>
          <w:rFonts w:ascii="Calibri" w:hAnsi="Calibri" w:eastAsia="Calibri" w:cs="Calibri"/>
          <w:b/>
          <w:bCs/>
          <w:color w:val="1A1D2B"/>
          <w:sz w:val="34"/>
          <w:szCs w:val="34"/>
        </w:rPr>
        <w:t>11. The DailyObjects Opportunity &amp; Whitespace</w:t>
      </w:r>
    </w:p>
    <w:p>
      <w:pPr>
        <w:spacing w:after="120" w:line="276" w:lineRule="auto"/>
        <w:jc w:val="both"/>
      </w:pPr>
      <w:r>
        <w:rPr>
          <w:rFonts w:ascii="Calibri" w:hAnsi="Calibri" w:eastAsia="Calibri" w:cs="Calibri"/>
          <w:color w:val="2B2B2B"/>
          <w:sz w:val="21"/>
          <w:szCs w:val="21"/>
        </w:rPr>
        <w:t>DailyObjects should not copy Starbucks (frequency), Amazon (paid scale) or Marriott (status travel) wholesale. Its situation is specific: medium-frequency, design-led, identity-driven, gift-heavy, ecosystem-building, going omnichannel. Seven whitespace bets follow uniquely from that.</w:t>
      </w:r>
    </w:p>
    <w:tbl>
      <w:tblPr>
        <w:tblStyle w:val="15"/>
        <w:tblW w:w="9360" w:type="dxa"/>
        <w:tblInd w:w="0" w:type="dxa"/>
        <w:tblBorders>
          <w:top w:val="single" w:color="C9C2BA" w:sz="2" w:space="0"/>
          <w:left w:val="none" w:color="auto" w:sz="0" w:space="0"/>
          <w:bottom w:val="single" w:color="C9C2BA" w:sz="2" w:space="0"/>
          <w:right w:val="none" w:color="auto" w:sz="0" w:space="0"/>
          <w:insideH w:val="single" w:color="D9D2CB" w:sz="2" w:space="0"/>
          <w:insideV w:val="none" w:color="auto" w:sz="0" w:space="0"/>
        </w:tblBorders>
        <w:tblLayout w:type="autofit"/>
        <w:tblCellMar>
          <w:top w:w="0" w:type="dxa"/>
          <w:left w:w="10" w:type="dxa"/>
          <w:bottom w:w="0" w:type="dxa"/>
          <w:right w:w="10" w:type="dxa"/>
        </w:tblCellMar>
      </w:tblPr>
      <w:tblGrid>
        <w:gridCol w:w="3000"/>
        <w:gridCol w:w="6360"/>
      </w:tblGrid>
      <w:tr>
        <w:trPr>
          <w:tblHeader/>
        </w:trPr>
        <w:tc>
          <w:tcPr>
            <w:tcW w:w="300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Whitespace bet</w:t>
            </w:r>
          </w:p>
        </w:tc>
        <w:tc>
          <w:tcPr>
            <w:tcW w:w="6360" w:type="dxa"/>
            <w:shd w:val="clear" w:color="auto" w:fill="1A1D2B"/>
            <w:tcMar>
              <w:top w:w="60" w:type="dxa"/>
              <w:left w:w="90" w:type="dxa"/>
              <w:bottom w:w="60" w:type="dxa"/>
              <w:right w:w="90" w:type="dxa"/>
            </w:tcMar>
            <w:vAlign w:val="center"/>
          </w:tcPr>
          <w:p>
            <w:pPr>
              <w:spacing w:after="0" w:line="250" w:lineRule="auto"/>
              <w:jc w:val="left"/>
            </w:pPr>
            <w:r>
              <w:rPr>
                <w:rFonts w:ascii="Calibri" w:hAnsi="Calibri" w:eastAsia="Calibri" w:cs="Calibri"/>
                <w:b/>
                <w:bCs/>
                <w:color w:val="FFFFFF"/>
                <w:sz w:val="18"/>
                <w:szCs w:val="18"/>
              </w:rPr>
              <w:t>Why it fits DailyObjects (and no benchmark owns it)</w:t>
            </w:r>
          </w:p>
        </w:tc>
      </w:tr>
      <w:tr>
        <w:tc>
          <w:tcPr>
            <w:tcW w:w="30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1. Design/collection identity, not a points grind</w:t>
            </w:r>
          </w:p>
        </w:tc>
        <w:tc>
          <w:tcPr>
            <w:tcW w:w="63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Reward taste &amp; self-expression — “collect the drop,” design credits, member-only colourways, co-create with artisans.</w:t>
            </w:r>
          </w:p>
        </w:tc>
      </w:tr>
      <w:tr>
        <w:tc>
          <w:tcPr>
            <w:tcW w:w="30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2. Ecosystem-completion mechanic</w:t>
            </w:r>
          </w:p>
        </w:tc>
        <w:tc>
          <w:tcPr>
            <w:tcW w:w="63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The MagSafe “Stack” is a natural gamified collection: unlock/discount the next module; a “complete your Stack” progress bar. No benchmark owns modular-accessory loyalty.</w:t>
            </w:r>
          </w:p>
        </w:tc>
      </w:tr>
      <w:tr>
        <w:tc>
          <w:tcPr>
            <w:tcW w:w="30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3. Device-lifecycle loyalty</w:t>
            </w:r>
          </w:p>
        </w:tc>
        <w:tc>
          <w:tcPr>
            <w:tcW w:w="63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The new-phone moment is a predictable high-intent spike — own it: trade-in old case, “new phone? we remember your model,” launch-day early access, protection/warranty.</w:t>
            </w:r>
          </w:p>
        </w:tc>
      </w:tr>
      <w:tr>
        <w:tc>
          <w:tcPr>
            <w:tcW w:w="30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4. Gifting engine</w:t>
            </w:r>
          </w:p>
        </w:tc>
        <w:tc>
          <w:tcPr>
            <w:tcW w:w="63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Accessories are India’s most giftable price point — gift credits, gift-back rewards, occasion reminders, premium member gift packaging, “gift and both get points.”</w:t>
            </w:r>
          </w:p>
        </w:tc>
      </w:tr>
      <w:tr>
        <w:tc>
          <w:tcPr>
            <w:tcW w:w="30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5. Creator/community identity</w:t>
            </w:r>
          </w:p>
        </w:tc>
        <w:tc>
          <w:tcPr>
            <w:tcW w:w="63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The Creative Professionals segment → UGC, custom-design contests, creator collabs, member-designed products with revenue share.</w:t>
            </w:r>
          </w:p>
        </w:tc>
      </w:tr>
      <w:tr>
        <w:tc>
          <w:tcPr>
            <w:tcW w:w="300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6. Sustainability as loyalty currency</w:t>
            </w:r>
          </w:p>
        </w:tc>
        <w:tc>
          <w:tcPr>
            <w:tcW w:w="6360" w:type="dxa"/>
            <w:shd w:val="clear" w:color="auto" w:fill="F2ECE6"/>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A plastic-free brand can reward recycling/trade-in, “green” badges, and per-tier tree-planting — emotional, differentiated, on-brand.</w:t>
            </w:r>
          </w:p>
        </w:tc>
      </w:tr>
      <w:tr>
        <w:tc>
          <w:tcPr>
            <w:tcW w:w="300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7. Omnichannel-native from day one</w:t>
            </w:r>
          </w:p>
        </w:tc>
        <w:tc>
          <w:tcPr>
            <w:tcW w:w="6360" w:type="dxa"/>
            <w:tcMar>
              <w:top w:w="60" w:type="dxa"/>
              <w:left w:w="90" w:type="dxa"/>
              <w:bottom w:w="60" w:type="dxa"/>
              <w:right w:w="90" w:type="dxa"/>
            </w:tcMar>
            <w:vAlign w:val="center"/>
          </w:tcPr>
          <w:p>
            <w:pPr>
              <w:spacing w:after="0" w:line="250" w:lineRule="auto"/>
              <w:jc w:val="left"/>
            </w:pPr>
            <w:r>
              <w:rPr>
                <w:rFonts w:ascii="Calibri" w:hAnsi="Calibri" w:eastAsia="Calibri" w:cs="Calibri"/>
                <w:color w:val="2B2B2B"/>
                <w:sz w:val="18"/>
                <w:szCs w:val="18"/>
              </w:rPr>
              <w:t>While most Indian D2C loyalty is web-only, DailyObjects’ 150-store + airport + Apple-partner future lets it build store-recognised membership as a genuine moat.</w:t>
            </w:r>
          </w:p>
        </w:tc>
      </w:tr>
    </w:tbl>
    <w:p>
      <w:pPr>
        <w:spacing w:after="60"/>
      </w:pPr>
    </w:p>
    <w:tbl>
      <w:tblPr>
        <w:tblStyle w:val="15"/>
        <w:tblW w:w="9360" w:type="dxa"/>
        <w:tblInd w:w="0" w:type="dxa"/>
        <w:tblBorders>
          <w:top w:val="none" w:color="auto" w:sz="0" w:space="0"/>
          <w:left w:val="single" w:color="B45F3B" w:sz="24"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60"/>
      </w:tblGrid>
      <w:tr>
        <w:tc>
          <w:tcPr>
            <w:tcW w:w="9360" w:type="dxa"/>
            <w:shd w:val="clear" w:color="auto" w:fill="EAF0EF"/>
            <w:tcMar>
              <w:top w:w="120" w:type="dxa"/>
              <w:left w:w="180" w:type="dxa"/>
              <w:bottom w:w="120" w:type="dxa"/>
              <w:right w:w="160" w:type="dxa"/>
            </w:tcMar>
          </w:tcPr>
          <w:p>
            <w:pPr>
              <w:spacing w:after="40"/>
            </w:pPr>
            <w:r>
              <w:rPr>
                <w:rFonts w:ascii="Calibri" w:hAnsi="Calibri" w:eastAsia="Calibri" w:cs="Calibri"/>
                <w:b/>
                <w:bCs/>
                <w:color w:val="B45F3B"/>
                <w:sz w:val="20"/>
                <w:szCs w:val="20"/>
              </w:rPr>
              <w:t>The whitespace in one line</w:t>
            </w:r>
          </w:p>
          <w:p>
            <w:pPr>
              <w:spacing w:after="40" w:line="264" w:lineRule="auto"/>
            </w:pPr>
            <w:r>
              <w:rPr>
                <w:rFonts w:ascii="Calibri" w:hAnsi="Calibri" w:eastAsia="Calibri" w:cs="Calibri"/>
                <w:color w:val="2B2B2B"/>
                <w:sz w:val="20"/>
                <w:szCs w:val="20"/>
              </w:rPr>
              <w:t>DailyObjects can own “the membership for people who care how their everyday things look and work” — rewarding taste, participation and ecosystem-building across every channel — a position its discount-led and no-programme competitors cannot easily take.</w:t>
            </w:r>
          </w:p>
        </w:tc>
      </w:tr>
    </w:tbl>
    <w:p>
      <w:r>
        <w:br w:type="page"/>
      </w:r>
    </w:p>
    <w:p>
      <w:pPr>
        <w:pStyle w:val="2"/>
        <w:pBdr>
          <w:bottom w:val="single" w:color="B45F3B" w:sz="12" w:space="6"/>
        </w:pBdr>
        <w:spacing w:before="360" w:after="140"/>
      </w:pPr>
      <w:r>
        <w:rPr>
          <w:rFonts w:ascii="Calibri" w:hAnsi="Calibri" w:eastAsia="Calibri" w:cs="Calibri"/>
          <w:b/>
          <w:bCs/>
          <w:color w:val="1A1D2B"/>
          <w:sz w:val="34"/>
          <w:szCs w:val="34"/>
        </w:rPr>
        <w:t>12. Appendix — Sources</w:t>
      </w:r>
    </w:p>
    <w:p>
      <w:pPr>
        <w:spacing w:after="120" w:line="276" w:lineRule="auto"/>
        <w:jc w:val="both"/>
      </w:pPr>
      <w:r>
        <w:rPr>
          <w:rFonts w:ascii="Calibri" w:hAnsi="Calibri" w:eastAsia="Calibri" w:cs="Calibri"/>
          <w:color w:val="2B2B2B"/>
          <w:sz w:val="21"/>
          <w:szCs w:val="21"/>
        </w:rPr>
        <w:t>Facts are drawn from official brand sources, T&amp;Cs, filings and reputable business press. Membership counts and breakage figures for some brands are secondary press and should be verified before external quotation; Starbucks and Amazon economics are from filings and are the most reliable. Fact vs interpretation vs inference is distinguished throughout the body text.</w:t>
      </w:r>
    </w:p>
    <w:p>
      <w:pPr>
        <w:pStyle w:val="4"/>
        <w:spacing w:before="160" w:after="60"/>
      </w:pPr>
      <w:r>
        <w:rPr>
          <w:rFonts w:ascii="Calibri" w:hAnsi="Calibri" w:eastAsia="Calibri" w:cs="Calibri"/>
          <w:b/>
          <w:bCs/>
          <w:color w:val="2C6E6B"/>
          <w:sz w:val="22"/>
          <w:szCs w:val="22"/>
        </w:rPr>
        <w:t>Global benchmarks</w:t>
      </w:r>
    </w:p>
    <w:p>
      <w:pPr>
        <w:pStyle w:val="16"/>
        <w:numPr>
          <w:ilvl w:val="0"/>
          <w:numId w:val="1"/>
        </w:numPr>
        <w:spacing w:after="60" w:line="268" w:lineRule="auto"/>
      </w:pPr>
      <w:r>
        <w:rPr>
          <w:rFonts w:ascii="Calibri" w:hAnsi="Calibri" w:eastAsia="Calibri" w:cs="Calibri"/>
          <w:color w:val="2B2B2B"/>
          <w:sz w:val="21"/>
          <w:szCs w:val="21"/>
        </w:rPr>
        <w:t>Nike (nike.com/membership; consumergoods.com); MUJI (muji.us; muji.com; retaildive.com); Starbucks (about.starbucks.com 2026 press; SEC filings); Marriott (prnewswire; marriott.com; hoteldive.com); Amex (americanexpress.com; thepointsguy.com); Amazon (SEC 10-K FY2025); Nike Run Club (nike.com; simpleloyalty).</w:t>
      </w:r>
    </w:p>
    <w:p>
      <w:pPr>
        <w:pStyle w:val="4"/>
        <w:spacing w:before="160" w:after="60"/>
      </w:pPr>
      <w:r>
        <w:rPr>
          <w:rFonts w:ascii="Calibri" w:hAnsi="Calibri" w:eastAsia="Calibri" w:cs="Calibri"/>
          <w:b/>
          <w:bCs/>
          <w:color w:val="2C6E6B"/>
          <w:sz w:val="22"/>
          <w:szCs w:val="22"/>
        </w:rPr>
        <w:t>Indian programmes</w:t>
      </w:r>
    </w:p>
    <w:p>
      <w:pPr>
        <w:pStyle w:val="16"/>
        <w:numPr>
          <w:ilvl w:val="0"/>
          <w:numId w:val="1"/>
        </w:numPr>
        <w:spacing w:after="60" w:line="268" w:lineRule="auto"/>
      </w:pPr>
      <w:r>
        <w:rPr>
          <w:rFonts w:ascii="Calibri" w:hAnsi="Calibri" w:eastAsia="Calibri" w:cs="Calibri"/>
          <w:color w:val="2B2B2B"/>
          <w:sz w:val="21"/>
          <w:szCs w:val="21"/>
        </w:rPr>
        <w:t>Tata Neu (smartspends.in; tanishq.co.in); Reliance/Tira (jio.com; ajio.com; tirabeauty.com); Myntra (getxeno.com; grabon.in); Flipkart (stories.flipkart.com); Nykaa (grabon.in; onenykaa.zendesk.com); Shoppers Stop (shoppersstop.com/firstcitizen); Croma (croma.com); Titan (titanencircle.com; tanishqgoldenharvest.co.in); Zomato/District (inc42.com; Wikipedia); Swiggy (swiggy.com press); Decathlon (decathlon.in).</w:t>
      </w:r>
    </w:p>
    <w:p>
      <w:pPr>
        <w:pStyle w:val="4"/>
        <w:spacing w:before="160" w:after="60"/>
      </w:pPr>
      <w:r>
        <w:rPr>
          <w:rFonts w:ascii="Calibri" w:hAnsi="Calibri" w:eastAsia="Calibri" w:cs="Calibri"/>
          <w:b/>
          <w:bCs/>
          <w:color w:val="2C6E6B"/>
          <w:sz w:val="22"/>
          <w:szCs w:val="22"/>
        </w:rPr>
        <w:t>Comparable accessory brands</w:t>
      </w:r>
    </w:p>
    <w:p>
      <w:pPr>
        <w:pStyle w:val="16"/>
        <w:numPr>
          <w:ilvl w:val="0"/>
          <w:numId w:val="1"/>
        </w:numPr>
        <w:spacing w:after="60" w:line="268" w:lineRule="auto"/>
      </w:pPr>
      <w:r>
        <w:rPr>
          <w:rFonts w:ascii="Calibri" w:hAnsi="Calibri" w:eastAsia="Calibri" w:cs="Calibri"/>
          <w:color w:val="2B2B2B"/>
          <w:sz w:val="21"/>
          <w:szCs w:val="21"/>
        </w:rPr>
        <w:t>Casetify (casetify.com/casetify-club; zendesk); Mokobara (shopify.com/case-studies/mokobara; brandstrendingnow.com); Bewakoof (offerscouponsdeals.in); Anker (anker.com/ankercredits, /anker-plus-membership); The Souled Store (thesouledstore.com); Zouk (zouk.co.in); Wildcraft/VIP (vipbags.com); MOFT (moft.us); boAt (boat-lifestyle.com); Bellroy/Peak Design/Nomad/Native Union (official + Knoji loyalty pages).</w:t>
      </w:r>
    </w:p>
    <w:p>
      <w:pPr>
        <w:pStyle w:val="4"/>
        <w:spacing w:before="160" w:after="60"/>
      </w:pPr>
      <w:r>
        <w:rPr>
          <w:rFonts w:ascii="Calibri" w:hAnsi="Calibri" w:eastAsia="Calibri" w:cs="Calibri"/>
          <w:b/>
          <w:bCs/>
          <w:color w:val="2C6E6B"/>
          <w:sz w:val="22"/>
          <w:szCs w:val="22"/>
        </w:rPr>
        <w:t>Failures, psychology &amp; omnichannel</w:t>
      </w:r>
    </w:p>
    <w:p>
      <w:pPr>
        <w:pStyle w:val="16"/>
        <w:numPr>
          <w:ilvl w:val="0"/>
          <w:numId w:val="1"/>
        </w:numPr>
        <w:spacing w:after="60" w:line="268" w:lineRule="auto"/>
      </w:pPr>
      <w:r>
        <w:rPr>
          <w:rFonts w:ascii="Calibri" w:hAnsi="Calibri" w:eastAsia="Calibri" w:cs="Calibri"/>
          <w:color w:val="2B2B2B"/>
          <w:sz w:val="21"/>
          <w:szCs w:val="21"/>
        </w:rPr>
        <w:t>Delta (NBC News; Thrifty Traveler; One Mile at a Time); Starbucks 2016 (Forbes/Dooley; PYMNTS; CBS); Plenti (Coleman Insights; Forbes; PYMNTS); Air Miles (CBC; Global News; Globe and Mail); Marriott/SPG (One Mile at a Time; LoyaltyLobby); Subway (Loyalty &amp; Reward Co; NBC; Snopes); Best Buy (CNN; Doctor of Credit); Tesco (MoneySavingExpert); Walgreens (WRAL; Walgreens notice); JCPenney (Forbes/Denning); Shoppers Optimum (Macleans; Global News).</w:t>
      </w:r>
    </w:p>
    <w:p>
      <w:pPr>
        <w:pStyle w:val="16"/>
        <w:numPr>
          <w:ilvl w:val="0"/>
          <w:numId w:val="1"/>
        </w:numPr>
        <w:spacing w:after="60" w:line="268" w:lineRule="auto"/>
      </w:pPr>
      <w:r>
        <w:rPr>
          <w:rFonts w:ascii="Calibri" w:hAnsi="Calibri" w:eastAsia="Calibri" w:cs="Calibri"/>
          <w:color w:val="2B2B2B"/>
          <w:sz w:val="21"/>
          <w:szCs w:val="21"/>
        </w:rPr>
        <w:t>Psychology: Kivetz/Urminsky/Zheng 2006 (goal gradient); Nunes &amp; Drèze 2006 (endowed progress); Kahneman &amp; Tversky (loss aversion); Kivetz &amp; Simonson 2002/2003 (earning the right to indulge; idiosyncratic fit); PwC ASC 606 (breakage); Bain/HBR &amp; McKinsey (retention economics).</w:t>
      </w:r>
    </w:p>
    <w:p>
      <w:pPr>
        <w:pStyle w:val="16"/>
        <w:numPr>
          <w:ilvl w:val="0"/>
          <w:numId w:val="1"/>
        </w:numPr>
        <w:spacing w:after="60" w:line="268" w:lineRule="auto"/>
      </w:pPr>
      <w:r>
        <w:rPr>
          <w:rFonts w:ascii="Calibri" w:hAnsi="Calibri" w:eastAsia="Calibri" w:cs="Calibri"/>
          <w:color w:val="2B2B2B"/>
          <w:sz w:val="21"/>
          <w:szCs w:val="21"/>
        </w:rPr>
        <w:t>Omnichannel: Sephora (g-co.agency; ngrow.ai); Nike &amp; Starbucks (simpleloyalty; trueloyal); Decathlon (loyal.guru); Tata Neu (IRE Journals; Founding Fuel); capability stack (Capillary; Bloomreach; Talon.One; Wapping).</w:t>
      </w:r>
    </w:p>
    <w:p>
      <w:pPr>
        <w:spacing w:after="80"/>
      </w:pPr>
    </w:p>
    <w:p>
      <w:pPr>
        <w:spacing w:after="120" w:line="276" w:lineRule="auto"/>
        <w:jc w:val="both"/>
      </w:pPr>
      <w:r>
        <w:rPr>
          <w:rFonts w:ascii="Calibri" w:hAnsi="Calibri" w:eastAsia="Calibri" w:cs="Calibri"/>
          <w:i/>
          <w:iCs/>
          <w:color w:val="5A5F6E"/>
          <w:sz w:val="21"/>
          <w:szCs w:val="21"/>
        </w:rPr>
        <w:t>End of document.</w:t>
      </w:r>
    </w:p>
    <w:sectPr>
      <w:headerReference r:id="rId3" w:type="default"/>
      <w:footerReference r:id="rId4" w:type="default"/>
      <w:pgSz w:w="12240" w:h="15840"/>
      <w:pgMar w:top="1180" w:right="1440" w:bottom="1100" w:left="1440" w:header="708" w:footer="708" w:gutter="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panose1 w:val="020B0604020202090204"/>
    <w:charset w:val="00"/>
    <w:family w:val="swiss"/>
    <w:pitch w:val="default"/>
    <w:sig w:usb0="E0000AFF" w:usb1="00007843" w:usb2="00000001" w:usb3="00000000" w:csb0="400001BF" w:csb1="DFF70000"/>
  </w:font>
  <w:font w:name="黑体">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Cambria">
    <w:altName w:val=""/>
    <w:panose1 w:val="02040503050406030204"/>
    <w:charset w:val="00"/>
    <w:family w:val="roman"/>
    <w:pitch w:val="default"/>
    <w:sig w:usb0="00000000" w:usb1="00000000" w:usb2="00000000" w:usb3="00000000" w:csb0="0000019F" w:csb1="00000000"/>
  </w:font>
  <w:font w:name="Calibri">
    <w:altName w:val="Helvetica Neue"/>
    <w:panose1 w:val="020F0502020204030204"/>
    <w:charset w:val="86"/>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SimSun">
    <w:altName w:val="宋体-简"/>
    <w:panose1 w:val="00000000000000000000"/>
    <w:charset w:val="86"/>
    <w:family w:val="auto"/>
    <w:pitch w:val="default"/>
    <w:sig w:usb0="00000000" w:usb1="00000000" w:usb2="00000000" w:usb3="00000000" w:csb0="00000000" w:csb1="00000000"/>
  </w:font>
  <w:font w:name="Hiragino Sans GB">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rFonts w:ascii="Calibri" w:hAnsi="Calibri" w:eastAsia="Calibri" w:cs="Calibri"/>
        <w:color w:val="5A5F6E"/>
        <w:sz w:val="15"/>
        <w:szCs w:val="15"/>
      </w:rPr>
      <w:t xml:space="preserve">Confidential  ·  August 2026  ·  </w:t>
    </w:r>
    <w:r>
      <w:rPr>
        <w:rFonts w:ascii="Calibri" w:hAnsi="Calibri" w:eastAsia="Calibri" w:cs="Calibri"/>
        <w:color w:val="5A5F6E"/>
        <w:sz w:val="15"/>
        <w:szCs w:val="15"/>
      </w:rPr>
      <w:fldChar w:fldCharType="begin"/>
    </w:r>
    <w:r>
      <w:rPr>
        <w:rFonts w:ascii="Calibri" w:hAnsi="Calibri" w:eastAsia="Calibri" w:cs="Calibri"/>
        <w:color w:val="5A5F6E"/>
        <w:sz w:val="15"/>
        <w:szCs w:val="15"/>
      </w:rPr>
      <w:instrText xml:space="preserve">PAGE</w:instrText>
    </w:r>
    <w:r>
      <w:rPr>
        <w:rFonts w:ascii="Calibri" w:hAnsi="Calibri" w:eastAsia="Calibri" w:cs="Calibri"/>
        <w:color w:val="5A5F6E"/>
        <w:sz w:val="15"/>
        <w:szCs w:val="15"/>
      </w:rPr>
      <w:fldChar w:fldCharType="separate"/>
    </w:r>
    <w:r>
      <w:rPr>
        <w:rFonts w:ascii="Calibri" w:hAnsi="Calibri" w:eastAsia="Calibri" w:cs="Calibri"/>
        <w:color w:val="5A5F6E"/>
        <w:sz w:val="15"/>
        <w:szCs w:val="15"/>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D9D2CB" w:sz="4" w:space="4"/>
      </w:pBdr>
      <w:jc w:val="right"/>
    </w:pPr>
    <w:r>
      <w:rPr>
        <w:rFonts w:ascii="Calibri" w:hAnsi="Calibri" w:eastAsia="Calibri" w:cs="Calibri"/>
        <w:color w:val="5A5F6E"/>
        <w:sz w:val="15"/>
        <w:szCs w:val="15"/>
      </w:rPr>
      <w:t>The DailyObjects Loyalty Programme  ·  Strategy &amp;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86AE45"/>
    <w:multiLevelType w:val="multilevel"/>
    <w:tmpl w:val="6A86AE45"/>
    <w:lvl w:ilvl="0" w:tentative="0">
      <w:start w:val="1"/>
      <w:numFmt w:val="bullet"/>
      <w:lvlText w:val="•"/>
      <w:lvlJc w:val="left"/>
      <w:pPr>
        <w:ind w:left="360" w:hanging="220"/>
      </w:pPr>
      <w:rPr>
        <w:color w:val="B45F3B"/>
      </w:rPr>
    </w:lvl>
    <w:lvl w:ilvl="1" w:tentative="0">
      <w:start w:val="1"/>
      <w:numFmt w:val="bullet"/>
      <w:lvlText w:val="–"/>
      <w:lvlJc w:val="left"/>
      <w:pPr>
        <w:ind w:left="720" w:hanging="220"/>
      </w:pPr>
    </w:lvl>
  </w:abstractNum>
  <w:abstractNum w:abstractNumId="1">
    <w:nsid w:val="6A86AE5B"/>
    <w:multiLevelType w:val="singleLevel"/>
    <w:tmpl w:val="6A86AE5B"/>
    <w:lvl w:ilvl="0" w:tentative="0">
      <w:start w:val="1"/>
      <w:numFmt w:val="decimal"/>
      <w:lvlText w:val="%1."/>
      <w:lvlJc w:val="left"/>
      <w:pPr>
        <w:ind w:left="360" w:hanging="260"/>
      </w:pPr>
      <w:rPr>
        <w:b/>
        <w:bCs/>
        <w:color w:val="B45F3B"/>
      </w:r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val="1"/>
  <w:documentProtection w:enforcement="0"/>
  <w:compat>
    <w:compatSetting w:name="compatibilityMode" w:uri="http://schemas.microsoft.com/office/word" w:val="15"/>
  </w:compat>
  <w:rsids>
    <w:rsidRoot w:val="00000000"/>
    <w:rsid w:val="BF778822"/>
    <w:rsid w:val="E7F798C8"/>
    <w:rsid w:val="FBCB40A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Calibri" w:cs="Calibr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Calibri" w:cs="Calibri"/>
      <w:color w:val="2B2B2B"/>
      <w:sz w:val="21"/>
      <w:szCs w:val="21"/>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11">
    <w:name w:val="Default Paragraph Font"/>
    <w:semiHidden/>
    <w:uiPriority w:val="0"/>
  </w:style>
  <w:style w:type="table" w:default="1" w:styleId="15">
    <w:name w:val="Normal Table"/>
    <w:semiHidden/>
    <w:uiPriority w:val="0"/>
    <w:tblPr>
      <w:tblCellMar>
        <w:top w:w="0" w:type="dxa"/>
        <w:left w:w="108" w:type="dxa"/>
        <w:bottom w:w="0" w:type="dxa"/>
        <w:right w:w="108" w:type="dxa"/>
      </w:tblCellMar>
    </w:tblPr>
  </w:style>
  <w:style w:type="paragraph" w:styleId="8">
    <w:name w:val="endnote text"/>
    <w:link w:val="18"/>
    <w:unhideWhenUsed/>
    <w:uiPriority w:val="99"/>
    <w:pPr>
      <w:spacing w:after="0" w:line="240" w:lineRule="auto"/>
    </w:pPr>
    <w:rPr>
      <w:rFonts w:ascii="Calibri" w:hAnsi="Calibri" w:eastAsia="Calibri" w:cs="Calibri"/>
      <w:color w:val="2B2B2B"/>
      <w:sz w:val="20"/>
      <w:szCs w:val="20"/>
    </w:rPr>
  </w:style>
  <w:style w:type="paragraph" w:styleId="9">
    <w:name w:val="footnote text"/>
    <w:link w:val="17"/>
    <w:unhideWhenUsed/>
    <w:uiPriority w:val="99"/>
    <w:pPr>
      <w:spacing w:after="0" w:line="240" w:lineRule="auto"/>
    </w:pPr>
    <w:rPr>
      <w:rFonts w:ascii="Calibri" w:hAnsi="Calibri" w:eastAsia="Calibri" w:cs="Calibri"/>
      <w:color w:val="2B2B2B"/>
      <w:sz w:val="20"/>
      <w:szCs w:val="20"/>
    </w:rPr>
  </w:style>
  <w:style w:type="paragraph" w:styleId="10">
    <w:name w:val="Title"/>
    <w:qFormat/>
    <w:uiPriority w:val="0"/>
    <w:rPr>
      <w:rFonts w:ascii="Calibri" w:hAnsi="Calibri" w:eastAsia="Calibri" w:cs="Calibri"/>
      <w:color w:val="2B2B2B"/>
      <w:sz w:val="56"/>
      <w:szCs w:val="56"/>
    </w:rPr>
  </w:style>
  <w:style w:type="character" w:styleId="12">
    <w:name w:val="endnote reference"/>
    <w:unhideWhenUsed/>
    <w:uiPriority w:val="99"/>
    <w:rPr>
      <w:vertAlign w:val="superscript"/>
    </w:rPr>
  </w:style>
  <w:style w:type="character" w:styleId="13">
    <w:name w:val="footnote reference"/>
    <w:unhideWhenUsed/>
    <w:uiPriority w:val="99"/>
    <w:rPr>
      <w:vertAlign w:val="superscript"/>
    </w:rPr>
  </w:style>
  <w:style w:type="character" w:styleId="14">
    <w:name w:val="Hyperlink"/>
    <w:unhideWhenUsed/>
    <w:uiPriority w:val="99"/>
    <w:rPr>
      <w:color w:val="0563C1"/>
      <w:u w:val="single"/>
    </w:rPr>
  </w:style>
  <w:style w:type="paragraph" w:customStyle="1" w:styleId="16">
    <w:name w:val="List Paragraph"/>
    <w:qFormat/>
    <w:uiPriority w:val="0"/>
    <w:rPr>
      <w:rFonts w:ascii="Calibri" w:hAnsi="Calibri" w:eastAsia="Calibri" w:cs="Calibri"/>
      <w:color w:val="2B2B2B"/>
      <w:sz w:val="21"/>
      <w:szCs w:val="21"/>
    </w:rPr>
  </w:style>
  <w:style w:type="character" w:customStyle="1" w:styleId="17">
    <w:name w:val="Footnote Text Char"/>
    <w:link w:val="9"/>
    <w:unhideWhenUsed/>
    <w:uiPriority w:val="99"/>
    <w:rPr>
      <w:sz w:val="20"/>
      <w:szCs w:val="20"/>
    </w:rPr>
  </w:style>
  <w:style w:type="character" w:customStyle="1" w:styleId="18">
    <w:name w:val="Endnote Text Char"/>
    <w:link w:val="8"/>
    <w:unhideWhenUsed/>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ScaleCrop>false</ScaleCrop>
  <LinksUpToDate>false</LinksUpToDate>
  <Application>WPS Office_3.1.1.5096_F1E327BC-269C-435d-A152-05C5408002CA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DailyObjects Loyalty Strategy</dc:creator>
  <dc:description>Comprehensive loyalty research, benchmarking and programme design for DailyObjects</dc:description>
  <cp:lastModifiedBy>ashimamadan</cp:lastModifiedBy>
  <dcterms:modified xsi:type="dcterms:W3CDTF">2026-08-20T13:54:03Z</dcterms:modified>
  <dc:title>The DailyObjects Loyalty Programme — Strategy &amp; Research</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1033-3.1.1.5096</vt:lpwstr>
  </property>
</Properties>
</file>