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left"/>
      </w:pPr>
      <w:r>
        <w:rPr>
          <w:rFonts w:ascii="Calibri" w:cs="Calibri" w:eastAsia="Calibri" w:hAnsi="Calibri"/>
          <w:b/>
          <w:bCs/>
          <w:color w:val="B45F3B"/>
          <w:spacing w:val="60"/>
          <w:sz w:val="26"/>
          <w:szCs w:val="26"/>
        </w:rPr>
        <w:t xml:space="preserve">STRATEGY &amp; RESEARCH</w:t>
      </w:r>
    </w:p>
    <w:p>
      <w:pPr>
        <w:spacing w:after="0" w:before="200"/>
      </w:pPr>
      <w:r>
        <w:rPr>
          <w:rFonts w:ascii="Calibri" w:cs="Calibri" w:eastAsia="Calibri" w:hAnsi="Calibri"/>
          <w:b/>
          <w:bCs/>
          <w:color w:val="1A1D2B"/>
          <w:sz w:val="76"/>
          <w:szCs w:val="76"/>
        </w:rPr>
        <w:t xml:space="preserve">The DailyObjects</w:t>
      </w:r>
    </w:p>
    <w:p>
      <w:pPr>
        <w:spacing w:after="200" w:before="0"/>
      </w:pPr>
      <w:r>
        <w:rPr>
          <w:rFonts w:ascii="Calibri" w:cs="Calibri" w:eastAsia="Calibri" w:hAnsi="Calibri"/>
          <w:b/>
          <w:bCs/>
          <w:color w:val="1A1D2B"/>
          <w:sz w:val="76"/>
          <w:szCs w:val="76"/>
        </w:rPr>
        <w:t xml:space="preserve">Loyalty Programme</w:t>
      </w:r>
    </w:p>
    <w:p>
      <w:pPr>
        <w:pBdr>
          <w:bottom w:val="single" w:color="B45F3B" w:sz="18" w:space="8"/>
        </w:pBdr>
        <w:spacing w:after="220"/>
      </w:pPr>
    </w:p>
    <w:p>
      <w:pPr>
        <w:spacing w:after="120"/>
      </w:pPr>
      <w:r>
        <w:rPr>
          <w:rFonts w:ascii="Calibri" w:cs="Calibri" w:eastAsia="Calibri" w:hAnsi="Calibri"/>
          <w:i/>
          <w:iCs/>
          <w:color w:val="5A5F6E"/>
          <w:sz w:val="28"/>
          <w:szCs w:val="28"/>
        </w:rPr>
        <w:t xml:space="preserve">Comprehensive research, global benchmarking, programme design and a recommended path to launch</w:t>
      </w:r>
    </w:p>
    <w:p>
      <w:pPr>
        <w:spacing w:after="40" w:before="600"/>
      </w:pPr>
      <w:r>
        <w:rPr>
          <w:rFonts w:ascii="Calibri" w:cs="Calibri" w:eastAsia="Calibri" w:hAnsi="Calibri"/>
          <w:color w:val="2B2B2B"/>
          <w:sz w:val="22"/>
          <w:szCs w:val="22"/>
        </w:rPr>
        <w:t xml:space="preserve">Prepared as a senior loyalty-strategy consulting engagement</w:t>
      </w:r>
    </w:p>
    <w:p>
      <w:pPr>
        <w:spacing w:after="40"/>
      </w:pPr>
      <w:r>
        <w:rPr>
          <w:rFonts w:ascii="Calibri" w:cs="Calibri" w:eastAsia="Calibri" w:hAnsi="Calibri"/>
          <w:color w:val="5A5F6E"/>
          <w:sz w:val="20"/>
          <w:szCs w:val="20"/>
        </w:rPr>
        <w:t xml:space="preserve">Scope: 30+ programmes across 9 sectors · Indian &amp; global · design-led accessories comparables · failure cases · consumer psychology · omnichannel · economics</w:t>
      </w:r>
    </w:p>
    <w:p>
      <w:pPr>
        <w:spacing w:after="0" w:before="500"/>
      </w:pPr>
      <w:r>
        <w:rPr>
          <w:rFonts w:ascii="Calibri" w:cs="Calibri" w:eastAsia="Calibri" w:hAnsi="Calibri"/>
          <w:b/>
          <w:bCs/>
          <w:color w:val="2C6E6B"/>
          <w:sz w:val="20"/>
          <w:szCs w:val="20"/>
        </w:rPr>
        <w:t xml:space="preserve">August 2026  ·  Confidential</w:t>
      </w:r>
    </w:p>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after="120" w:line="276"/>
        <w:jc w:val="both"/>
      </w:pPr>
      <w:r>
        <w:rPr>
          <w:rFonts w:ascii="Calibri" w:cs="Calibri" w:eastAsia="Calibri" w:hAnsi="Calibri"/>
          <w:i/>
          <w:iCs/>
          <w:color w:val="5A5F6E"/>
          <w:sz w:val="18"/>
          <w:szCs w:val="18"/>
        </w:rPr>
        <w:t xml:space="preserve">Note: right-click → Update Field in Word to populate page numbers.</w:t>
      </w:r>
    </w:p>
    <w:p>
      <w:pPr>
        <w:spacing w:after="40" w:before="120"/>
      </w:pPr>
      <w:r>
        <w:rPr>
          <w:rFonts w:ascii="Calibri" w:cs="Calibri" w:eastAsia="Calibri" w:hAnsi="Calibri"/>
          <w:b/>
          <w:bCs/>
          <w:color w:val="B45F3B"/>
          <w:sz w:val="22"/>
          <w:szCs w:val="22"/>
        </w:rPr>
        <w:t xml:space="preserve">Document map</w:t>
      </w:r>
    </w:p>
    <w:p>
      <w:pPr>
        <w:spacing w:after="30"/>
      </w:pPr>
      <w:r>
        <w:rPr>
          <w:rFonts w:ascii="Calibri" w:cs="Calibri" w:eastAsia="Calibri" w:hAnsi="Calibri"/>
          <w:color w:val="2B2B2B"/>
          <w:sz w:val="20"/>
          <w:szCs w:val="20"/>
        </w:rPr>
        <w:t xml:space="preserve">1. Executive Summary</w:t>
      </w:r>
    </w:p>
    <w:p>
      <w:pPr>
        <w:spacing w:after="30"/>
      </w:pPr>
      <w:r>
        <w:rPr>
          <w:rFonts w:ascii="Calibri" w:cs="Calibri" w:eastAsia="Calibri" w:hAnsi="Calibri"/>
          <w:color w:val="2B2B2B"/>
          <w:sz w:val="20"/>
          <w:szCs w:val="20"/>
        </w:rPr>
        <w:t xml:space="preserve">2. DailyObjects — Company &amp; Category Context</w:t>
      </w:r>
    </w:p>
    <w:p>
      <w:pPr>
        <w:spacing w:after="30"/>
      </w:pPr>
      <w:r>
        <w:rPr>
          <w:rFonts w:ascii="Calibri" w:cs="Calibri" w:eastAsia="Calibri" w:hAnsi="Calibri"/>
          <w:color w:val="2B2B2B"/>
          <w:sz w:val="20"/>
          <w:szCs w:val="20"/>
        </w:rPr>
        <w:t xml:space="preserve">3. The Loyalty Landscape &amp; Research Universe</w:t>
      </w:r>
    </w:p>
    <w:p>
      <w:pPr>
        <w:spacing w:after="30"/>
      </w:pPr>
      <w:r>
        <w:rPr>
          <w:rFonts w:ascii="Calibri" w:cs="Calibri" w:eastAsia="Calibri" w:hAnsi="Calibri"/>
          <w:color w:val="2B2B2B"/>
          <w:sz w:val="20"/>
          <w:szCs w:val="20"/>
        </w:rPr>
        <w:t xml:space="preserve">4. Sector Benchmarking — Master Comparison</w:t>
      </w:r>
    </w:p>
    <w:p>
      <w:pPr>
        <w:spacing w:after="30"/>
      </w:pPr>
      <w:r>
        <w:rPr>
          <w:rFonts w:ascii="Calibri" w:cs="Calibri" w:eastAsia="Calibri" w:hAnsi="Calibri"/>
          <w:color w:val="2B2B2B"/>
          <w:sz w:val="20"/>
          <w:szCs w:val="20"/>
        </w:rPr>
        <w:t xml:space="preserve">5. Global Programme Deep-Dives</w:t>
      </w:r>
    </w:p>
    <w:p>
      <w:pPr>
        <w:spacing w:after="30"/>
      </w:pPr>
      <w:r>
        <w:rPr>
          <w:rFonts w:ascii="Calibri" w:cs="Calibri" w:eastAsia="Calibri" w:hAnsi="Calibri"/>
          <w:color w:val="2B2B2B"/>
          <w:sz w:val="20"/>
          <w:szCs w:val="20"/>
        </w:rPr>
        <w:t xml:space="preserve">6. Indian Programmes &amp; Direct Comparables</w:t>
      </w:r>
    </w:p>
    <w:p>
      <w:pPr>
        <w:spacing w:after="30"/>
      </w:pPr>
      <w:r>
        <w:rPr>
          <w:rFonts w:ascii="Calibri" w:cs="Calibri" w:eastAsia="Calibri" w:hAnsi="Calibri"/>
          <w:color w:val="2B2B2B"/>
          <w:sz w:val="20"/>
          <w:szCs w:val="20"/>
        </w:rPr>
        <w:t xml:space="preserve">7. Customer Experience Analysis</w:t>
      </w:r>
    </w:p>
    <w:p>
      <w:pPr>
        <w:spacing w:after="30"/>
      </w:pPr>
      <w:r>
        <w:rPr>
          <w:rFonts w:ascii="Calibri" w:cs="Calibri" w:eastAsia="Calibri" w:hAnsi="Calibri"/>
          <w:color w:val="2B2B2B"/>
          <w:sz w:val="20"/>
          <w:szCs w:val="20"/>
        </w:rPr>
        <w:t xml:space="preserve">8. Business Objectives Behind Loyalty</w:t>
      </w:r>
    </w:p>
    <w:p>
      <w:pPr>
        <w:spacing w:after="30"/>
      </w:pPr>
      <w:r>
        <w:rPr>
          <w:rFonts w:ascii="Calibri" w:cs="Calibri" w:eastAsia="Calibri" w:hAnsi="Calibri"/>
          <w:color w:val="2B2B2B"/>
          <w:sz w:val="20"/>
          <w:szCs w:val="20"/>
        </w:rPr>
        <w:t xml:space="preserve">9. Loyalty Economics</w:t>
      </w:r>
    </w:p>
    <w:p>
      <w:pPr>
        <w:spacing w:after="30"/>
      </w:pPr>
      <w:r>
        <w:rPr>
          <w:rFonts w:ascii="Calibri" w:cs="Calibri" w:eastAsia="Calibri" w:hAnsi="Calibri"/>
          <w:color w:val="2B2B2B"/>
          <w:sz w:val="20"/>
          <w:szCs w:val="20"/>
        </w:rPr>
        <w:t xml:space="preserve">10. Omnichannel Loyalty</w:t>
      </w:r>
    </w:p>
    <w:p>
      <w:pPr>
        <w:spacing w:after="30"/>
      </w:pPr>
      <w:r>
        <w:rPr>
          <w:rFonts w:ascii="Calibri" w:cs="Calibri" w:eastAsia="Calibri" w:hAnsi="Calibri"/>
          <w:color w:val="2B2B2B"/>
          <w:sz w:val="20"/>
          <w:szCs w:val="20"/>
        </w:rPr>
        <w:t xml:space="preserve">11. Failure &amp; Underperformance Case Studies</w:t>
      </w:r>
    </w:p>
    <w:p>
      <w:pPr>
        <w:spacing w:after="30"/>
      </w:pPr>
      <w:r>
        <w:rPr>
          <w:rFonts w:ascii="Calibri" w:cs="Calibri" w:eastAsia="Calibri" w:hAnsi="Calibri"/>
          <w:color w:val="2B2B2B"/>
          <w:sz w:val="20"/>
          <w:szCs w:val="20"/>
        </w:rPr>
        <w:t xml:space="preserve">12. Consumer Psychology of Loyalty</w:t>
      </w:r>
    </w:p>
    <w:p>
      <w:pPr>
        <w:spacing w:after="30"/>
      </w:pPr>
      <w:r>
        <w:rPr>
          <w:rFonts w:ascii="Calibri" w:cs="Calibri" w:eastAsia="Calibri" w:hAnsi="Calibri"/>
          <w:color w:val="2B2B2B"/>
          <w:sz w:val="20"/>
          <w:szCs w:val="20"/>
        </w:rPr>
        <w:t xml:space="preserve">13. What Makes a Great Programme — Design Framework</w:t>
      </w:r>
    </w:p>
    <w:p>
      <w:pPr>
        <w:spacing w:after="30"/>
      </w:pPr>
      <w:r>
        <w:rPr>
          <w:rFonts w:ascii="Calibri" w:cs="Calibri" w:eastAsia="Calibri" w:hAnsi="Calibri"/>
          <w:color w:val="2B2B2B"/>
          <w:sz w:val="20"/>
          <w:szCs w:val="20"/>
        </w:rPr>
        <w:t xml:space="preserve">14. The DailyObjects Opportunity &amp; Whitespace</w:t>
      </w:r>
    </w:p>
    <w:p>
      <w:pPr>
        <w:spacing w:after="30"/>
      </w:pPr>
      <w:r>
        <w:rPr>
          <w:rFonts w:ascii="Calibri" w:cs="Calibri" w:eastAsia="Calibri" w:hAnsi="Calibri"/>
          <w:color w:val="2B2B2B"/>
          <w:sz w:val="20"/>
          <w:szCs w:val="20"/>
        </w:rPr>
        <w:t xml:space="preserve">15. Five Programme Concepts</w:t>
      </w:r>
    </w:p>
    <w:p>
      <w:pPr>
        <w:spacing w:after="30"/>
      </w:pPr>
      <w:r>
        <w:rPr>
          <w:rFonts w:ascii="Calibri" w:cs="Calibri" w:eastAsia="Calibri" w:hAnsi="Calibri"/>
          <w:color w:val="2B2B2B"/>
          <w:sz w:val="20"/>
          <w:szCs w:val="20"/>
        </w:rPr>
        <w:t xml:space="preserve">16. Scoring &amp; Recommendation</w:t>
      </w:r>
    </w:p>
    <w:p>
      <w:pPr>
        <w:spacing w:after="30"/>
      </w:pPr>
      <w:r>
        <w:rPr>
          <w:rFonts w:ascii="Calibri" w:cs="Calibri" w:eastAsia="Calibri" w:hAnsi="Calibri"/>
          <w:color w:val="2B2B2B"/>
          <w:sz w:val="20"/>
          <w:szCs w:val="20"/>
        </w:rPr>
        <w:t xml:space="preserve">17. Benefits Testing Framework</w:t>
      </w:r>
    </w:p>
    <w:p>
      <w:pPr>
        <w:spacing w:after="30"/>
      </w:pPr>
      <w:r>
        <w:rPr>
          <w:rFonts w:ascii="Calibri" w:cs="Calibri" w:eastAsia="Calibri" w:hAnsi="Calibri"/>
          <w:color w:val="2B2B2B"/>
          <w:sz w:val="20"/>
          <w:szCs w:val="20"/>
        </w:rPr>
        <w:t xml:space="preserve">18. Experimentation Roadmap</w:t>
      </w:r>
    </w:p>
    <w:p>
      <w:pPr>
        <w:spacing w:after="30"/>
      </w:pPr>
      <w:r>
        <w:rPr>
          <w:rFonts w:ascii="Calibri" w:cs="Calibri" w:eastAsia="Calibri" w:hAnsi="Calibri"/>
          <w:color w:val="2B2B2B"/>
          <w:sz w:val="20"/>
          <w:szCs w:val="20"/>
        </w:rPr>
        <w:t xml:space="preserve">19. KPI Framework</w:t>
      </w:r>
    </w:p>
    <w:p>
      <w:pPr>
        <w:spacing w:after="30"/>
      </w:pPr>
      <w:r>
        <w:rPr>
          <w:rFonts w:ascii="Calibri" w:cs="Calibri" w:eastAsia="Calibri" w:hAnsi="Calibri"/>
          <w:color w:val="2B2B2B"/>
          <w:sz w:val="20"/>
          <w:szCs w:val="20"/>
        </w:rPr>
        <w:t xml:space="preserve">20. Customer Segmentation</w:t>
      </w:r>
    </w:p>
    <w:p>
      <w:pPr>
        <w:spacing w:after="30"/>
      </w:pPr>
      <w:r>
        <w:rPr>
          <w:rFonts w:ascii="Calibri" w:cs="Calibri" w:eastAsia="Calibri" w:hAnsi="Calibri"/>
          <w:color w:val="2B2B2B"/>
          <w:sz w:val="20"/>
          <w:szCs w:val="20"/>
        </w:rPr>
        <w:t xml:space="preserve">21. Data, Technology, CRM &amp; MoEngage</w:t>
      </w:r>
    </w:p>
    <w:p>
      <w:pPr>
        <w:spacing w:after="30"/>
      </w:pPr>
      <w:r>
        <w:rPr>
          <w:rFonts w:ascii="Calibri" w:cs="Calibri" w:eastAsia="Calibri" w:hAnsi="Calibri"/>
          <w:color w:val="2B2B2B"/>
          <w:sz w:val="20"/>
          <w:szCs w:val="20"/>
        </w:rPr>
        <w:t xml:space="preserve">22. Membership &amp; Refresh Logic</w:t>
      </w:r>
    </w:p>
    <w:p>
      <w:pPr>
        <w:spacing w:after="30"/>
      </w:pPr>
      <w:r>
        <w:rPr>
          <w:rFonts w:ascii="Calibri" w:cs="Calibri" w:eastAsia="Calibri" w:hAnsi="Calibri"/>
          <w:color w:val="2B2B2B"/>
          <w:sz w:val="20"/>
          <w:szCs w:val="20"/>
        </w:rPr>
        <w:t xml:space="preserve">23. Customer Journey Design</w:t>
      </w:r>
    </w:p>
    <w:p>
      <w:pPr>
        <w:spacing w:after="30"/>
      </w:pPr>
      <w:r>
        <w:rPr>
          <w:rFonts w:ascii="Calibri" w:cs="Calibri" w:eastAsia="Calibri" w:hAnsi="Calibri"/>
          <w:color w:val="2B2B2B"/>
          <w:sz w:val="20"/>
          <w:szCs w:val="20"/>
        </w:rPr>
        <w:t xml:space="preserve">24. Final Strategic Recommendation &amp; 24-Month Roadmap</w:t>
      </w:r>
    </w:p>
    <w:p>
      <w:pPr>
        <w:spacing w:after="30"/>
      </w:pPr>
      <w:r>
        <w:rPr>
          <w:rFonts w:ascii="Calibri" w:cs="Calibri" w:eastAsia="Calibri" w:hAnsi="Calibri"/>
          <w:color w:val="2B2B2B"/>
          <w:sz w:val="20"/>
          <w:szCs w:val="20"/>
        </w:rPr>
        <w:t xml:space="preserve">25. Appendix — Sources</w:t>
      </w:r>
    </w:p>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1.  Executive Summary</w:t>
      </w:r>
    </w:p>
    <w:p>
      <w:pPr>
        <w:spacing w:after="120" w:line="276"/>
        <w:jc w:val="both"/>
      </w:pPr>
      <w:r>
        <w:rPr>
          <w:rFonts w:ascii="Calibri" w:cs="Calibri" w:eastAsia="Calibri" w:hAnsi="Calibri"/>
          <w:b/>
          <w:bCs/>
          <w:color w:val="B45F3B"/>
          <w:sz w:val="21"/>
          <w:szCs w:val="21"/>
        </w:rPr>
        <w:t xml:space="preserve">The question. </w:t>
      </w:r>
      <w:r>
        <w:rPr>
          <w:rFonts w:ascii="Calibri" w:cs="Calibri" w:eastAsia="Calibri" w:hAnsi="Calibri"/>
          <w:color w:val="2B2B2B"/>
          <w:sz w:val="21"/>
          <w:szCs w:val="21"/>
        </w:rPr>
        <w:t xml:space="preserve">What should DailyObjects’ loyalty programme look like, why should it exist, what should it achieve for the customer and the business, what benefits should it provide, how should it work across channels, and what should DailyObjects test before scaling it? This document answers that question with evidence from 30+ programmes across nine sectors, direct-comparable accessory brands, failure cases, consumer-psychology research and omnichannel architecture — then converts the learning into a concrete design and roadmap.</w:t>
      </w:r>
    </w:p>
    <w:p>
      <w:pPr>
        <w:pStyle w:val="Heading2"/>
        <w:spacing w:after="90" w:before="240"/>
      </w:pPr>
      <w:r>
        <w:rPr>
          <w:rFonts w:ascii="Calibri" w:cs="Calibri" w:eastAsia="Calibri" w:hAnsi="Calibri"/>
          <w:b/>
          <w:bCs/>
          <w:color w:val="B45F3B"/>
          <w:sz w:val="26"/>
          <w:szCs w:val="26"/>
        </w:rPr>
        <w:t xml:space="preserve">The situation</w:t>
      </w:r>
    </w:p>
    <w:p>
      <w:pPr>
        <w:pStyle w:val="ListParagraph"/>
        <w:numPr>
          <w:ilvl w:val="0"/>
          <w:numId w:val="2"/>
        </w:numPr>
        <w:spacing w:after="60" w:line="268"/>
      </w:pPr>
      <w:r>
        <w:rPr>
          <w:rFonts w:ascii="Calibri" w:cs="Calibri" w:eastAsia="Calibri" w:hAnsi="Calibri"/>
          <w:color w:val="2B2B2B"/>
          <w:sz w:val="21"/>
          <w:szCs w:val="21"/>
        </w:rPr>
        <w:t xml:space="preserve">DailyObjects is a design-led, mass-premium D2C accessories brand (est. 2012) with 2M+ customers, 12M+ products sold, ~₹220 Cr FY26 revenue growing ~100% YoY toward a ₹400 Cr FY27 target, scaling from 13 to 150+ stores and pushing hard on omnichannel.</w:t>
      </w:r>
    </w:p>
    <w:p>
      <w:pPr>
        <w:pStyle w:val="ListParagraph"/>
        <w:numPr>
          <w:ilvl w:val="0"/>
          <w:numId w:val="2"/>
        </w:numPr>
        <w:spacing w:after="60" w:line="268"/>
      </w:pPr>
      <w:r>
        <w:rPr>
          <w:rFonts w:ascii="Calibri" w:cs="Calibri" w:eastAsia="Calibri" w:hAnsi="Calibri"/>
          <w:color w:val="2B2B2B"/>
          <w:sz w:val="21"/>
          <w:szCs w:val="21"/>
        </w:rPr>
        <w:t xml:space="preserve">Its categories — phone cases (acquisition), MagSafe/modular charging (ecosystem lock-in), bags/desk/travel (AOV &amp; cross-category) — are </w:t>
      </w:r>
      <w:r>
        <w:rPr>
          <w:rFonts w:ascii="Calibri" w:cs="Calibri" w:eastAsia="Calibri" w:hAnsi="Calibri"/>
          <w:b/>
          <w:bCs/>
          <w:color w:val="2B2B2B"/>
          <w:sz w:val="21"/>
          <w:szCs w:val="21"/>
        </w:rPr>
        <w:t xml:space="preserve">medium-frequency, identity-driven and highly giftable.</w:t>
      </w:r>
    </w:p>
    <w:p>
      <w:pPr>
        <w:pStyle w:val="ListParagraph"/>
        <w:numPr>
          <w:ilvl w:val="0"/>
          <w:numId w:val="2"/>
        </w:numPr>
        <w:spacing w:after="60" w:line="268"/>
      </w:pPr>
      <w:r>
        <w:rPr>
          <w:rFonts w:ascii="Calibri" w:cs="Calibri" w:eastAsia="Calibri" w:hAnsi="Calibri"/>
          <w:color w:val="2B2B2B"/>
          <w:sz w:val="21"/>
          <w:szCs w:val="21"/>
        </w:rPr>
        <w:t xml:space="preserve">It already runs a flat, voucher-style points programme — functional but undifferentiated, discount-flavoured, with no tiers, status, community or true omnichannel identity.</w:t>
      </w:r>
    </w:p>
    <w:p>
      <w:pPr>
        <w:pStyle w:val="Heading2"/>
        <w:spacing w:after="90" w:before="240"/>
      </w:pPr>
      <w:r>
        <w:rPr>
          <w:rFonts w:ascii="Calibri" w:cs="Calibri" w:eastAsia="Calibri" w:hAnsi="Calibri"/>
          <w:b/>
          <w:bCs/>
          <w:color w:val="B45F3B"/>
          <w:sz w:val="26"/>
          <w:szCs w:val="26"/>
        </w:rPr>
        <w:t xml:space="preserve">What the world’s best programmes teach us</w:t>
      </w:r>
    </w:p>
    <w:p>
      <w:pPr>
        <w:pStyle w:val="ListParagraph"/>
        <w:numPr>
          <w:ilvl w:val="0"/>
          <w:numId w:val="2"/>
        </w:numPr>
        <w:spacing w:after="60" w:line="268"/>
      </w:pPr>
      <w:r>
        <w:rPr>
          <w:rFonts w:ascii="Calibri" w:cs="Calibri" w:eastAsia="Calibri" w:hAnsi="Calibri"/>
          <w:b/>
          <w:bCs/>
          <w:color w:val="2B2B2B"/>
          <w:sz w:val="21"/>
          <w:szCs w:val="21"/>
        </w:rPr>
        <w:t xml:space="preserve">Premium brands win on access, service, gifting, community and status — not discounts. </w:t>
      </w:r>
      <w:r>
        <w:rPr>
          <w:rFonts w:ascii="Calibri" w:cs="Calibri" w:eastAsia="Calibri" w:hAnsi="Calibri"/>
          <w:color w:val="2B2B2B"/>
          <w:sz w:val="21"/>
          <w:szCs w:val="21"/>
        </w:rPr>
        <w:t xml:space="preserve">Diptyque (samples/gifts, zero discounts), Nike &amp; Lululemon (free membership, community, early drops), Sephora (tiered status + a redemption marketplace priced above cash) are the models that fit a design-led brand.</w:t>
      </w:r>
    </w:p>
    <w:p>
      <w:pPr>
        <w:pStyle w:val="ListParagraph"/>
        <w:numPr>
          <w:ilvl w:val="0"/>
          <w:numId w:val="2"/>
        </w:numPr>
        <w:spacing w:after="60" w:line="268"/>
      </w:pPr>
      <w:r>
        <w:rPr>
          <w:rFonts w:ascii="Calibri" w:cs="Calibri" w:eastAsia="Calibri" w:hAnsi="Calibri"/>
          <w:b/>
          <w:bCs/>
          <w:color w:val="2B2B2B"/>
          <w:sz w:val="21"/>
          <w:szCs w:val="21"/>
        </w:rPr>
        <w:t xml:space="preserve">Match mechanics to brand aesthetic </w:t>
      </w:r>
      <w:r>
        <w:rPr>
          <w:rFonts w:ascii="Calibri" w:cs="Calibri" w:eastAsia="Calibri" w:hAnsi="Calibri"/>
          <w:color w:val="2B2B2B"/>
          <w:sz w:val="21"/>
          <w:szCs w:val="21"/>
        </w:rPr>
        <w:t xml:space="preserve">(MUJI’s quiet minimalism vs Starbucks’ loud gamification).</w:t>
      </w:r>
    </w:p>
    <w:p>
      <w:pPr>
        <w:pStyle w:val="ListParagraph"/>
        <w:numPr>
          <w:ilvl w:val="0"/>
          <w:numId w:val="2"/>
        </w:numPr>
        <w:spacing w:after="60" w:line="268"/>
      </w:pPr>
      <w:r>
        <w:rPr>
          <w:rFonts w:ascii="Calibri" w:cs="Calibri" w:eastAsia="Calibri" w:hAnsi="Calibri"/>
          <w:b/>
          <w:bCs/>
          <w:color w:val="2B2B2B"/>
          <w:sz w:val="21"/>
          <w:szCs w:val="21"/>
        </w:rPr>
        <w:t xml:space="preserve">The real prize is first-party data and a direct relationship, </w:t>
      </w:r>
      <w:r>
        <w:rPr>
          <w:rFonts w:ascii="Calibri" w:cs="Calibri" w:eastAsia="Calibri" w:hAnsi="Calibri"/>
          <w:color w:val="2B2B2B"/>
          <w:sz w:val="21"/>
          <w:szCs w:val="21"/>
        </w:rPr>
        <w:t xml:space="preserve">not the points liability (Nike ~400M members; Sephora members = ~80% of transactions).</w:t>
      </w:r>
    </w:p>
    <w:p>
      <w:pPr>
        <w:pStyle w:val="ListParagraph"/>
        <w:numPr>
          <w:ilvl w:val="0"/>
          <w:numId w:val="2"/>
        </w:numPr>
        <w:spacing w:after="60" w:line="268"/>
      </w:pPr>
      <w:r>
        <w:rPr>
          <w:rFonts w:ascii="Calibri" w:cs="Calibri" w:eastAsia="Calibri" w:hAnsi="Calibri"/>
          <w:color w:val="2B2B2B"/>
          <w:sz w:val="21"/>
          <w:szCs w:val="21"/>
        </w:rPr>
        <w:t xml:space="preserve">In India, reward engagement not just spend (Myntra, Decathlon), create calendar moments (Nykaa birthdays), let points buy aspirational product (Tira), and use rolling activity-based expiry (Tata Neu).</w:t>
      </w:r>
    </w:p>
    <w:p>
      <w:pPr>
        <w:pStyle w:val="ListParagraph"/>
        <w:numPr>
          <w:ilvl w:val="0"/>
          <w:numId w:val="2"/>
        </w:numPr>
        <w:spacing w:after="60" w:line="268"/>
      </w:pPr>
      <w:r>
        <w:rPr>
          <w:rFonts w:ascii="Calibri" w:cs="Calibri" w:eastAsia="Calibri" w:hAnsi="Calibri"/>
          <w:b/>
          <w:bCs/>
          <w:color w:val="2B2B2B"/>
          <w:sz w:val="21"/>
          <w:szCs w:val="21"/>
        </w:rPr>
        <w:t xml:space="preserve">The closest in-category proof points are Casetify Club </w:t>
      </w:r>
      <w:r>
        <w:rPr>
          <w:rFonts w:ascii="Calibri" w:cs="Calibri" w:eastAsia="Calibri" w:hAnsi="Calibri"/>
          <w:color w:val="2B2B2B"/>
          <w:sz w:val="21"/>
          <w:szCs w:val="21"/>
        </w:rPr>
        <w:t xml:space="preserve">(tiers + birthday gift + warranty upgrade) and </w:t>
      </w:r>
      <w:r>
        <w:rPr>
          <w:rFonts w:ascii="Calibri" w:cs="Calibri" w:eastAsia="Calibri" w:hAnsi="Calibri"/>
          <w:b/>
          <w:bCs/>
          <w:color w:val="2B2B2B"/>
          <w:sz w:val="21"/>
          <w:szCs w:val="21"/>
        </w:rPr>
        <w:t xml:space="preserve">Mokobara</w:t>
      </w:r>
      <w:r>
        <w:rPr>
          <w:rFonts w:ascii="Calibri" w:cs="Calibri" w:eastAsia="Calibri" w:hAnsi="Calibri"/>
          <w:color w:val="2B2B2B"/>
          <w:sz w:val="21"/>
          <w:szCs w:val="21"/>
        </w:rPr>
        <w:t xml:space="preserve"> (paid tier, sale-proof discount, long warranty, 3x sales from members) — while most global design peers (Bellroy, Peak Design, Nomad, Native Union) run no programme at all. That is DailyObjects’ whitespace.</w:t>
      </w:r>
    </w:p>
    <w:p>
      <w:pPr>
        <w:pStyle w:val="Heading2"/>
        <w:spacing w:after="90" w:before="240"/>
      </w:pPr>
      <w:r>
        <w:rPr>
          <w:rFonts w:ascii="Calibri" w:cs="Calibri" w:eastAsia="Calibri" w:hAnsi="Calibri"/>
          <w:b/>
          <w:bCs/>
          <w:color w:val="B45F3B"/>
          <w:sz w:val="26"/>
          <w:szCs w:val="26"/>
        </w:rPr>
        <w:t xml:space="preserve">What destroys loyalty programmes</w:t>
      </w:r>
    </w:p>
    <w:p>
      <w:pPr>
        <w:pStyle w:val="ListParagraph"/>
        <w:numPr>
          <w:ilvl w:val="0"/>
          <w:numId w:val="2"/>
        </w:numPr>
        <w:spacing w:after="60" w:line="268"/>
      </w:pPr>
      <w:r>
        <w:rPr>
          <w:rFonts w:ascii="Calibri" w:cs="Calibri" w:eastAsia="Calibri" w:hAnsi="Calibri"/>
          <w:color w:val="2B2B2B"/>
          <w:sz w:val="21"/>
          <w:szCs w:val="21"/>
        </w:rPr>
        <w:t xml:space="preserve">Abrupt devaluation without notice (Delta, Tesco, Marriott), engineered breakage/expiry (Air Miles), complexity with no clear value (Plenti), discount addiction (JCPenney), fraud from manual tokens (Subway), and gating rewards behind a credit card (Best Buy). Every one is avoidable with governance discipline.</w:t>
      </w:r>
    </w:p>
    <w:p>
      <w:pPr>
        <w:pStyle w:val="Heading2"/>
        <w:spacing w:after="90" w:before="240"/>
      </w:pPr>
      <w:r>
        <w:rPr>
          <w:rFonts w:ascii="Calibri" w:cs="Calibri" w:eastAsia="Calibri" w:hAnsi="Calibri"/>
          <w:b/>
          <w:bCs/>
          <w:color w:val="B45F3B"/>
          <w:sz w:val="26"/>
          <w:szCs w:val="26"/>
        </w:rPr>
        <w:t xml:space="preserve">The recommendation</w:t>
      </w:r>
    </w:p>
    <w:tbl>
      <w:tblPr>
        <w:tblW w:type="dxa" w:w="9360"/>
        <w:tblBorders>
          <w:top w:val="none"/>
          <w:left w:val="single" w:color="B45F3B" w:sz="24"/>
          <w:bottom w:val="none"/>
          <w:right w:val="none"/>
          <w:insideH w:val="none"/>
          <w:insideV w:val="none"/>
        </w:tblBorders>
      </w:tblPr>
      <w:tblGrid>
        <w:gridCol w:w="9360"/>
      </w:tblGrid>
      <w:tr>
        <w:tc>
          <w:tcPr>
            <w:tcW w:type="dxa" w:w="9360"/>
            <w:shd w:fill="EAF0EF" w:color="auto" w:val="clear"/>
            <w:tcMar>
              <w:top w:type="dxa" w:w="120"/>
              <w:left w:type="dxa" w:w="180"/>
              <w:bottom w:type="dxa" w:w="120"/>
              <w:right w:type="dxa" w:w="160"/>
            </w:tcMar>
          </w:tcPr>
          <w:p>
            <w:pPr>
              <w:spacing w:after="40"/>
            </w:pPr>
            <w:r>
              <w:rPr>
                <w:rFonts w:ascii="Calibri" w:cs="Calibri" w:eastAsia="Calibri" w:hAnsi="Calibri"/>
                <w:b/>
                <w:bCs/>
                <w:color w:val="B45F3B"/>
                <w:sz w:val="20"/>
                <w:szCs w:val="20"/>
              </w:rPr>
              <w:t xml:space="preserve">Launch “DO Circle” — a free, tiered, omnichannel membership built on design identity, ecosystem collection and recognition, not discounts. Add an optional paid “DO+” upgrade later.</w:t>
            </w:r>
          </w:p>
          <w:p>
            <w:pPr>
              <w:spacing w:after="40" w:line="264"/>
            </w:pPr>
            <w:r>
              <w:rPr>
                <w:rFonts w:ascii="Calibri" w:cs="Calibri" w:eastAsia="Calibri" w:hAnsi="Calibri"/>
                <w:color w:val="2B2B2B"/>
                <w:sz w:val="20"/>
                <w:szCs w:val="20"/>
              </w:rPr>
              <w:t xml:space="preserve">Three free tiers — Insider → Icon → Studio — on rolling-12-month qualification, unified on a single phone-number identity across web, app, marketplace and 150 stores.</w:t>
            </w:r>
          </w:p>
          <w:p>
            <w:pPr>
              <w:spacing w:after="40" w:line="264"/>
            </w:pPr>
            <w:r>
              <w:rPr>
                <w:rFonts w:ascii="Calibri" w:cs="Calibri" w:eastAsia="Calibri" w:hAnsi="Calibri"/>
                <w:color w:val="2B2B2B"/>
                <w:sz w:val="20"/>
                <w:szCs w:val="20"/>
              </w:rPr>
              <w:t xml:space="preserve">Earn points on spend (tier-multiplied) plus bonus points for the behaviours that matter: second purchase, cross-category, reviews, referrals, app actions and sustainability/trade-in.</w:t>
            </w:r>
          </w:p>
          <w:p>
            <w:pPr>
              <w:spacing w:after="40" w:line="264"/>
            </w:pPr>
            <w:r>
              <w:rPr>
                <w:rFonts w:ascii="Calibri" w:cs="Calibri" w:eastAsia="Calibri" w:hAnsi="Calibri"/>
                <w:color w:val="2B2B2B"/>
                <w:sz w:val="20"/>
                <w:szCs w:val="20"/>
              </w:rPr>
              <w:t xml:space="preserve">Reward with access and status (early drops, member colourways, birthday gifts, concierge, experiences, “complete-your-Stack” mechanics) — keeping monetary benefits margin-safe (free shipping, points) and leaning on near-zero-marginal-cost recognition.</w:t>
            </w:r>
          </w:p>
          <w:p>
            <w:pPr>
              <w:spacing w:after="40" w:line="264"/>
            </w:pPr>
            <w:r>
              <w:rPr>
                <w:rFonts w:ascii="Calibri" w:cs="Calibri" w:eastAsia="Calibri" w:hAnsi="Calibri"/>
                <w:color w:val="2B2B2B"/>
                <w:sz w:val="20"/>
                <w:szCs w:val="20"/>
              </w:rPr>
              <w:t xml:space="preserve">Measure incrementality with a 5–10% holdout from day one. North-star: incremental contribution margin per enrolled member vs holdout, plus 90-day repeat-rate lift.</w:t>
            </w:r>
          </w:p>
        </w:tc>
      </w:tr>
    </w:tbl>
    <w:p>
      <w:pPr>
        <w:spacing w:after="60"/>
      </w:pPr>
    </w:p>
    <w:p>
      <w:pPr>
        <w:pStyle w:val="Heading2"/>
        <w:spacing w:after="90" w:before="240"/>
      </w:pPr>
      <w:r>
        <w:rPr>
          <w:rFonts w:ascii="Calibri" w:cs="Calibri" w:eastAsia="Calibri" w:hAnsi="Calibri"/>
          <w:b/>
          <w:bCs/>
          <w:color w:val="B45F3B"/>
          <w:sz w:val="26"/>
          <w:szCs w:val="26"/>
        </w:rPr>
        <w:t xml:space="preserve">Why it will work for DailyObjects</w:t>
      </w:r>
    </w:p>
    <w:p>
      <w:pPr>
        <w:spacing w:after="120" w:line="276"/>
        <w:jc w:val="both"/>
      </w:pPr>
      <w:r>
        <w:rPr>
          <w:rFonts w:ascii="Calibri" w:cs="Calibri" w:eastAsia="Calibri" w:hAnsi="Calibri"/>
          <w:color w:val="2B2B2B"/>
          <w:sz w:val="21"/>
          <w:szCs w:val="21"/>
        </w:rPr>
        <w:t xml:space="preserve">It attacks the single biggest value lever — first-to-second-purchase conversion and cross-category expansion — while protecting margin and brand. It is buildable on the existing points base, it turns the 150-store rollout into a first-party-data moat competitors cannot copy, and it is sequenced so DailyObjects learns before it scales. The remainder of this document supplies the evidence, the design detail, the economics, the technology, the segmentation, the journey and the 24-month roadmap.</w:t>
      </w:r>
    </w:p>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2.  DailyObjects — Company &amp; Category Context</w:t>
      </w:r>
    </w:p>
    <w:p>
      <w:pPr>
        <w:spacing w:after="120" w:line="276"/>
        <w:jc w:val="both"/>
      </w:pPr>
      <w:r>
        <w:rPr>
          <w:rFonts w:ascii="Calibri" w:cs="Calibri" w:eastAsia="Calibri" w:hAnsi="Calibri"/>
          <w:color w:val="2B2B2B"/>
          <w:sz w:val="21"/>
          <w:szCs w:val="21"/>
        </w:rPr>
        <w:t xml:space="preserve">Before benchmarking anyone else, we establish who DailyObjects is, what it sells, who buys it, and where loyalty can change behaviour. Facts below are drawn from company statements and reputable Indian business press (see Sources).</w:t>
      </w:r>
    </w:p>
    <w:p>
      <w:pPr>
        <w:pStyle w:val="Heading2"/>
        <w:spacing w:after="90" w:before="240"/>
      </w:pPr>
      <w:r>
        <w:rPr>
          <w:rFonts w:ascii="Calibri" w:cs="Calibri" w:eastAsia="Calibri" w:hAnsi="Calibri"/>
          <w:b/>
          <w:bCs/>
          <w:color w:val="B45F3B"/>
          <w:sz w:val="26"/>
          <w:szCs w:val="26"/>
        </w:rPr>
        <w:t xml:space="preserve">2.1  Company snapshot</w:t>
      </w:r>
    </w:p>
    <w:tbl>
      <w:tblPr>
        <w:tblW w:type="dxa" w:w="9360"/>
        <w:tblBorders>
          <w:top w:val="single" w:color="C9C2BA" w:sz="2"/>
          <w:left w:val="none"/>
          <w:bottom w:val="single" w:color="C9C2BA" w:sz="2"/>
          <w:right w:val="none"/>
          <w:insideH w:val="single" w:color="D9D2CB" w:sz="2"/>
          <w:insideV w:val="none"/>
        </w:tblBorders>
      </w:tblPr>
      <w:tblGrid>
        <w:gridCol w:w="3200"/>
        <w:gridCol w:w="6160"/>
      </w:tblGrid>
      <w:tr>
        <w:trPr>
          <w:tblHeader/>
        </w:trPr>
        <w:tc>
          <w:tcPr>
            <w:tcW w:type="dxa" w:w="32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Dimension</w:t>
            </w:r>
          </w:p>
        </w:tc>
        <w:tc>
          <w:tcPr>
            <w:tcW w:type="dxa" w:w="616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Fact</w:t>
            </w:r>
          </w:p>
        </w:tc>
      </w:tr>
      <w:tr>
        <w:tc>
          <w:tcPr>
            <w:tcW w:type="dxa" w:w="32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Founded</w:t>
            </w:r>
          </w:p>
        </w:tc>
        <w:tc>
          <w:tcPr>
            <w:tcW w:type="dxa" w:w="61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2012, by Saurav Adlakha &amp; Pankaj Garg. HQ Gurugram.</w:t>
            </w:r>
          </w:p>
        </w:tc>
      </w:tr>
      <w:tr>
        <w:tc>
          <w:tcPr>
            <w:tcW w:type="dxa" w:w="32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What it is</w:t>
            </w:r>
          </w:p>
        </w:tc>
        <w:tc>
          <w:tcPr>
            <w:tcW w:type="dxa" w:w="61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Design-led, mass-premium D2C lifestyle &amp; tech-accessories brand — evolved from an inventory-light aggregator into an own-design brand that “sells identity, not just protection.”</w:t>
            </w:r>
          </w:p>
        </w:tc>
      </w:tr>
      <w:tr>
        <w:tc>
          <w:tcPr>
            <w:tcW w:type="dxa" w:w="32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Scale</w:t>
            </w:r>
          </w:p>
        </w:tc>
        <w:tc>
          <w:tcPr>
            <w:tcW w:type="dxa" w:w="61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2M+ customers; 12M+ products sold cumulatively.</w:t>
            </w:r>
          </w:p>
        </w:tc>
      </w:tr>
      <w:tr>
        <w:tc>
          <w:tcPr>
            <w:tcW w:type="dxa" w:w="32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Revenue</w:t>
            </w:r>
          </w:p>
        </w:tc>
        <w:tc>
          <w:tcPr>
            <w:tcW w:type="dxa" w:w="61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~₹83 Cr FY23 (2x YoY, PBT-positive); ~₹220–230 Cr FY26E; ~₹400 Cr FY27 target; ~100% YoY growth; approaching EBITDA profitability.</w:t>
            </w:r>
          </w:p>
        </w:tc>
      </w:tr>
      <w:tr>
        <w:tc>
          <w:tcPr>
            <w:tcW w:type="dxa" w:w="32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Funding</w:t>
            </w:r>
          </w:p>
        </w:tc>
        <w:tc>
          <w:tcPr>
            <w:tcW w:type="dxa" w:w="61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~$10M Series B (2022, led by 360 ONE; Roots Ventures); reportedly pursuing ₹100–150 Cr.</w:t>
            </w:r>
          </w:p>
        </w:tc>
      </w:tr>
      <w:tr>
        <w:tc>
          <w:tcPr>
            <w:tcW w:type="dxa" w:w="32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Make-in-India</w:t>
            </w:r>
          </w:p>
        </w:tc>
        <w:tc>
          <w:tcPr>
            <w:tcW w:type="dxa" w:w="61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~80% designed &amp; made in India; 1,000+ artisans and ~30 partner MSMEs; 100% plastic-free packaging.</w:t>
            </w:r>
          </w:p>
        </w:tc>
      </w:tr>
      <w:tr>
        <w:tc>
          <w:tcPr>
            <w:tcW w:type="dxa" w:w="32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Offline</w:t>
            </w:r>
          </w:p>
        </w:tc>
        <w:tc>
          <w:tcPr>
            <w:tcW w:type="dxa" w:w="61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13 EBOs today → 30–35 opening this year → 150–160 stores in 5 years; malls, airports, tech hubs; every store profitable from month one; in talks with Apple partner stores. Offline forecast at 40–50% of revenue.</w:t>
            </w:r>
          </w:p>
        </w:tc>
      </w:tr>
      <w:tr>
        <w:tc>
          <w:tcPr>
            <w:tcW w:type="dxa" w:w="32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Channels</w:t>
            </w:r>
          </w:p>
        </w:tc>
        <w:tc>
          <w:tcPr>
            <w:tcW w:type="dxa" w:w="61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Own website, own iOS/Android app (early access &amp; exclusive drops), Amazon.in, US site, growing EBO network. Omnichannel is the stated priority.</w:t>
            </w:r>
          </w:p>
        </w:tc>
      </w:tr>
    </w:tbl>
    <w:p>
      <w:pPr>
        <w:spacing w:after="80"/>
      </w:pPr>
    </w:p>
    <w:p>
      <w:pPr>
        <w:pStyle w:val="Heading2"/>
        <w:spacing w:after="90" w:before="240"/>
      </w:pPr>
      <w:r>
        <w:rPr>
          <w:rFonts w:ascii="Calibri" w:cs="Calibri" w:eastAsia="Calibri" w:hAnsi="Calibri"/>
          <w:b/>
          <w:bCs/>
          <w:color w:val="B45F3B"/>
          <w:sz w:val="26"/>
          <w:szCs w:val="26"/>
        </w:rPr>
        <w:t xml:space="preserve">2.2  Brand &amp; positioning</w:t>
      </w:r>
    </w:p>
    <w:p>
      <w:pPr>
        <w:pStyle w:val="ListParagraph"/>
        <w:numPr>
          <w:ilvl w:val="0"/>
          <w:numId w:val="2"/>
        </w:numPr>
        <w:spacing w:after="60" w:line="268"/>
      </w:pPr>
      <w:r>
        <w:rPr>
          <w:rFonts w:ascii="Calibri" w:cs="Calibri" w:eastAsia="Calibri" w:hAnsi="Calibri"/>
          <w:b/>
          <w:bCs/>
          <w:color w:val="2B2B2B"/>
          <w:sz w:val="21"/>
          <w:szCs w:val="21"/>
        </w:rPr>
        <w:t xml:space="preserve">Positioning: </w:t>
      </w:r>
      <w:r>
        <w:rPr>
          <w:rFonts w:ascii="Calibri" w:cs="Calibri" w:eastAsia="Calibri" w:hAnsi="Calibri"/>
          <w:color w:val="2B2B2B"/>
          <w:sz w:val="21"/>
          <w:szCs w:val="21"/>
        </w:rPr>
        <w:t xml:space="preserve">design-led, mass-premium — above commodity marketplace accessories, below global luxury.</w:t>
      </w:r>
    </w:p>
    <w:p>
      <w:pPr>
        <w:pStyle w:val="ListParagraph"/>
        <w:numPr>
          <w:ilvl w:val="0"/>
          <w:numId w:val="2"/>
        </w:numPr>
        <w:spacing w:after="60" w:line="268"/>
      </w:pPr>
      <w:r>
        <w:rPr>
          <w:rFonts w:ascii="Calibri" w:cs="Calibri" w:eastAsia="Calibri" w:hAnsi="Calibri"/>
          <w:b/>
          <w:bCs/>
          <w:color w:val="2B2B2B"/>
          <w:sz w:val="21"/>
          <w:szCs w:val="21"/>
        </w:rPr>
        <w:t xml:space="preserve">Personality: </w:t>
      </w:r>
      <w:r>
        <w:rPr>
          <w:rFonts w:ascii="Calibri" w:cs="Calibri" w:eastAsia="Calibri" w:hAnsi="Calibri"/>
          <w:color w:val="2B2B2B"/>
          <w:sz w:val="21"/>
          <w:szCs w:val="21"/>
        </w:rPr>
        <w:t xml:space="preserve">modern, minimalist, design-forward, aspirational-yet-attainable, made-in-India pride, sustainability-conscious.</w:t>
      </w:r>
    </w:p>
    <w:p>
      <w:pPr>
        <w:pStyle w:val="ListParagraph"/>
        <w:numPr>
          <w:ilvl w:val="0"/>
          <w:numId w:val="2"/>
        </w:numPr>
        <w:spacing w:after="60" w:line="268"/>
      </w:pPr>
      <w:r>
        <w:rPr>
          <w:rFonts w:ascii="Calibri" w:cs="Calibri" w:eastAsia="Calibri" w:hAnsi="Calibri"/>
          <w:b/>
          <w:bCs/>
          <w:color w:val="2B2B2B"/>
          <w:sz w:val="21"/>
          <w:szCs w:val="21"/>
        </w:rPr>
        <w:t xml:space="preserve">Price bands (indicative): </w:t>
      </w:r>
      <w:r>
        <w:rPr>
          <w:rFonts w:ascii="Calibri" w:cs="Calibri" w:eastAsia="Calibri" w:hAnsi="Calibri"/>
          <w:color w:val="2B2B2B"/>
          <w:sz w:val="21"/>
          <w:szCs w:val="21"/>
        </w:rPr>
        <w:t xml:space="preserve">cases ₹700–1,700; bags/backpacks ₹2,000–6,000; charging/tech ₹1,500–5,000.</w:t>
      </w:r>
    </w:p>
    <w:p>
      <w:pPr>
        <w:pStyle w:val="ListParagraph"/>
        <w:numPr>
          <w:ilvl w:val="0"/>
          <w:numId w:val="2"/>
        </w:numPr>
        <w:spacing w:after="60" w:line="268"/>
      </w:pPr>
      <w:r>
        <w:rPr>
          <w:rFonts w:ascii="Calibri" w:cs="Calibri" w:eastAsia="Calibri" w:hAnsi="Calibri"/>
          <w:b/>
          <w:bCs/>
          <w:color w:val="2B2B2B"/>
          <w:sz w:val="21"/>
          <w:szCs w:val="21"/>
        </w:rPr>
        <w:t xml:space="preserve">Differentiation: </w:t>
      </w:r>
      <w:r>
        <w:rPr>
          <w:rFonts w:ascii="Calibri" w:cs="Calibri" w:eastAsia="Calibri" w:hAnsi="Calibri"/>
          <w:color w:val="2B2B2B"/>
          <w:sz w:val="21"/>
          <w:szCs w:val="21"/>
        </w:rPr>
        <w:t xml:space="preserve">(1) proprietary design + 800+ case options + deep customisation; (2) proprietary modular MagSafe “Stack” ecosystem; (3) made-in-India craftsmanship + plastic-free story; (4) breadth across tech + bags + desk + travel.</w:t>
      </w:r>
    </w:p>
    <w:p>
      <w:pPr>
        <w:pStyle w:val="ListParagraph"/>
        <w:numPr>
          <w:ilvl w:val="0"/>
          <w:numId w:val="2"/>
        </w:numPr>
        <w:spacing w:after="60" w:line="268"/>
      </w:pPr>
      <w:r>
        <w:rPr>
          <w:rFonts w:ascii="Calibri" w:cs="Calibri" w:eastAsia="Calibri" w:hAnsi="Calibri"/>
          <w:b/>
          <w:bCs/>
          <w:color w:val="2B2B2B"/>
          <w:sz w:val="21"/>
          <w:szCs w:val="21"/>
        </w:rPr>
        <w:t xml:space="preserve">Segments (company-stated): </w:t>
      </w:r>
      <w:r>
        <w:rPr>
          <w:rFonts w:ascii="Calibri" w:cs="Calibri" w:eastAsia="Calibri" w:hAnsi="Calibri"/>
          <w:color w:val="2B2B2B"/>
          <w:sz w:val="21"/>
          <w:szCs w:val="21"/>
        </w:rPr>
        <w:t xml:space="preserve">Tech Enthusiasts, Urban Minimalists, Creative Professionals — plus hybrid professionals and Gen Z sustainability seekers. Core = Millennials + Gen Z, metro/tier-1, premium-smartphone (iPhone-skewed), aesthetics-driven.</w:t>
      </w:r>
    </w:p>
    <w:p>
      <w:pPr>
        <w:pStyle w:val="ListParagraph"/>
        <w:numPr>
          <w:ilvl w:val="0"/>
          <w:numId w:val="2"/>
        </w:numPr>
        <w:spacing w:after="60" w:line="268"/>
      </w:pPr>
      <w:r>
        <w:rPr>
          <w:rFonts w:ascii="Calibri" w:cs="Calibri" w:eastAsia="Calibri" w:hAnsi="Calibri"/>
          <w:b/>
          <w:bCs/>
          <w:color w:val="2B2B2B"/>
          <w:sz w:val="21"/>
          <w:szCs w:val="21"/>
        </w:rPr>
        <w:t xml:space="preserve">Occasions: </w:t>
      </w:r>
      <w:r>
        <w:rPr>
          <w:rFonts w:ascii="Calibri" w:cs="Calibri" w:eastAsia="Calibri" w:hAnsi="Calibri"/>
          <w:color w:val="2B2B2B"/>
          <w:sz w:val="21"/>
          <w:szCs w:val="21"/>
        </w:rPr>
        <w:t xml:space="preserve">self-expression, device protection &amp; upgrade companion, work/commute, travel — and gifting (giftable price points, personalisation, premium packaging).</w:t>
      </w:r>
    </w:p>
    <w:p>
      <w:pPr>
        <w:pStyle w:val="Heading2"/>
        <w:spacing w:after="90" w:before="240"/>
      </w:pPr>
      <w:r>
        <w:rPr>
          <w:rFonts w:ascii="Calibri" w:cs="Calibri" w:eastAsia="Calibri" w:hAnsi="Calibri"/>
          <w:b/>
          <w:bCs/>
          <w:color w:val="B45F3B"/>
          <w:sz w:val="26"/>
          <w:szCs w:val="26"/>
        </w:rPr>
        <w:t xml:space="preserve">2.3  Category economics &amp; their role in loyalty</w:t>
      </w:r>
    </w:p>
    <w:tbl>
      <w:tblPr>
        <w:tblW w:type="dxa" w:w="9360"/>
        <w:tblBorders>
          <w:top w:val="single" w:color="C9C2BA" w:sz="2"/>
          <w:left w:val="none"/>
          <w:bottom w:val="single" w:color="C9C2BA" w:sz="2"/>
          <w:right w:val="none"/>
          <w:insideH w:val="single" w:color="D9D2CB" w:sz="2"/>
          <w:insideV w:val="none"/>
        </w:tblBorders>
      </w:tblPr>
      <w:tblGrid>
        <w:gridCol w:w="2500"/>
        <w:gridCol w:w="1500"/>
        <w:gridCol w:w="2400"/>
        <w:gridCol w:w="2960"/>
      </w:tblGrid>
      <w:tr>
        <w:trPr>
          <w:tblHeader/>
        </w:trPr>
        <w:tc>
          <w:tcPr>
            <w:tcW w:type="dxa" w:w="25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Category</w:t>
            </w:r>
          </w:p>
        </w:tc>
        <w:tc>
          <w:tcPr>
            <w:tcW w:type="dxa" w:w="15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Cycle</w:t>
            </w:r>
          </w:p>
        </w:tc>
        <w:tc>
          <w:tcPr>
            <w:tcW w:type="dxa" w:w="24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Role</w:t>
            </w:r>
          </w:p>
        </w:tc>
        <w:tc>
          <w:tcPr>
            <w:tcW w:type="dxa" w:w="296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Loyalty lever</w:t>
            </w:r>
          </w:p>
        </w:tc>
      </w:tr>
      <w:tr>
        <w:tc>
          <w:tcPr>
            <w:tcW w:type="dxa" w:w="2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Phone cases (incl. custom)</w:t>
            </w:r>
          </w:p>
        </w:tc>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High</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Acquisition + repeat</w:t>
            </w:r>
          </w:p>
        </w:tc>
        <w:tc>
          <w:tcPr>
            <w:tcW w:type="dxa" w:w="29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Anchor; season drops, launch early access, trade-in</w:t>
            </w:r>
          </w:p>
        </w:tc>
      </w:tr>
      <w:tr>
        <w:tc>
          <w:tcPr>
            <w:tcW w:type="dxa" w:w="2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MagSafe / modular (Stack)</w:t>
            </w:r>
          </w:p>
        </w:tc>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Medium</w:t>
            </w:r>
          </w:p>
        </w:tc>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Repeat + cross-sell + lock-in</w:t>
            </w:r>
          </w:p>
        </w:tc>
        <w:tc>
          <w:tcPr>
            <w:tcW w:type="dxa" w:w="29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“Complete your Stack” collection mechanic</w:t>
            </w:r>
          </w:p>
        </w:tc>
      </w:tr>
      <w:tr>
        <w:tc>
          <w:tcPr>
            <w:tcW w:type="dxa" w:w="2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Chargers / power banks</w:t>
            </w:r>
          </w:p>
        </w:tc>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Medium</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Repeat</w:t>
            </w:r>
          </w:p>
        </w:tc>
        <w:tc>
          <w:tcPr>
            <w:tcW w:type="dxa" w:w="29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Replenishment nudges</w:t>
            </w:r>
          </w:p>
        </w:tc>
      </w:tr>
      <w:tr>
        <w:tc>
          <w:tcPr>
            <w:tcW w:type="dxa" w:w="2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Bags / backpacks / sleeves</w:t>
            </w:r>
          </w:p>
        </w:tc>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Low–Med</w:t>
            </w:r>
          </w:p>
        </w:tc>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AOV + cross-category</w:t>
            </w:r>
          </w:p>
        </w:tc>
        <w:tc>
          <w:tcPr>
            <w:tcW w:type="dxa" w:w="29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Higher-tier unlocks; considered purchase</w:t>
            </w:r>
          </w:p>
        </w:tc>
      </w:tr>
      <w:tr>
        <w:tc>
          <w:tcPr>
            <w:tcW w:type="dxa" w:w="2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Wallets / card holders</w:t>
            </w:r>
          </w:p>
        </w:tc>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Low–Med</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Cross-sell + gifting</w:t>
            </w:r>
          </w:p>
        </w:tc>
        <w:tc>
          <w:tcPr>
            <w:tcW w:type="dxa" w:w="29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Bundles, gifting</w:t>
            </w:r>
          </w:p>
        </w:tc>
      </w:tr>
      <w:tr>
        <w:tc>
          <w:tcPr>
            <w:tcW w:type="dxa" w:w="2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Watch bands</w:t>
            </w:r>
          </w:p>
        </w:tc>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Medium</w:t>
            </w:r>
          </w:p>
        </w:tc>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Repeat + collection</w:t>
            </w:r>
          </w:p>
        </w:tc>
        <w:tc>
          <w:tcPr>
            <w:tcW w:type="dxa" w:w="29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Design drops</w:t>
            </w:r>
          </w:p>
        </w:tc>
      </w:tr>
      <w:tr>
        <w:tc>
          <w:tcPr>
            <w:tcW w:type="dxa" w:w="2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Desk / work / stationery</w:t>
            </w:r>
          </w:p>
        </w:tc>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Low</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Cross-category</w:t>
            </w:r>
          </w:p>
        </w:tc>
        <w:tc>
          <w:tcPr>
            <w:tcW w:type="dxa" w:w="29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Lifestyle expansion</w:t>
            </w:r>
          </w:p>
        </w:tc>
      </w:tr>
      <w:tr>
        <w:tc>
          <w:tcPr>
            <w:tcW w:type="dxa" w:w="2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Travel organisers</w:t>
            </w:r>
          </w:p>
        </w:tc>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Low</w:t>
            </w:r>
          </w:p>
        </w:tc>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AOV + occasion</w:t>
            </w:r>
          </w:p>
        </w:tc>
        <w:tc>
          <w:tcPr>
            <w:tcW w:type="dxa" w:w="29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Seasonal</w:t>
            </w:r>
          </w:p>
        </w:tc>
      </w:tr>
    </w:tbl>
    <w:p>
      <w:pPr>
        <w:spacing w:after="60"/>
      </w:pPr>
    </w:p>
    <w:tbl>
      <w:tblPr>
        <w:tblW w:type="dxa" w:w="9360"/>
        <w:tblBorders>
          <w:top w:val="none"/>
          <w:left w:val="single" w:color="2C6E6B" w:sz="24"/>
          <w:bottom w:val="none"/>
          <w:right w:val="none"/>
          <w:insideH w:val="none"/>
          <w:insideV w:val="none"/>
        </w:tblBorders>
      </w:tblPr>
      <w:tblGrid>
        <w:gridCol w:w="9360"/>
      </w:tblGrid>
      <w:tr>
        <w:tc>
          <w:tcPr>
            <w:tcW w:type="dxa" w:w="9360"/>
            <w:shd w:fill="EAF0EF" w:color="auto" w:val="clear"/>
            <w:tcMar>
              <w:top w:type="dxa" w:w="120"/>
              <w:left w:type="dxa" w:w="180"/>
              <w:bottom w:type="dxa" w:w="120"/>
              <w:right w:type="dxa" w:w="160"/>
            </w:tcMar>
          </w:tcPr>
          <w:p>
            <w:pPr>
              <w:spacing w:after="40"/>
            </w:pPr>
            <w:r>
              <w:rPr>
                <w:rFonts w:ascii="Calibri" w:cs="Calibri" w:eastAsia="Calibri" w:hAnsi="Calibri"/>
                <w:b/>
                <w:bCs/>
                <w:color w:val="2C6E6B"/>
                <w:sz w:val="20"/>
                <w:szCs w:val="20"/>
              </w:rPr>
              <w:t xml:space="preserve">Category insight</w:t>
            </w:r>
          </w:p>
          <w:p>
            <w:pPr>
              <w:spacing w:after="40" w:line="264"/>
            </w:pPr>
            <w:r>
              <w:rPr>
                <w:rFonts w:ascii="Calibri" w:cs="Calibri" w:eastAsia="Calibri" w:hAnsi="Calibri"/>
                <w:color w:val="2B2B2B"/>
                <w:sz w:val="20"/>
                <w:szCs w:val="20"/>
              </w:rPr>
              <w:t xml:space="preserve">Phone cases create the habit and the acquisition; MagSafe/charging create the ecosystem lock-in; bags/desk/travel create the AOV and cross-category ceiling; gifting is a repeat-purchase multiplier. A loyalty programme must move a case-buyer into the ecosystem and across categories.</w:t>
            </w:r>
          </w:p>
        </w:tc>
      </w:tr>
    </w:tbl>
    <w:p>
      <w:pPr>
        <w:spacing w:after="60"/>
      </w:pPr>
    </w:p>
    <w:p>
      <w:pPr>
        <w:pStyle w:val="Heading2"/>
        <w:spacing w:after="90" w:before="240"/>
      </w:pPr>
      <w:r>
        <w:rPr>
          <w:rFonts w:ascii="Calibri" w:cs="Calibri" w:eastAsia="Calibri" w:hAnsi="Calibri"/>
          <w:b/>
          <w:bCs/>
          <w:color w:val="B45F3B"/>
          <w:sz w:val="26"/>
          <w:szCs w:val="26"/>
        </w:rPr>
        <w:t xml:space="preserve">2.4  Customer journey &amp; where loyalty can intervene</w:t>
      </w:r>
    </w:p>
    <w:p>
      <w:pPr>
        <w:spacing w:after="120" w:line="276"/>
        <w:jc w:val="both"/>
      </w:pPr>
      <w:r>
        <w:rPr>
          <w:rFonts w:ascii="Calibri" w:cs="Calibri" w:eastAsia="Calibri" w:hAnsi="Calibri"/>
          <w:color w:val="2B2B2B"/>
          <w:sz w:val="21"/>
          <w:szCs w:val="21"/>
        </w:rPr>
        <w:t xml:space="preserve">Acquisition (often a case, gift, or marketplace order) → first purchase → product experience (quality + packaging = the first “reward”) → </w:t>
      </w:r>
      <w:r>
        <w:rPr>
          <w:rFonts w:ascii="Calibri" w:cs="Calibri" w:eastAsia="Calibri" w:hAnsi="Calibri"/>
          <w:b/>
          <w:bCs/>
          <w:color w:val="2B2B2B"/>
          <w:sz w:val="21"/>
          <w:szCs w:val="21"/>
        </w:rPr>
        <w:t xml:space="preserve">second purchase (the biggest drop-off and the critical intervention)</w:t>
      </w:r>
      <w:r>
        <w:rPr>
          <w:rFonts w:ascii="Calibri" w:cs="Calibri" w:eastAsia="Calibri" w:hAnsi="Calibri"/>
          <w:color w:val="2B2B2B"/>
          <w:sz w:val="21"/>
          <w:szCs w:val="21"/>
        </w:rPr>
        <w:t xml:space="preserve"> → cross-category (case → charging → bag) → repeat → high-value → loyal → advocate.</w:t>
      </w:r>
    </w:p>
    <w:p>
      <w:pPr>
        <w:spacing w:after="120" w:line="276"/>
        <w:jc w:val="both"/>
      </w:pPr>
      <w:r>
        <w:rPr>
          <w:rFonts w:ascii="Calibri" w:cs="Calibri" w:eastAsia="Calibri" w:hAnsi="Calibri"/>
          <w:b/>
          <w:bCs/>
          <w:color w:val="2B2B2B"/>
          <w:sz w:val="21"/>
          <w:szCs w:val="21"/>
        </w:rPr>
        <w:t xml:space="preserve">Highest-leverage loyalty moments: </w:t>
      </w:r>
      <w:r>
        <w:rPr>
          <w:rFonts w:ascii="Calibri" w:cs="Calibri" w:eastAsia="Calibri" w:hAnsi="Calibri"/>
          <w:color w:val="2B2B2B"/>
          <w:sz w:val="21"/>
          <w:szCs w:val="21"/>
        </w:rPr>
        <w:t xml:space="preserve">(a) first → second purchase; (b) case-buyer → ecosystem/cross-category; (c) the new-phone-launch window (a large, predictable accessory spike); (d) reactivation of dormant single-case buyers; (e) turning designers/creatives into advocates.</w:t>
      </w:r>
    </w:p>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3.  The Loyalty Landscape &amp; Research Universe</w:t>
      </w:r>
    </w:p>
    <w:p>
      <w:pPr>
        <w:spacing w:after="120" w:line="276"/>
        <w:jc w:val="both"/>
      </w:pPr>
      <w:r>
        <w:rPr>
          <w:rFonts w:ascii="Calibri" w:cs="Calibri" w:eastAsia="Calibri" w:hAnsi="Calibri"/>
          <w:color w:val="2B2B2B"/>
          <w:sz w:val="21"/>
          <w:szCs w:val="21"/>
        </w:rPr>
        <w:t xml:space="preserve">We deliberately researched beyond retail, across nine sectors, to separate mechanics that are universal from those that are category-specific. The universe below spans premium beauty, fashion/lifestyle, premium/luxury, habitual F&amp;B, travel/hospitality, financial services, e-commerce platforms, sports/community, and — most importantly for DailyObjects — accessories/tech/lifestyle.</w:t>
      </w:r>
    </w:p>
    <w:tbl>
      <w:tblPr>
        <w:tblW w:type="dxa" w:w="9360"/>
        <w:tblBorders>
          <w:top w:val="single" w:color="C9C2BA" w:sz="2"/>
          <w:left w:val="none"/>
          <w:bottom w:val="single" w:color="C9C2BA" w:sz="2"/>
          <w:right w:val="none"/>
          <w:insideH w:val="single" w:color="D9D2CB" w:sz="2"/>
          <w:insideV w:val="none"/>
        </w:tblBorders>
      </w:tblPr>
      <w:tblGrid>
        <w:gridCol w:w="2100"/>
        <w:gridCol w:w="7260"/>
      </w:tblGrid>
      <w:tr>
        <w:trPr>
          <w:tblHeader/>
        </w:trPr>
        <w:tc>
          <w:tcPr>
            <w:tcW w:type="dxa" w:w="21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Sector</w:t>
            </w:r>
          </w:p>
        </w:tc>
        <w:tc>
          <w:tcPr>
            <w:tcW w:type="dxa" w:w="726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Why it matters for DailyObjects</w:t>
            </w:r>
          </w:p>
        </w:tc>
      </w:tr>
      <w:tr>
        <w:tc>
          <w:tcPr>
            <w:tcW w:type="dxa" w:w="2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 Premium beauty</w:t>
            </w:r>
          </w:p>
        </w:tc>
        <w:tc>
          <w:tcPr>
            <w:tcW w:type="dxa" w:w="72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Sephora, Ulta — tiered status + redemption-marketplace economics; community; high loyalty penetration of sales.</w:t>
            </w:r>
          </w:p>
        </w:tc>
      </w:tr>
      <w:tr>
        <w:tc>
          <w:tcPr>
            <w:tcW w:type="dxa" w:w="21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 Fashion / lifestyle</w:t>
            </w:r>
          </w:p>
        </w:tc>
        <w:tc>
          <w:tcPr>
            <w:tcW w:type="dxa" w:w="72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Nike, Lululemon, H&amp;M — free membership, community, early drops, service benefits, sustainability earn.</w:t>
            </w:r>
          </w:p>
        </w:tc>
      </w:tr>
      <w:tr>
        <w:tc>
          <w:tcPr>
            <w:tcW w:type="dxa" w:w="2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 Premium / luxury</w:t>
            </w:r>
          </w:p>
        </w:tc>
        <w:tc>
          <w:tcPr>
            <w:tcW w:type="dxa" w:w="72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Diptyque, MUJI — loyalty without discounting; match mechanics to brand aesthetic.</w:t>
            </w:r>
          </w:p>
        </w:tc>
      </w:tr>
      <w:tr>
        <w:tc>
          <w:tcPr>
            <w:tcW w:type="dxa" w:w="21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 Habitual F&amp;B</w:t>
            </w:r>
          </w:p>
        </w:tc>
        <w:tc>
          <w:tcPr>
            <w:tcW w:type="dxa" w:w="72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Starbucks — gamification, app-led ordering, stored-value float &amp; breakage; also a devaluation cautionary tale.</w:t>
            </w:r>
          </w:p>
        </w:tc>
      </w:tr>
      <w:tr>
        <w:tc>
          <w:tcPr>
            <w:tcW w:type="dxa" w:w="2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 Travel / hospitality</w:t>
            </w:r>
          </w:p>
        </w:tc>
        <w:tc>
          <w:tcPr>
            <w:tcW w:type="dxa" w:w="72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Marriott Bonvoy — status tiers, experiential rewards (Moments), partnerships, aspirational “chase.”</w:t>
            </w:r>
          </w:p>
        </w:tc>
      </w:tr>
      <w:tr>
        <w:tc>
          <w:tcPr>
            <w:tcW w:type="dxa" w:w="21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 Financial services</w:t>
            </w:r>
          </w:p>
        </w:tc>
        <w:tc>
          <w:tcPr>
            <w:tcW w:type="dxa" w:w="72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Amex Platinum — premium paid membership, “use-it-or-lose-it” credit stack, engineered engagement, lock-in.</w:t>
            </w:r>
          </w:p>
        </w:tc>
      </w:tr>
      <w:tr>
        <w:tc>
          <w:tcPr>
            <w:tcW w:type="dxa" w:w="2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G. E-commerce platforms</w:t>
            </w:r>
          </w:p>
        </w:tc>
        <w:tc>
          <w:tcPr>
            <w:tcW w:type="dxa" w:w="72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Amazon Prime, Flipkart, Myntra, Tata Neu — paid vs free, convenience, coalition currency, engagement earning.</w:t>
            </w:r>
          </w:p>
        </w:tc>
      </w:tr>
      <w:tr>
        <w:tc>
          <w:tcPr>
            <w:tcW w:type="dxa" w:w="21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H. Sports / community</w:t>
            </w:r>
          </w:p>
        </w:tc>
        <w:tc>
          <w:tcPr>
            <w:tcW w:type="dxa" w:w="72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Nike Run Club, Strava-style — non-transactional identity, content, belonging.</w:t>
            </w:r>
          </w:p>
        </w:tc>
      </w:tr>
      <w:tr>
        <w:tc>
          <w:tcPr>
            <w:tcW w:type="dxa" w:w="2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I. Accessories / tech / lifestyle</w:t>
            </w:r>
          </w:p>
        </w:tc>
        <w:tc>
          <w:tcPr>
            <w:tcW w:type="dxa" w:w="72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Casetify, Mokobara, Anker, Bewakoof, Nomad, Bellroy, Peak Design + 10 more — the direct comparable set.</w:t>
            </w:r>
          </w:p>
        </w:tc>
      </w:tr>
    </w:tbl>
    <w:p>
      <w:pPr>
        <w:spacing w:after="60"/>
      </w:pPr>
    </w:p>
    <w:p>
      <w:pPr>
        <w:spacing w:after="120" w:line="276"/>
        <w:jc w:val="both"/>
      </w:pPr>
      <w:r>
        <w:rPr>
          <w:rFonts w:ascii="Calibri" w:cs="Calibri" w:eastAsia="Calibri" w:hAnsi="Calibri"/>
          <w:b/>
          <w:bCs/>
          <w:color w:val="2B2B2B"/>
          <w:sz w:val="21"/>
          <w:szCs w:val="21"/>
        </w:rPr>
        <w:t xml:space="preserve">Reading guide: </w:t>
      </w:r>
      <w:r>
        <w:rPr>
          <w:rFonts w:ascii="Calibri" w:cs="Calibri" w:eastAsia="Calibri" w:hAnsi="Calibri"/>
          <w:color w:val="2B2B2B"/>
          <w:sz w:val="21"/>
          <w:szCs w:val="21"/>
        </w:rPr>
        <w:t xml:space="preserve">Sections 4–6 present the comparison table and the deep-dives; Sections 7–10 analyse experience, objectives, economics and omnichannel across programmes; Sections 11–12 cover failure and psychology; Section 13 synthesises the design principles that carry into the DailyObjects design from Section 14 onward.</w:t>
      </w:r>
    </w:p>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4.  Sector Benchmarking — Master Comparison</w:t>
      </w:r>
    </w:p>
    <w:p>
      <w:pPr>
        <w:spacing w:after="120" w:line="276"/>
        <w:jc w:val="both"/>
      </w:pPr>
      <w:r>
        <w:rPr>
          <w:rFonts w:ascii="Calibri" w:cs="Calibri" w:eastAsia="Calibri" w:hAnsi="Calibri"/>
          <w:color w:val="2B2B2B"/>
          <w:sz w:val="21"/>
          <w:szCs w:val="21"/>
        </w:rPr>
        <w:t xml:space="preserve">30 programmes, standardised. Y = yes / strong, ~ = partial / light, N = no. “Diff.” = primary differentiator. This is the map; Sections 5–6 are the territory.</w:t>
      </w:r>
    </w:p>
    <w:tbl>
      <w:tblPr>
        <w:tblW w:type="dxa" w:w="9360"/>
        <w:tblBorders>
          <w:top w:val="single" w:color="C9C2BA" w:sz="2"/>
          <w:left w:val="none"/>
          <w:bottom w:val="single" w:color="C9C2BA" w:sz="2"/>
          <w:right w:val="none"/>
          <w:insideH w:val="single" w:color="D9D2CB" w:sz="2"/>
          <w:insideV w:val="none"/>
        </w:tblBorders>
      </w:tblPr>
      <w:tblGrid>
        <w:gridCol w:w="1500"/>
        <w:gridCol w:w="1050"/>
        <w:gridCol w:w="720"/>
        <w:gridCol w:w="620"/>
        <w:gridCol w:w="640"/>
        <w:gridCol w:w="620"/>
        <w:gridCol w:w="700"/>
        <w:gridCol w:w="700"/>
        <w:gridCol w:w="2810"/>
      </w:tblGrid>
      <w:tr>
        <w:trPr>
          <w:tblHeader/>
        </w:trPr>
        <w:tc>
          <w:tcPr>
            <w:tcW w:type="dxa" w:w="15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Brand</w:t>
            </w:r>
          </w:p>
        </w:tc>
        <w:tc>
          <w:tcPr>
            <w:tcW w:type="dxa" w:w="105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Sector</w:t>
            </w:r>
          </w:p>
        </w:tc>
        <w:tc>
          <w:tcPr>
            <w:tcW w:type="dxa" w:w="72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Pay</w:t>
            </w:r>
          </w:p>
        </w:tc>
        <w:tc>
          <w:tcPr>
            <w:tcW w:type="dxa" w:w="62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Pts</w:t>
            </w:r>
          </w:p>
        </w:tc>
        <w:tc>
          <w:tcPr>
            <w:tcW w:type="dxa" w:w="64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Tiers</w:t>
            </w:r>
          </w:p>
        </w:tc>
        <w:tc>
          <w:tcPr>
            <w:tcW w:type="dxa" w:w="62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Exp.</w:t>
            </w:r>
          </w:p>
        </w:tc>
        <w:tc>
          <w:tcPr>
            <w:tcW w:type="dxa" w:w="7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Comm.</w:t>
            </w:r>
          </w:p>
        </w:tc>
        <w:tc>
          <w:tcPr>
            <w:tcW w:type="dxa" w:w="7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Omni</w:t>
            </w:r>
          </w:p>
        </w:tc>
        <w:tc>
          <w:tcPr>
            <w:tcW w:type="dxa" w:w="281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Key differentiator / lesson</w:t>
            </w:r>
          </w:p>
        </w:tc>
      </w:tr>
      <w:tr>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Sephora</w:t>
            </w:r>
          </w:p>
        </w:tc>
        <w:tc>
          <w:tcPr>
            <w:tcW w:type="dxa" w:w="1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Beauty</w:t>
            </w:r>
          </w:p>
        </w:tc>
        <w:tc>
          <w:tcPr>
            <w:tcW w:type="dxa" w:w="7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4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281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Redemption marketplace priced above cash; tiers</w:t>
            </w:r>
          </w:p>
        </w:tc>
      </w:tr>
      <w:tr>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Ulta</w:t>
            </w:r>
          </w:p>
        </w:tc>
        <w:tc>
          <w:tcPr>
            <w:tcW w:type="dxa" w:w="105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Beauty</w:t>
            </w:r>
          </w:p>
        </w:tc>
        <w:tc>
          <w:tcPr>
            <w:tcW w:type="dxa" w:w="7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4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281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Non-linear redemption curve rewards accumulation</w:t>
            </w:r>
          </w:p>
        </w:tc>
      </w:tr>
      <w:tr>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Nike</w:t>
            </w:r>
          </w:p>
        </w:tc>
        <w:tc>
          <w:tcPr>
            <w:tcW w:type="dxa" w:w="1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Sportswear</w:t>
            </w:r>
          </w:p>
        </w:tc>
        <w:tc>
          <w:tcPr>
            <w:tcW w:type="dxa" w:w="7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64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281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Access + content + community, no discounts</w:t>
            </w:r>
          </w:p>
        </w:tc>
      </w:tr>
      <w:tr>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Lululemon</w:t>
            </w:r>
          </w:p>
        </w:tc>
        <w:tc>
          <w:tcPr>
            <w:tcW w:type="dxa" w:w="105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Athleisure</w:t>
            </w:r>
          </w:p>
        </w:tc>
        <w:tc>
          <w:tcPr>
            <w:tcW w:type="dxa" w:w="7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64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281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Service perks + community as the whole value prop</w:t>
            </w:r>
          </w:p>
        </w:tc>
      </w:tr>
      <w:tr>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H&amp;M</w:t>
            </w:r>
          </w:p>
        </w:tc>
        <w:tc>
          <w:tcPr>
            <w:tcW w:type="dxa" w:w="1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Fast fashion</w:t>
            </w:r>
          </w:p>
        </w:tc>
        <w:tc>
          <w:tcPr>
            <w:tcW w:type="dxa" w:w="7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4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281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Low-threshold vouchers + non-purchase earn</w:t>
            </w:r>
          </w:p>
        </w:tc>
      </w:tr>
      <w:tr>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MUJI</w:t>
            </w:r>
          </w:p>
        </w:tc>
        <w:tc>
          <w:tcPr>
            <w:tcW w:type="dxa" w:w="105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Lifestyle</w:t>
            </w:r>
          </w:p>
        </w:tc>
        <w:tc>
          <w:tcPr>
            <w:tcW w:type="dxa" w:w="7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4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281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Quiet minimalist mechanics + store check-in earn</w:t>
            </w:r>
          </w:p>
        </w:tc>
      </w:tr>
      <w:tr>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Diptyque</w:t>
            </w:r>
          </w:p>
        </w:tc>
        <w:tc>
          <w:tcPr>
            <w:tcW w:type="dxa" w:w="1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Lux fragrance</w:t>
            </w:r>
          </w:p>
        </w:tc>
        <w:tc>
          <w:tcPr>
            <w:tcW w:type="dxa" w:w="7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64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281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Gifts/samples/service, zero discounting</w:t>
            </w:r>
          </w:p>
        </w:tc>
      </w:tr>
      <w:tr>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Starbucks</w:t>
            </w:r>
          </w:p>
        </w:tc>
        <w:tc>
          <w:tcPr>
            <w:tcW w:type="dxa" w:w="105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F&amp;B</w:t>
            </w:r>
          </w:p>
        </w:tc>
        <w:tc>
          <w:tcPr>
            <w:tcW w:type="dxa" w:w="7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4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281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App-led gamification + stored-value float</w:t>
            </w:r>
          </w:p>
        </w:tc>
      </w:tr>
      <w:tr>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Marriott Bonvoy</w:t>
            </w:r>
          </w:p>
        </w:tc>
        <w:tc>
          <w:tcPr>
            <w:tcW w:type="dxa" w:w="1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Hotels</w:t>
            </w:r>
          </w:p>
        </w:tc>
        <w:tc>
          <w:tcPr>
            <w:tcW w:type="dxa" w:w="7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4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281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Status chase + experiential “Moments”</w:t>
            </w:r>
          </w:p>
        </w:tc>
      </w:tr>
      <w:tr>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Amex Platinum</w:t>
            </w:r>
          </w:p>
        </w:tc>
        <w:tc>
          <w:tcPr>
            <w:tcW w:type="dxa" w:w="105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Fin. services</w:t>
            </w:r>
          </w:p>
        </w:tc>
        <w:tc>
          <w:tcPr>
            <w:tcW w:type="dxa" w:w="7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Paid</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4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281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Use-it-or-lose-it credit stack; engagement = retention</w:t>
            </w:r>
          </w:p>
        </w:tc>
      </w:tr>
      <w:tr>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Amazon Prime</w:t>
            </w:r>
          </w:p>
        </w:tc>
        <w:tc>
          <w:tcPr>
            <w:tcW w:type="dxa" w:w="1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E-commerce</w:t>
            </w:r>
          </w:p>
        </w:tc>
        <w:tc>
          <w:tcPr>
            <w:tcW w:type="dxa" w:w="7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Paid</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64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281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Paid membership at ~10x perceived value</w:t>
            </w:r>
          </w:p>
        </w:tc>
      </w:tr>
      <w:tr>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Tata Neu</w:t>
            </w:r>
          </w:p>
        </w:tc>
        <w:tc>
          <w:tcPr>
            <w:tcW w:type="dxa" w:w="105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Coalition</w:t>
            </w:r>
          </w:p>
        </w:tc>
        <w:tc>
          <w:tcPr>
            <w:tcW w:type="dxa" w:w="7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4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281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Coalition currency + rolling activity-based expiry</w:t>
            </w:r>
          </w:p>
        </w:tc>
      </w:tr>
      <w:tr>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Reliance One</w:t>
            </w:r>
          </w:p>
        </w:tc>
        <w:tc>
          <w:tcPr>
            <w:tcW w:type="dxa" w:w="1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Coalition</w:t>
            </w:r>
          </w:p>
        </w:tc>
        <w:tc>
          <w:tcPr>
            <w:tcW w:type="dxa" w:w="7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4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281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Retail-wide coalition breadth</w:t>
            </w:r>
          </w:p>
        </w:tc>
      </w:tr>
      <w:tr>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Myntra Insider</w:t>
            </w:r>
          </w:p>
        </w:tc>
        <w:tc>
          <w:tcPr>
            <w:tcW w:type="dxa" w:w="105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Fashion e-com</w:t>
            </w:r>
          </w:p>
        </w:tc>
        <w:tc>
          <w:tcPr>
            <w:tcW w:type="dxa" w:w="7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4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281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Reward engagement + monthly “Insider Day”</w:t>
            </w:r>
          </w:p>
        </w:tc>
      </w:tr>
      <w:tr>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Flipkart Plus</w:t>
            </w:r>
          </w:p>
        </w:tc>
        <w:tc>
          <w:tcPr>
            <w:tcW w:type="dxa" w:w="1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E-commerce</w:t>
            </w:r>
          </w:p>
        </w:tc>
        <w:tc>
          <w:tcPr>
            <w:tcW w:type="dxa" w:w="7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Both</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4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281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Cross-app coins + two-speed free/paid</w:t>
            </w:r>
          </w:p>
        </w:tc>
      </w:tr>
      <w:tr>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Nykaa Prive</w:t>
            </w:r>
          </w:p>
        </w:tc>
        <w:tc>
          <w:tcPr>
            <w:tcW w:type="dxa" w:w="105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Beauty e-com</w:t>
            </w:r>
          </w:p>
        </w:tc>
        <w:tc>
          <w:tcPr>
            <w:tcW w:type="dxa" w:w="7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4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281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Birthday-month point multipliers</w:t>
            </w:r>
          </w:p>
        </w:tc>
      </w:tr>
      <w:tr>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Tira Treats</w:t>
            </w:r>
          </w:p>
        </w:tc>
        <w:tc>
          <w:tcPr>
            <w:tcW w:type="dxa" w:w="1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Beauty</w:t>
            </w:r>
          </w:p>
        </w:tc>
        <w:tc>
          <w:tcPr>
            <w:tcW w:type="dxa" w:w="7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4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281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Points buy aspirational full-size product</w:t>
            </w:r>
          </w:p>
        </w:tc>
      </w:tr>
      <w:tr>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Shoppers Stop</w:t>
            </w:r>
          </w:p>
        </w:tc>
        <w:tc>
          <w:tcPr>
            <w:tcW w:type="dxa" w:w="105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Dept store</w:t>
            </w:r>
          </w:p>
        </w:tc>
        <w:tc>
          <w:tcPr>
            <w:tcW w:type="dxa" w:w="7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Paid</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4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281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Experiential top tier (Black) sells belonging</w:t>
            </w:r>
          </w:p>
        </w:tc>
      </w:tr>
      <w:tr>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Titan Encircle</w:t>
            </w:r>
          </w:p>
        </w:tc>
        <w:tc>
          <w:tcPr>
            <w:tcW w:type="dxa" w:w="1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Jewellery</w:t>
            </w:r>
          </w:p>
        </w:tc>
        <w:tc>
          <w:tcPr>
            <w:tcW w:type="dxa" w:w="7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4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281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Life-event anchoring + savings scheme</w:t>
            </w:r>
          </w:p>
        </w:tc>
      </w:tr>
      <w:tr>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Swiggy One</w:t>
            </w:r>
          </w:p>
        </w:tc>
        <w:tc>
          <w:tcPr>
            <w:tcW w:type="dxa" w:w="105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Food/quick-com</w:t>
            </w:r>
          </w:p>
        </w:tc>
        <w:tc>
          <w:tcPr>
            <w:tcW w:type="dxa" w:w="7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Paid</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64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281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Paid membership where the maths is obvious</w:t>
            </w:r>
          </w:p>
        </w:tc>
      </w:tr>
      <w:tr>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Decathlon</w:t>
            </w:r>
          </w:p>
        </w:tc>
        <w:tc>
          <w:tcPr>
            <w:tcW w:type="dxa" w:w="1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Sports retail</w:t>
            </w:r>
          </w:p>
        </w:tc>
        <w:tc>
          <w:tcPr>
            <w:tcW w:type="dxa" w:w="7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4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281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Transparent flat economics; pay for reviews</w:t>
            </w:r>
          </w:p>
        </w:tc>
      </w:tr>
      <w:tr>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Casetify</w:t>
            </w:r>
          </w:p>
        </w:tc>
        <w:tc>
          <w:tcPr>
            <w:tcW w:type="dxa" w:w="105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Acc. (cases)</w:t>
            </w:r>
          </w:p>
        </w:tc>
        <w:tc>
          <w:tcPr>
            <w:tcW w:type="dxa" w:w="7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4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281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Tiers + birthday + 12-mo VIP warranty (in-cat)</w:t>
            </w:r>
          </w:p>
        </w:tc>
      </w:tr>
      <w:tr>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Mokobara</w:t>
            </w:r>
          </w:p>
        </w:tc>
        <w:tc>
          <w:tcPr>
            <w:tcW w:type="dxa" w:w="1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Acc. (luggage)</w:t>
            </w:r>
          </w:p>
        </w:tc>
        <w:tc>
          <w:tcPr>
            <w:tcW w:type="dxa" w:w="7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Paid</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4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281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Paid tier, sale-proof discount, 6-yr warranty</w:t>
            </w:r>
          </w:p>
        </w:tc>
      </w:tr>
      <w:tr>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Bewakoof (TriBe)</w:t>
            </w:r>
          </w:p>
        </w:tc>
        <w:tc>
          <w:tcPr>
            <w:tcW w:type="dxa" w:w="105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Apparel D2C</w:t>
            </w:r>
          </w:p>
        </w:tc>
        <w:tc>
          <w:tcPr>
            <w:tcW w:type="dxa" w:w="7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Paid</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64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281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Cheap paid tier framed on free shipping</w:t>
            </w:r>
          </w:p>
        </w:tc>
      </w:tr>
      <w:tr>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The Souled Store</w:t>
            </w:r>
          </w:p>
        </w:tc>
        <w:tc>
          <w:tcPr>
            <w:tcW w:type="dxa" w:w="1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Merch D2C</w:t>
            </w:r>
          </w:p>
        </w:tc>
        <w:tc>
          <w:tcPr>
            <w:tcW w:type="dxa" w:w="7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Both</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4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281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Visible “X% back in coins”</w:t>
            </w:r>
          </w:p>
        </w:tc>
      </w:tr>
      <w:tr>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Anker</w:t>
            </w:r>
          </w:p>
        </w:tc>
        <w:tc>
          <w:tcPr>
            <w:tcW w:type="dxa" w:w="105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Charging</w:t>
            </w:r>
          </w:p>
        </w:tc>
        <w:tc>
          <w:tcPr>
            <w:tcW w:type="dxa" w:w="7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Both</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4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281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Credit→coupon ladder + modest paid tier</w:t>
            </w:r>
          </w:p>
        </w:tc>
      </w:tr>
      <w:tr>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Zouk</w:t>
            </w:r>
          </w:p>
        </w:tc>
        <w:tc>
          <w:tcPr>
            <w:tcW w:type="dxa" w:w="1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Bags D2C</w:t>
            </w:r>
          </w:p>
        </w:tc>
        <w:tc>
          <w:tcPr>
            <w:tcW w:type="dxa" w:w="7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4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281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All-actions-earn credits</w:t>
            </w:r>
          </w:p>
        </w:tc>
      </w:tr>
      <w:tr>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boAt</w:t>
            </w:r>
          </w:p>
        </w:tc>
        <w:tc>
          <w:tcPr>
            <w:tcW w:type="dxa" w:w="105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Audio D2C</w:t>
            </w:r>
          </w:p>
        </w:tc>
        <w:tc>
          <w:tcPr>
            <w:tcW w:type="dxa" w:w="7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4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281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Tribe/community identity over points</w:t>
            </w:r>
          </w:p>
        </w:tc>
      </w:tr>
      <w:tr>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Bellroy / Peak Design / Nomad / Native Union</w:t>
            </w:r>
          </w:p>
        </w:tc>
        <w:tc>
          <w:tcPr>
            <w:tcW w:type="dxa" w:w="1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Premium acc.</w:t>
            </w:r>
          </w:p>
        </w:tc>
        <w:tc>
          <w:tcPr>
            <w:tcW w:type="dxa" w:w="7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64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62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7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281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No programme — newsletter only (whitespace!)</w:t>
            </w:r>
          </w:p>
        </w:tc>
      </w:tr>
      <w:tr>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DailyObjects (today)</w:t>
            </w:r>
          </w:p>
        </w:tc>
        <w:tc>
          <w:tcPr>
            <w:tcW w:type="dxa" w:w="105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Acc. (self)</w:t>
            </w:r>
          </w:p>
        </w:tc>
        <w:tc>
          <w:tcPr>
            <w:tcW w:type="dxa" w:w="7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w:t>
            </w:r>
          </w:p>
        </w:tc>
        <w:tc>
          <w:tcPr>
            <w:tcW w:type="dxa" w:w="64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62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w:t>
            </w:r>
          </w:p>
        </w:tc>
        <w:tc>
          <w:tcPr>
            <w:tcW w:type="dxa" w:w="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t>
            </w:r>
          </w:p>
        </w:tc>
        <w:tc>
          <w:tcPr>
            <w:tcW w:type="dxa" w:w="281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Flat voucher points — the upgrade opportunity</w:t>
            </w:r>
          </w:p>
        </w:tc>
      </w:tr>
    </w:tbl>
    <w:p>
      <w:pPr>
        <w:spacing w:after="60"/>
      </w:pPr>
    </w:p>
    <w:tbl>
      <w:tblPr>
        <w:tblW w:type="dxa" w:w="9360"/>
        <w:tblBorders>
          <w:top w:val="none"/>
          <w:left w:val="single" w:color="B45F3B" w:sz="24"/>
          <w:bottom w:val="none"/>
          <w:right w:val="none"/>
          <w:insideH w:val="none"/>
          <w:insideV w:val="none"/>
        </w:tblBorders>
      </w:tblPr>
      <w:tblGrid>
        <w:gridCol w:w="9360"/>
      </w:tblGrid>
      <w:tr>
        <w:tc>
          <w:tcPr>
            <w:tcW w:type="dxa" w:w="9360"/>
            <w:shd w:fill="EAF0EF" w:color="auto" w:val="clear"/>
            <w:tcMar>
              <w:top w:type="dxa" w:w="120"/>
              <w:left w:type="dxa" w:w="180"/>
              <w:bottom w:type="dxa" w:w="120"/>
              <w:right w:type="dxa" w:w="160"/>
            </w:tcMar>
          </w:tcPr>
          <w:p>
            <w:pPr>
              <w:spacing w:after="40"/>
            </w:pPr>
            <w:r>
              <w:rPr>
                <w:rFonts w:ascii="Calibri" w:cs="Calibri" w:eastAsia="Calibri" w:hAnsi="Calibri"/>
                <w:b/>
                <w:bCs/>
                <w:color w:val="B45F3B"/>
                <w:sz w:val="20"/>
                <w:szCs w:val="20"/>
              </w:rPr>
              <w:t xml:space="preserve">The single most important pattern</w:t>
            </w:r>
          </w:p>
          <w:p>
            <w:pPr>
              <w:spacing w:after="40" w:line="264"/>
            </w:pPr>
            <w:r>
              <w:rPr>
                <w:rFonts w:ascii="Calibri" w:cs="Calibri" w:eastAsia="Calibri" w:hAnsi="Calibri"/>
                <w:color w:val="2B2B2B"/>
                <w:sz w:val="20"/>
                <w:szCs w:val="20"/>
              </w:rPr>
              <w:t xml:space="preserve">Every premium brand that has built durable, margin-safe loyalty (Diptyque, Nike, Lululemon, Sephora at the top tier) rewards access, service, status, community and experience — not price. And most global design-led accessory peers run no programme at all. DailyObjects can therefore differentiate with a well-built, community-flavoured, non-discount programme — a move its direct global competitors have not made.</w:t>
            </w:r>
          </w:p>
        </w:tc>
      </w:tr>
    </w:tbl>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5.  Global Programme Deep-Dives</w:t>
      </w:r>
    </w:p>
    <w:p>
      <w:pPr>
        <w:pStyle w:val="Heading2"/>
        <w:spacing w:after="90" w:before="240"/>
      </w:pPr>
      <w:r>
        <w:rPr>
          <w:rFonts w:ascii="Calibri" w:cs="Calibri" w:eastAsia="Calibri" w:hAnsi="Calibri"/>
          <w:b/>
          <w:bCs/>
          <w:color w:val="B45F3B"/>
          <w:sz w:val="26"/>
          <w:szCs w:val="26"/>
        </w:rPr>
        <w:t xml:space="preserve">Sephora Beauty Insider (US/CA)</w:t>
      </w:r>
    </w:p>
    <w:tbl>
      <w:tblPr>
        <w:tblW w:type="dxa" w:w="9360"/>
        <w:tblBorders>
          <w:top w:val="single" w:color="C9C2BA" w:sz="2"/>
          <w:left w:val="none"/>
          <w:bottom w:val="single" w:color="C9C2BA" w:sz="2"/>
          <w:right w:val="none"/>
          <w:insideH w:val="single" w:color="D9D2CB" w:sz="2"/>
          <w:insideV w:val="none"/>
        </w:tblBorders>
      </w:tblPr>
      <w:tblGrid>
        <w:gridCol w:w="2600"/>
        <w:gridCol w:w="6760"/>
      </w:tblGrid>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Basics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Launched Feb 2007; free, three-tier points programme — a category pioneer.</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Earn / tiers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 pt per $1 all tiers. Insider (free) · VIB ($350/yr) · Rouge ($1,000/yr; status holds the qualifying year plus the next).</w:t>
            </w:r>
          </w:p>
        </w:tc>
      </w:tr>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Benefits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Beauty Insider Cash 500 pts = $10 (2¢/pt); Rouge 2,500 pts = $100; Rewards Bazaar swaps points for product/experiences priced 2–6¢/pt (deliberately above cash to steer redemption). Higher tiers add free shipping, seasonal savings events, birthday gifts, early access. Beauty Insider Community forum.</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Objectives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Own first-party beauty data; drive frequency and trade-up (VIB→Rouge); build emotional attachment beyond discounting.</w:t>
            </w:r>
          </w:p>
        </w:tc>
      </w:tr>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Economics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~80% of transactions from members; 34M→45M members (secondary); reported 22% cross-sell / 13–51% upsell. No official breakage.</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Lesson for DailyObjects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Tiered thresholds + a redemption marketplace priced ABOVE cash trains members to redeem for brand-enhancing product/experiences (protecting margin), and the community layer converts transactions into identity.</w:t>
            </w:r>
          </w:p>
        </w:tc>
      </w:tr>
    </w:tbl>
    <w:p>
      <w:pPr>
        <w:spacing w:after="70"/>
      </w:pPr>
    </w:p>
    <w:p>
      <w:pPr>
        <w:pStyle w:val="Heading2"/>
        <w:spacing w:after="90" w:before="240"/>
      </w:pPr>
      <w:r>
        <w:rPr>
          <w:rFonts w:ascii="Calibri" w:cs="Calibri" w:eastAsia="Calibri" w:hAnsi="Calibri"/>
          <w:b/>
          <w:bCs/>
          <w:color w:val="B45F3B"/>
          <w:sz w:val="26"/>
          <w:szCs w:val="26"/>
        </w:rPr>
        <w:t xml:space="preserve">Starbucks Rewards (US)</w:t>
      </w:r>
    </w:p>
    <w:tbl>
      <w:tblPr>
        <w:tblW w:type="dxa" w:w="9360"/>
        <w:tblBorders>
          <w:top w:val="single" w:color="C9C2BA" w:sz="2"/>
          <w:left w:val="none"/>
          <w:bottom w:val="single" w:color="C9C2BA" w:sz="2"/>
          <w:right w:val="none"/>
          <w:insideH w:val="single" w:color="D9D2CB" w:sz="2"/>
          <w:insideV w:val="none"/>
        </w:tblBorders>
      </w:tblPr>
      <w:tblGrid>
        <w:gridCol w:w="2600"/>
        <w:gridCol w:w="6760"/>
      </w:tblGrid>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Basics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App-led, free “Stars.” Reimagined into three tiers (Green/Gold/Reserve) on 10 Mar 2026.</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Earn / tiers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Green 1 Star/$1 (expire 6 mo) · Gold 500 Stars/yr, 1.2/$1 (no expiry) · Reserve 2,500/yr, 1.7/$1. Reload bonuses.</w:t>
            </w:r>
          </w:p>
        </w:tc>
      </w:tr>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Benefits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Redemption ladder 25→400 Stars; birthday reward, Free Mod Mondays, games (Starbucks for Life), early access. Mobile Order &amp; Pay is the hub.</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Objectives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Gamified frequency; funnel to mobile order &amp; stored-value reload (float + breakage); status psychology via new tiers.</w:t>
            </w:r>
          </w:p>
        </w:tc>
      </w:tr>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Economics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35.5M 90-day active US members (Q1 FY26); rewards ~60% of US company-operated revenue FY25 (&gt;$13B); stored-value/loyalty float ~$1.85B (Mar 2025); ~$207M breakage revenue 2024.</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Lesson for DailyObjects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Prepaid reload creates float + breakage economics most brands ignore — BUT the 2026 caps/expiry sparked a devaluation backlash, a warning against changing rules on loyal members.</w:t>
            </w:r>
          </w:p>
        </w:tc>
      </w:tr>
    </w:tbl>
    <w:p>
      <w:pPr>
        <w:spacing w:after="70"/>
      </w:pPr>
    </w:p>
    <w:p>
      <w:pPr>
        <w:pStyle w:val="Heading2"/>
        <w:spacing w:after="90" w:before="240"/>
      </w:pPr>
      <w:r>
        <w:rPr>
          <w:rFonts w:ascii="Calibri" w:cs="Calibri" w:eastAsia="Calibri" w:hAnsi="Calibri"/>
          <w:b/>
          <w:bCs/>
          <w:color w:val="B45F3B"/>
          <w:sz w:val="26"/>
          <w:szCs w:val="26"/>
        </w:rPr>
        <w:t xml:space="preserve">Amazon Prime (US)</w:t>
      </w:r>
    </w:p>
    <w:tbl>
      <w:tblPr>
        <w:tblW w:type="dxa" w:w="9360"/>
        <w:tblBorders>
          <w:top w:val="single" w:color="C9C2BA" w:sz="2"/>
          <w:left w:val="none"/>
          <w:bottom w:val="single" w:color="C9C2BA" w:sz="2"/>
          <w:right w:val="none"/>
          <w:insideH w:val="single" w:color="D9D2CB" w:sz="2"/>
          <w:insideV w:val="none"/>
        </w:tblBorders>
      </w:tblPr>
      <w:tblGrid>
        <w:gridCol w:w="2600"/>
        <w:gridCol w:w="6760"/>
      </w:tblGrid>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Basics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Launched 2005; paid; $14.99/mo or $139/yr. Flat, no points.</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Earn / tiers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Membership is binary; value = convenience + content bundle (shipping, Video, Music, Photos, Prime Day, grocery/pharmacy).</w:t>
            </w:r>
          </w:p>
        </w:tc>
      </w:tr>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Benefits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Fast/free shipping (anchor), content (retention glue), Prime Day (experiential). JPMorgan estimates ~$1,437 annual value vs the $139 fee.</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Objectives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Sunk-cost lock-in → higher frequency &amp; share of wallet; subscription revenue as its own P&amp;L; content flywheel to cut churn.</w:t>
            </w:r>
          </w:p>
        </w:tc>
      </w:tr>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Economics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200M+ paid members; Subscription-services segment $49.6B FY2025 (+~12%); record Q3’25 membership revenue $12.574B.</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Lesson for DailyObjects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A paid membership works only when perceived value visibly exceeds the fee (~10x here) and bundles convenience + content so cancelling feels like a loss.</w:t>
            </w:r>
          </w:p>
        </w:tc>
      </w:tr>
    </w:tbl>
    <w:p>
      <w:pPr>
        <w:spacing w:after="70"/>
      </w:pPr>
    </w:p>
    <w:p>
      <w:pPr>
        <w:pStyle w:val="Heading2"/>
        <w:spacing w:after="90" w:before="240"/>
      </w:pPr>
      <w:r>
        <w:rPr>
          <w:rFonts w:ascii="Calibri" w:cs="Calibri" w:eastAsia="Calibri" w:hAnsi="Calibri"/>
          <w:b/>
          <w:bCs/>
          <w:color w:val="B45F3B"/>
          <w:sz w:val="26"/>
          <w:szCs w:val="26"/>
        </w:rPr>
        <w:t xml:space="preserve">Marriott Bonvoy</w:t>
      </w:r>
    </w:p>
    <w:tbl>
      <w:tblPr>
        <w:tblW w:type="dxa" w:w="9360"/>
        <w:tblBorders>
          <w:top w:val="single" w:color="C9C2BA" w:sz="2"/>
          <w:left w:val="none"/>
          <w:bottom w:val="single" w:color="C9C2BA" w:sz="2"/>
          <w:right w:val="none"/>
          <w:insideH w:val="single" w:color="D9D2CB" w:sz="2"/>
          <w:insideV w:val="none"/>
        </w:tblBorders>
      </w:tblPr>
      <w:tblGrid>
        <w:gridCol w:w="2600"/>
        <w:gridCol w:w="6760"/>
      </w:tblGrid>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Basics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Rebranded Feb 2019 (Marriott Rewards + Ritz-Carlton + SPG). Free; status earned by nights.</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Earn / tiers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Silver 10 nights (+10%) · Gold 25 (+25%) · Platinum 50 (+50%) · Titanium 75 (+75%) · Ambassador 100 nights + $23,000 spend (only spend-gated tier). Base ~10 pts/$1.</w:t>
            </w:r>
          </w:p>
        </w:tc>
      </w:tr>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Benefits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Upgrades, lounge, late checkout, breakfast; free-night points; transfer to ~40 airlines; Bonvoy Moments (~120,000 experiences). Partners: Uber, Starbucks, sports/entertainment.</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Objectives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Drive direct booking (bypass OTAs); status-based emotional lock-in; ancillary card/partner revenue; experiential currency to defend rate.</w:t>
            </w:r>
          </w:p>
        </w:tc>
      </w:tr>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Economics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+40M members in 2025; ~200M+ total (press). Points value/breakage not officially disclosed.</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Lesson for DailyObjects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Status tiers create an aspirational “chase,” and experiential rewards let a premium brand reward loyalty without discounting the core product.</w:t>
            </w:r>
          </w:p>
        </w:tc>
      </w:tr>
    </w:tbl>
    <w:p>
      <w:pPr>
        <w:spacing w:after="70"/>
      </w:pPr>
    </w:p>
    <w:p>
      <w:pPr>
        <w:pStyle w:val="Heading2"/>
        <w:spacing w:after="90" w:before="240"/>
      </w:pPr>
      <w:r>
        <w:rPr>
          <w:rFonts w:ascii="Calibri" w:cs="Calibri" w:eastAsia="Calibri" w:hAnsi="Calibri"/>
          <w:b/>
          <w:bCs/>
          <w:color w:val="B45F3B"/>
          <w:sz w:val="26"/>
          <w:szCs w:val="26"/>
        </w:rPr>
        <w:t xml:space="preserve">American Express Membership Rewards / Platinum</w:t>
      </w:r>
    </w:p>
    <w:tbl>
      <w:tblPr>
        <w:tblW w:type="dxa" w:w="9360"/>
        <w:tblBorders>
          <w:top w:val="single" w:color="C9C2BA" w:sz="2"/>
          <w:left w:val="none"/>
          <w:bottom w:val="single" w:color="C9C2BA" w:sz="2"/>
          <w:right w:val="none"/>
          <w:insideH w:val="single" w:color="D9D2CB" w:sz="2"/>
          <w:insideV w:val="none"/>
        </w:tblBorders>
      </w:tblPr>
      <w:tblGrid>
        <w:gridCol w:w="2600"/>
        <w:gridCol w:w="6760"/>
      </w:tblGrid>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Basics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MR = transferable points currency; Platinum = flagship paid card. Fee raised to $895 in 2025 (from $695).</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Earn / tiers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5x MR on flights &amp; prepaid hotels via Amex Travel; MR transfers ~1:1 to ~19 airline/hotel partners (final → lock-in). No tiers.</w:t>
            </w:r>
          </w:p>
        </w:tc>
      </w:tr>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Benefits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“Coupon-book” of use-it-or-lose-it statement credits (hotels, airline, CLEAR, dining/lifestyle); 1,550+ lounges; $3,500+ stated value vs $895 fee. Welcome up to 175k pts.</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Objectives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Premium fee revenue + interchange; engineered monthly engagement to justify the fee; transferable points create switching cost; status signalling.</w:t>
            </w:r>
          </w:p>
        </w:tc>
      </w:tr>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Economics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$895 fee vs $3,500+ curated value; specific breakage not disclosed; transfers final → structural lock-in.</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Lesson for DailyObjects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Bundle many small use-it-or-lose-it credits so members engage monthly to rationalise a high fee — engagement itself becomes the retention mechanism.</w:t>
            </w:r>
          </w:p>
        </w:tc>
      </w:tr>
    </w:tbl>
    <w:p>
      <w:pPr>
        <w:spacing w:after="70"/>
      </w:pPr>
    </w:p>
    <w:p>
      <w:pPr>
        <w:pStyle w:val="Heading2"/>
        <w:spacing w:after="90" w:before="240"/>
      </w:pPr>
      <w:r>
        <w:rPr>
          <w:rFonts w:ascii="Calibri" w:cs="Calibri" w:eastAsia="Calibri" w:hAnsi="Calibri"/>
          <w:b/>
          <w:bCs/>
          <w:color w:val="B45F3B"/>
          <w:sz w:val="26"/>
          <w:szCs w:val="26"/>
        </w:rPr>
        <w:t xml:space="preserve">Nike Membership + Nike Run Club</w:t>
      </w:r>
    </w:p>
    <w:tbl>
      <w:tblPr>
        <w:tblW w:type="dxa" w:w="9360"/>
        <w:tblBorders>
          <w:top w:val="single" w:color="C9C2BA" w:sz="2"/>
          <w:left w:val="none"/>
          <w:bottom w:val="single" w:color="C9C2BA" w:sz="2"/>
          <w:right w:val="none"/>
          <w:insideH w:val="single" w:color="D9D2CB" w:sz="2"/>
          <w:insideV w:val="none"/>
        </w:tblBorders>
      </w:tblPr>
      <w:tblGrid>
        <w:gridCol w:w="2600"/>
        <w:gridCol w:w="6760"/>
      </w:tblGrid>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Basics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 ecosystem across Nike App, SNKRS, NRC, NTC. Loyalty via content/community, not points. Binary membership.</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Earn / tiers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No points/tiers; value = access + content + service.</w:t>
            </w:r>
          </w:p>
        </w:tc>
      </w:tr>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Benefits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Exclusive/early drops (SNKRS), member offers, free NRC/NTC apps, free shipping $50+, 60-day wear test, easy returns, birthday, events.</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Objectives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First-party data + DTC margin; community/app engagement builds emotional relationship independent of purchase; scarcity drives desire &amp; installs.</w:t>
            </w:r>
          </w:p>
        </w:tc>
      </w:tr>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Economics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~300M members (FY21), ~400M cited by 2026 (press). Nike Direct $21.5B FY24; DTC ~58%.</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Lesson for DailyObjects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A free membership can drive loyalty entirely through access + content + community — and early access to drops is a powerful, margin-safe reward for a design-led brand.</w:t>
            </w:r>
          </w:p>
        </w:tc>
      </w:tr>
    </w:tbl>
    <w:p>
      <w:pPr>
        <w:spacing w:after="70"/>
      </w:pPr>
    </w:p>
    <w:p>
      <w:pPr>
        <w:pStyle w:val="Heading2"/>
        <w:spacing w:after="90" w:before="240"/>
      </w:pPr>
      <w:r>
        <w:rPr>
          <w:rFonts w:ascii="Calibri" w:cs="Calibri" w:eastAsia="Calibri" w:hAnsi="Calibri"/>
          <w:b/>
          <w:bCs/>
          <w:color w:val="B45F3B"/>
          <w:sz w:val="26"/>
          <w:szCs w:val="26"/>
        </w:rPr>
        <w:t xml:space="preserve">Lululemon Membership</w:t>
      </w:r>
    </w:p>
    <w:tbl>
      <w:tblPr>
        <w:tblW w:type="dxa" w:w="9360"/>
        <w:tblBorders>
          <w:top w:val="single" w:color="C9C2BA" w:sz="2"/>
          <w:left w:val="none"/>
          <w:bottom w:val="single" w:color="C9C2BA" w:sz="2"/>
          <w:right w:val="none"/>
          <w:insideH w:val="single" w:color="D9D2CB" w:sz="2"/>
          <w:insideV w:val="none"/>
        </w:tblBorders>
      </w:tblPr>
      <w:tblGrid>
        <w:gridCol w:w="2600"/>
        <w:gridCol w:w="6760"/>
      </w:tblGrid>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Basics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 Essentials relaunched Jan 2023 (paid Studio hardware tier since wound down). Free, no points, access-based.</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Earn / tiers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No points; value = service + community + access.</w:t>
            </w:r>
          </w:p>
        </w:tc>
      </w:tr>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Benefits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Early access to drops/exclusives, returns on sale/“We Made Too Much,” free hemming, receipt-free/fast returns, member + virtual community events, free Peloton classes in-app, partner perks.</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Objectives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Capture first-party data; deepen community (“sweat” + events); drive app engagement and repeat — without discounting core product.</w:t>
            </w:r>
          </w:p>
        </w:tc>
      </w:tr>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Economics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No official member-count/economics disclosure for Essentials.</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Lesson for DailyObjects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Service benefits (free hemming, easy/extended returns) + community events can BE the whole value proposition for a premium brand — the closest philosophical analog for design-led accessories.</w:t>
            </w:r>
          </w:p>
        </w:tc>
      </w:tr>
    </w:tbl>
    <w:p>
      <w:pPr>
        <w:spacing w:after="70"/>
      </w:pPr>
    </w:p>
    <w:p>
      <w:pPr>
        <w:pStyle w:val="Heading2"/>
        <w:spacing w:after="90" w:before="240"/>
      </w:pPr>
      <w:r>
        <w:rPr>
          <w:rFonts w:ascii="Calibri" w:cs="Calibri" w:eastAsia="Calibri" w:hAnsi="Calibri"/>
          <w:b/>
          <w:bCs/>
          <w:color w:val="B45F3B"/>
          <w:sz w:val="26"/>
          <w:szCs w:val="26"/>
        </w:rPr>
        <w:t xml:space="preserve">MUJI passport</w:t>
      </w:r>
    </w:p>
    <w:tbl>
      <w:tblPr>
        <w:tblW w:type="dxa" w:w="9360"/>
        <w:tblBorders>
          <w:top w:val="single" w:color="C9C2BA" w:sz="2"/>
          <w:left w:val="none"/>
          <w:bottom w:val="single" w:color="C9C2BA" w:sz="2"/>
          <w:right w:val="none"/>
          <w:insideH w:val="single" w:color="D9D2CB" w:sz="2"/>
          <w:insideV w:val="none"/>
        </w:tblBorders>
      </w:tblPr>
      <w:tblGrid>
        <w:gridCol w:w="2600"/>
        <w:gridCol w:w="6760"/>
      </w:tblGrid>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Basics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 app; minimalist by design. Collects MUJI Miles + delivers coupons; regional variants.</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Earn / tiers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Earn MUJI Miles by shopping AND by store check-in (engagement, not just spend). Miles trigger coupons at thresholds; reset ~end-Feb annually.</w:t>
            </w:r>
          </w:p>
        </w:tc>
      </w:tr>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Benefits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Coupons, exclusive promos, store locator/check-in, birthday perks — light-touch, matching brand minimalism.</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Objectives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Drive app adoption + store visits; gather data; nudge frequency with modest coupons without loud gamification.</w:t>
            </w:r>
          </w:p>
        </w:tc>
      </w:tr>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Economics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~100% increase in redemption via data-driven personalisation (secondary). No official breakage.</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Lesson for DailyObjects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Match loyalty mechanics to brand aesthetic — a minimalist brand runs a quiet programme; the store check-in earn is a clever footfall driver decoupled from spend.</w:t>
            </w:r>
          </w:p>
        </w:tc>
      </w:tr>
    </w:tbl>
    <w:p>
      <w:pPr>
        <w:spacing w:after="70"/>
      </w:pPr>
    </w:p>
    <w:p>
      <w:pPr>
        <w:pStyle w:val="Heading2"/>
        <w:spacing w:after="90" w:before="240"/>
      </w:pPr>
      <w:r>
        <w:rPr>
          <w:rFonts w:ascii="Calibri" w:cs="Calibri" w:eastAsia="Calibri" w:hAnsi="Calibri"/>
          <w:b/>
          <w:bCs/>
          <w:color w:val="B45F3B"/>
          <w:sz w:val="26"/>
          <w:szCs w:val="26"/>
        </w:rPr>
        <w:t xml:space="preserve">Diptyque (premium fragrance)</w:t>
      </w:r>
    </w:p>
    <w:tbl>
      <w:tblPr>
        <w:tblW w:type="dxa" w:w="9360"/>
        <w:tblBorders>
          <w:top w:val="single" w:color="C9C2BA" w:sz="2"/>
          <w:left w:val="none"/>
          <w:bottom w:val="single" w:color="C9C2BA" w:sz="2"/>
          <w:right w:val="none"/>
          <w:insideH w:val="single" w:color="D9D2CB" w:sz="2"/>
          <w:insideV w:val="none"/>
        </w:tblBorders>
      </w:tblPr>
      <w:tblGrid>
        <w:gridCol w:w="2600"/>
        <w:gridCol w:w="6760"/>
      </w:tblGrid>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Basics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No conventional points — an account/benefits model typical of luxury; loyalty without discounting.</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Earn / tiers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No points/tiers; membership = holding an account.</w:t>
            </w:r>
          </w:p>
        </w:tc>
      </w:tr>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Benefits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Birthday gift (free candle); automatic fragrance sample with every fragrance purchase (de-risks high-ticket trial); free shipping; early/exclusive access; boutique services. No % discounts.</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Objectives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Protect brand equity &amp; price integrity; use gifting, sampling and service to build emotional loyalty and reduce trial risk.</w:t>
            </w:r>
          </w:p>
        </w:tc>
      </w:tr>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Economics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Not disclosed.</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Lesson for DailyObjects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For a premium/design-led brand, loyalty = gifting, sampling, service and access — never markdowns. The most directly transferable luxury model.</w:t>
            </w:r>
          </w:p>
        </w:tc>
      </w:tr>
    </w:tbl>
    <w:p>
      <w:pPr>
        <w:spacing w:after="70"/>
      </w:pPr>
    </w:p>
    <w:p>
      <w:pPr>
        <w:pStyle w:val="Heading2"/>
        <w:spacing w:after="90" w:before="240"/>
      </w:pPr>
      <w:r>
        <w:rPr>
          <w:rFonts w:ascii="Calibri" w:cs="Calibri" w:eastAsia="Calibri" w:hAnsi="Calibri"/>
          <w:b/>
          <w:bCs/>
          <w:color w:val="B45F3B"/>
          <w:sz w:val="26"/>
          <w:szCs w:val="26"/>
        </w:rPr>
        <w:t xml:space="preserve">H&amp;M Membership &amp; Ulta Ultamate Rewards</w:t>
      </w:r>
    </w:p>
    <w:tbl>
      <w:tblPr>
        <w:tblW w:type="dxa" w:w="9360"/>
        <w:tblBorders>
          <w:top w:val="single" w:color="C9C2BA" w:sz="2"/>
          <w:left w:val="none"/>
          <w:bottom w:val="single" w:color="C9C2BA" w:sz="2"/>
          <w:right w:val="none"/>
          <w:insideH w:val="single" w:color="D9D2CB" w:sz="2"/>
          <w:insideV w:val="none"/>
        </w:tblBorders>
      </w:tblPr>
      <w:tblGrid>
        <w:gridCol w:w="2600"/>
        <w:gridCol w:w="6760"/>
      </w:tblGrid>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Basics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H&amp;M: free digital points, online + in-store. Ulta: free three-tier points (Member/Platinum/Diamond).</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Earn / tiers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H&amp;M: every 150 pts = a voucher; free tiers Core &amp; Plus (300 pts); extra earn for reviews/profile/referrals/garment recycling. Ulta: 1/1.25/1.5 pts per $1 by tier; higher-tier points don’t expire.</w:t>
            </w:r>
          </w:p>
        </w:tc>
      </w:tr>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Benefits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H&amp;M: vouchers, member prices, event invites, sustainability (recycling coupon). Ulta: 100 pts=$3 … 2,000 pts=$125 (value rises with volume: 3¢→6.25¢/pt); birthday gifts, tier bonus events.</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Objectives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Sustain habit in high-frequency categories; capture first-party data; drive app adoption; tie loyalty to values (recycling).</w:t>
            </w:r>
          </w:p>
        </w:tc>
      </w:tr>
      <w:t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Economics</w:t>
            </w:r>
          </w:p>
        </w:tc>
        <w:tc>
          <w:tcPr>
            <w:tcW w:type="dxa" w:w="6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No official breakage disclosure.</w:t>
            </w:r>
          </w:p>
        </w:tc>
      </w:tr>
      <w:tr>
        <w:tc>
          <w:tcPr>
            <w:tcW w:type="dxa" w:w="26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Lesson for DailyObjects</w:t>
            </w:r>
          </w:p>
        </w:tc>
        <w:tc>
          <w:tcPr>
            <w:tcW w:type="dxa" w:w="67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Frequent low-threshold vouchers sustain habit; non-purchase earn (reviews/profile/referral/recycling) deepens engagement cheaply; a non-linear redemption curve rewards accumulation → switching cost.</w:t>
            </w:r>
          </w:p>
        </w:tc>
      </w:tr>
    </w:tbl>
    <w:p>
      <w:pPr>
        <w:spacing w:after="70"/>
      </w:pPr>
    </w:p>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6.  Indian Programmes &amp; Direct Comparables</w:t>
      </w:r>
    </w:p>
    <w:p>
      <w:pPr>
        <w:pStyle w:val="Heading2"/>
        <w:spacing w:after="90" w:before="240"/>
      </w:pPr>
      <w:r>
        <w:rPr>
          <w:rFonts w:ascii="Calibri" w:cs="Calibri" w:eastAsia="Calibri" w:hAnsi="Calibri"/>
          <w:b/>
          <w:bCs/>
          <w:color w:val="B45F3B"/>
          <w:sz w:val="26"/>
          <w:szCs w:val="26"/>
        </w:rPr>
        <w:t xml:space="preserve">6.1  Strong Indian programmes — mechanics &amp; transferable lessons</w:t>
      </w:r>
    </w:p>
    <w:tbl>
      <w:tblPr>
        <w:tblW w:type="dxa" w:w="9360"/>
        <w:tblBorders>
          <w:top w:val="single" w:color="C9C2BA" w:sz="2"/>
          <w:left w:val="none"/>
          <w:bottom w:val="single" w:color="C9C2BA" w:sz="2"/>
          <w:right w:val="none"/>
          <w:insideH w:val="single" w:color="D9D2CB" w:sz="2"/>
          <w:insideV w:val="none"/>
        </w:tblBorders>
      </w:tblPr>
      <w:tblGrid>
        <w:gridCol w:w="1900"/>
        <w:gridCol w:w="900"/>
        <w:gridCol w:w="2400"/>
        <w:gridCol w:w="4160"/>
      </w:tblGrid>
      <w:tr>
        <w:trPr>
          <w:tblHeader/>
        </w:trPr>
        <w:tc>
          <w:tcPr>
            <w:tcW w:type="dxa" w:w="19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Programme</w:t>
            </w:r>
          </w:p>
        </w:tc>
        <w:tc>
          <w:tcPr>
            <w:tcW w:type="dxa" w:w="9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Pay</w:t>
            </w:r>
          </w:p>
        </w:tc>
        <w:tc>
          <w:tcPr>
            <w:tcW w:type="dxa" w:w="24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Mechanic</w:t>
            </w:r>
          </w:p>
        </w:tc>
        <w:tc>
          <w:tcPr>
            <w:tcW w:type="dxa" w:w="416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Transferable lesson</w:t>
            </w:r>
          </w:p>
        </w:tc>
      </w:tr>
      <w:tr>
        <w:tc>
          <w:tcPr>
            <w:tcW w:type="dxa" w:w="1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Tata Neu / NeuPass</w:t>
            </w:r>
          </w:p>
        </w:tc>
        <w:tc>
          <w:tcPr>
            <w:tcW w:type="dxa" w:w="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NeuCoins 1=₹1 across a conglomerate; 5 tiers</w:t>
            </w:r>
          </w:p>
        </w:tc>
        <w:tc>
          <w:tcPr>
            <w:tcW w:type="dxa" w:w="41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Rolling activity-based expiry — every earn/redeem resets the 365-day clock, so lapse is rare</w:t>
            </w:r>
          </w:p>
        </w:tc>
      </w:tr>
      <w:tr>
        <w:tc>
          <w:tcPr>
            <w:tcW w:type="dxa" w:w="1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Reliance One</w:t>
            </w:r>
          </w:p>
        </w:tc>
        <w:tc>
          <w:tcPr>
            <w:tcW w:type="dxa" w:w="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 pt/₹200 across JioMart/AJIO/Digital/Tira</w:t>
            </w:r>
          </w:p>
        </w:tc>
        <w:tc>
          <w:tcPr>
            <w:tcW w:type="dxa" w:w="41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Coalition breadth; don’t fight it on scale — win on depth &amp; design</w:t>
            </w:r>
          </w:p>
        </w:tc>
      </w:tr>
      <w:tr>
        <w:tc>
          <w:tcPr>
            <w:tcW w:type="dxa" w:w="1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Myntra Insider</w:t>
            </w:r>
          </w:p>
        </w:tc>
        <w:tc>
          <w:tcPr>
            <w:tcW w:type="dxa" w:w="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SuperCoins; tiers climbed via reviews/quizzes/referrals; monthly Insider Day</w:t>
            </w:r>
          </w:p>
        </w:tc>
        <w:tc>
          <w:tcPr>
            <w:tcW w:type="dxa" w:w="41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Reward engagement not just spend; a fixed recurring “members’ day” builds habit</w:t>
            </w:r>
          </w:p>
        </w:tc>
      </w:tr>
      <w:tr>
        <w:tc>
          <w:tcPr>
            <w:tcW w:type="dxa" w:w="1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Nykaa Prive</w:t>
            </w:r>
          </w:p>
        </w:tc>
        <w:tc>
          <w:tcPr>
            <w:tcW w:type="dxa" w:w="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 pt/₹1; birthday-month multipliers 1.5x/2x/3x</w:t>
            </w:r>
          </w:p>
        </w:tc>
        <w:tc>
          <w:tcPr>
            <w:tcW w:type="dxa" w:w="41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Calendar/birthday moments are cheap, high-affinity — ideal for a gifting category</w:t>
            </w:r>
          </w:p>
        </w:tc>
      </w:tr>
      <w:tr>
        <w:tc>
          <w:tcPr>
            <w:tcW w:type="dxa" w:w="1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Tira Treats</w:t>
            </w:r>
          </w:p>
        </w:tc>
        <w:tc>
          <w:tcPr>
            <w:tcW w:type="dxa" w:w="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10 pts/₹100; points buy full-size product; concierge</w:t>
            </w:r>
          </w:p>
        </w:tc>
        <w:tc>
          <w:tcPr>
            <w:tcW w:type="dxa" w:w="41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Let points buy aspirational product, not just rupees off</w:t>
            </w:r>
          </w:p>
        </w:tc>
      </w:tr>
      <w:tr>
        <w:tc>
          <w:tcPr>
            <w:tcW w:type="dxa" w:w="1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Shoppers Stop First Citizen</w:t>
            </w:r>
          </w:p>
        </w:tc>
        <w:tc>
          <w:tcPr>
            <w:tcW w:type="dxa" w:w="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Paid</w:t>
            </w:r>
          </w:p>
        </w:tc>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Silver→Black; Black ₹4,500/yr adds golf/sailing experiences</w:t>
            </w:r>
          </w:p>
        </w:tc>
        <w:tc>
          <w:tcPr>
            <w:tcW w:type="dxa" w:w="41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Experiential/service perks at the top tier sell belonging, not discounts</w:t>
            </w:r>
          </w:p>
        </w:tc>
      </w:tr>
      <w:tr>
        <w:tc>
          <w:tcPr>
            <w:tcW w:type="dxa" w:w="1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Titan Encircle</w:t>
            </w:r>
          </w:p>
        </w:tc>
        <w:tc>
          <w:tcPr>
            <w:tcW w:type="dxa" w:w="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NuCoins across Titan group; life-event offers; Golden Harvest savings</w:t>
            </w:r>
          </w:p>
        </w:tc>
        <w:tc>
          <w:tcPr>
            <w:tcW w:type="dxa" w:w="41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Loyalty + a commitment/savings mechanic + milestone anchoring lengthens lifetime</w:t>
            </w:r>
          </w:p>
        </w:tc>
      </w:tr>
      <w:tr>
        <w:tc>
          <w:tcPr>
            <w:tcW w:type="dxa" w:w="1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Swiggy One / One BLCK</w:t>
            </w:r>
          </w:p>
        </w:tc>
        <w:tc>
          <w:tcPr>
            <w:tcW w:type="dxa" w:w="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Paid</w:t>
            </w:r>
          </w:p>
        </w:tc>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Surge/delivery-fee waiver; invite-only apex tier</w:t>
            </w:r>
          </w:p>
        </w:tc>
        <w:tc>
          <w:tcPr>
            <w:tcW w:type="dxa" w:w="41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 paid membership works when the ROI maths is self-evident (free shipping)</w:t>
            </w:r>
          </w:p>
        </w:tc>
      </w:tr>
      <w:tr>
        <w:tc>
          <w:tcPr>
            <w:tcW w:type="dxa" w:w="1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Decathlon</w:t>
            </w:r>
          </w:p>
        </w:tc>
        <w:tc>
          <w:tcPr>
            <w:tcW w:type="dxa" w:w="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 pt/₹1 (~2%); up to 250 pts per review</w:t>
            </w:r>
          </w:p>
        </w:tc>
        <w:tc>
          <w:tcPr>
            <w:tcW w:type="dxa" w:w="41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Transparent flat economics + pay for reviews to fuel the content flywheel</w:t>
            </w:r>
          </w:p>
        </w:tc>
      </w:tr>
      <w:tr>
        <w:tc>
          <w:tcPr>
            <w:tcW w:type="dxa" w:w="1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Croma Privileges</w:t>
            </w:r>
          </w:p>
        </w:tc>
        <w:tc>
          <w:tcPr>
            <w:tcW w:type="dxa" w:w="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w:t>
            </w:r>
          </w:p>
        </w:tc>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NeuCoins + lifetime service, e-waste pickup, exchange bonus</w:t>
            </w:r>
          </w:p>
        </w:tc>
        <w:tc>
          <w:tcPr>
            <w:tcW w:type="dxa" w:w="41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In durable tech, warranty/repair/trade-in ARE loyalty currency</w:t>
            </w:r>
          </w:p>
        </w:tc>
      </w:tr>
    </w:tbl>
    <w:p>
      <w:pPr>
        <w:spacing w:after="80"/>
      </w:pPr>
    </w:p>
    <w:p>
      <w:pPr>
        <w:pStyle w:val="Heading2"/>
        <w:spacing w:after="90" w:before="240"/>
      </w:pPr>
      <w:r>
        <w:rPr>
          <w:rFonts w:ascii="Calibri" w:cs="Calibri" w:eastAsia="Calibri" w:hAnsi="Calibri"/>
          <w:b/>
          <w:bCs/>
          <w:color w:val="B45F3B"/>
          <w:sz w:val="26"/>
          <w:szCs w:val="26"/>
        </w:rPr>
        <w:t xml:space="preserve">6.2  DailyObjects-comparable brands — who runs loyalty, who doesn’t</w:t>
      </w:r>
    </w:p>
    <w:tbl>
      <w:tblPr>
        <w:tblW w:type="dxa" w:w="9360"/>
        <w:tblBorders>
          <w:top w:val="single" w:color="C9C2BA" w:sz="2"/>
          <w:left w:val="none"/>
          <w:bottom w:val="single" w:color="C9C2BA" w:sz="2"/>
          <w:right w:val="none"/>
          <w:insideH w:val="single" w:color="D9D2CB" w:sz="2"/>
          <w:insideV w:val="none"/>
        </w:tblBorders>
      </w:tblPr>
      <w:tblGrid>
        <w:gridCol w:w="1900"/>
        <w:gridCol w:w="1300"/>
        <w:gridCol w:w="1400"/>
        <w:gridCol w:w="4760"/>
      </w:tblGrid>
      <w:tr>
        <w:trPr>
          <w:tblHeader/>
        </w:trPr>
        <w:tc>
          <w:tcPr>
            <w:tcW w:type="dxa" w:w="19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Brand</w:t>
            </w:r>
          </w:p>
        </w:tc>
        <w:tc>
          <w:tcPr>
            <w:tcW w:type="dxa" w:w="13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Origin / price</w:t>
            </w:r>
          </w:p>
        </w:tc>
        <w:tc>
          <w:tcPr>
            <w:tcW w:type="dxa" w:w="14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Programme type</w:t>
            </w:r>
          </w:p>
        </w:tc>
        <w:tc>
          <w:tcPr>
            <w:tcW w:type="dxa" w:w="476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What it does / lesson</w:t>
            </w:r>
          </w:p>
        </w:tc>
      </w:tr>
      <w:tr>
        <w:tc>
          <w:tcPr>
            <w:tcW w:type="dxa" w:w="19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Casetify</w:t>
            </w:r>
          </w:p>
        </w:tc>
        <w:tc>
          <w:tcPr>
            <w:tcW w:type="dxa" w:w="13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Global / premium</w:t>
            </w:r>
          </w:p>
        </w:tc>
        <w:tc>
          <w:tcPr>
            <w:tcW w:type="dxa" w:w="1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Full tiered</w:t>
            </w:r>
          </w:p>
        </w:tc>
        <w:tc>
          <w:tcPr>
            <w:tcW w:type="dxa" w:w="4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Casetify Club: $1=1pt, tiers on trailing-12-mo spend, birthday gift + 30% vouchers, 12-mo VIP warranty — the direct in-category template</w:t>
            </w:r>
          </w:p>
        </w:tc>
      </w:tr>
      <w:tr>
        <w:tc>
          <w:tcPr>
            <w:tcW w:type="dxa" w:w="1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Mokobara</w:t>
            </w:r>
          </w:p>
        </w:tc>
        <w:tc>
          <w:tcPr>
            <w:tcW w:type="dxa" w:w="13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India / mid-premium</w:t>
            </w:r>
          </w:p>
        </w:tc>
        <w:tc>
          <w:tcPr>
            <w:tcW w:type="dxa" w:w="1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Paid membership</w:t>
            </w:r>
          </w:p>
        </w:tc>
        <w:tc>
          <w:tcPr>
            <w:tcW w:type="dxa" w:w="47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5% off even in sales, 6-yr warranty, early access; 3x sales from members; unlocked loyalty by broadening the catalogue to create purchase occasions</w:t>
            </w:r>
          </w:p>
        </w:tc>
      </w:tr>
      <w:tr>
        <w:tc>
          <w:tcPr>
            <w:tcW w:type="dxa" w:w="1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Bewakoof (TriBe)</w:t>
            </w:r>
          </w:p>
        </w:tc>
        <w:tc>
          <w:tcPr>
            <w:tcW w:type="dxa" w:w="13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India / value</w:t>
            </w:r>
          </w:p>
        </w:tc>
        <w:tc>
          <w:tcPr>
            <w:tcW w:type="dxa" w:w="1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Paid</w:t>
            </w:r>
          </w:p>
        </w:tc>
        <w:tc>
          <w:tcPr>
            <w:tcW w:type="dxa" w:w="4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₹99/3mo–₹129/yr; free shipping, 24-hr early access; “pays for itself in 2–3 orders”</w:t>
            </w:r>
          </w:p>
        </w:tc>
      </w:tr>
      <w:tr>
        <w:tc>
          <w:tcPr>
            <w:tcW w:type="dxa" w:w="1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Anker</w:t>
            </w:r>
          </w:p>
        </w:tc>
        <w:tc>
          <w:tcPr>
            <w:tcW w:type="dxa" w:w="13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Global / mid</w:t>
            </w:r>
          </w:p>
        </w:tc>
        <w:tc>
          <w:tcPr>
            <w:tcW w:type="dxa" w:w="1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Points + paid</w:t>
            </w:r>
          </w:p>
        </w:tc>
        <w:tc>
          <w:tcPr>
            <w:tcW w:type="dxa" w:w="47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AnkerCredits ($1=1cr → 12/20/25% coupon ladder) + Anker Plus $15/yr (next-day delivery, extended warranty)</w:t>
            </w:r>
          </w:p>
        </w:tc>
      </w:tr>
      <w:tr>
        <w:tc>
          <w:tcPr>
            <w:tcW w:type="dxa" w:w="1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The Souled Store</w:t>
            </w:r>
          </w:p>
        </w:tc>
        <w:tc>
          <w:tcPr>
            <w:tcW w:type="dxa" w:w="13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India / value–mid</w:t>
            </w:r>
          </w:p>
        </w:tc>
        <w:tc>
          <w:tcPr>
            <w:tcW w:type="dxa" w:w="1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Points + paid</w:t>
            </w:r>
          </w:p>
        </w:tc>
        <w:tc>
          <w:tcPr>
            <w:tcW w:type="dxa" w:w="4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TSS Coins return up to 20% of cart as credits — high-visibility repeat driver</w:t>
            </w:r>
          </w:p>
        </w:tc>
      </w:tr>
      <w:tr>
        <w:tc>
          <w:tcPr>
            <w:tcW w:type="dxa" w:w="1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Zouk (Insider)</w:t>
            </w:r>
          </w:p>
        </w:tc>
        <w:tc>
          <w:tcPr>
            <w:tcW w:type="dxa" w:w="13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India / value–mid</w:t>
            </w:r>
          </w:p>
        </w:tc>
        <w:tc>
          <w:tcPr>
            <w:tcW w:type="dxa" w:w="1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Points</w:t>
            </w:r>
          </w:p>
        </w:tc>
        <w:tc>
          <w:tcPr>
            <w:tcW w:type="dxa" w:w="47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Every engagement action earns credits; ₹100 first-purchase cashback</w:t>
            </w:r>
          </w:p>
        </w:tc>
      </w:tr>
      <w:tr>
        <w:tc>
          <w:tcPr>
            <w:tcW w:type="dxa" w:w="1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Wildcraft / Skybags</w:t>
            </w:r>
          </w:p>
        </w:tc>
        <w:tc>
          <w:tcPr>
            <w:tcW w:type="dxa" w:w="13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India / mid</w:t>
            </w:r>
          </w:p>
        </w:tc>
        <w:tc>
          <w:tcPr>
            <w:tcW w:type="dxa" w:w="1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Tiered (retail)</w:t>
            </w:r>
          </w:p>
        </w:tc>
        <w:tc>
          <w:tcPr>
            <w:tcW w:type="dxa" w:w="4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Silver/Gold/Platinum 1–4 pts/₹100 — but store-only redemption limits a D2C world</w:t>
            </w:r>
          </w:p>
        </w:tc>
      </w:tr>
      <w:tr>
        <w:tc>
          <w:tcPr>
            <w:tcW w:type="dxa" w:w="1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MOFT / Baseus</w:t>
            </w:r>
          </w:p>
        </w:tc>
        <w:tc>
          <w:tcPr>
            <w:tcW w:type="dxa" w:w="13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Global / mid</w:t>
            </w:r>
          </w:p>
        </w:tc>
        <w:tc>
          <w:tcPr>
            <w:tcW w:type="dxa" w:w="1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Points (light)</w:t>
            </w:r>
          </w:p>
        </w:tc>
        <w:tc>
          <w:tcPr>
            <w:tcW w:type="dxa" w:w="47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Points + referral + birthday perks</w:t>
            </w:r>
          </w:p>
        </w:tc>
      </w:tr>
      <w:tr>
        <w:tc>
          <w:tcPr>
            <w:tcW w:type="dxa" w:w="1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boAt</w:t>
            </w:r>
          </w:p>
        </w:tc>
        <w:tc>
          <w:tcPr>
            <w:tcW w:type="dxa" w:w="13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India / mass</w:t>
            </w:r>
          </w:p>
        </w:tc>
        <w:tc>
          <w:tcPr>
            <w:tcW w:type="dxa" w:w="1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Community</w:t>
            </w:r>
          </w:p>
        </w:tc>
        <w:tc>
          <w:tcPr>
            <w:tcW w:type="dxa" w:w="47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“boAthead” tribe identity over a thin points engine</w:t>
            </w:r>
          </w:p>
        </w:tc>
      </w:tr>
      <w:tr>
        <w:tc>
          <w:tcPr>
            <w:tcW w:type="dxa" w:w="1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Bellroy, Peak Design, Nomad, Native Union, PopSockets, Fossil, Mous, Assembly, Uppercase</w:t>
            </w:r>
          </w:p>
        </w:tc>
        <w:tc>
          <w:tcPr>
            <w:tcW w:type="dxa" w:w="13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Global &amp; India / premium</w:t>
            </w:r>
          </w:p>
        </w:tc>
        <w:tc>
          <w:tcPr>
            <w:tcW w:type="dxa" w:w="1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NONE</w:t>
            </w:r>
          </w:p>
        </w:tc>
        <w:tc>
          <w:tcPr>
            <w:tcW w:type="dxa" w:w="47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No structured loyalty at all — newsletters, bundles, warranty and community only. This is the whitespace.</w:t>
            </w:r>
          </w:p>
        </w:tc>
      </w:tr>
    </w:tbl>
    <w:p>
      <w:pPr>
        <w:spacing w:after="60"/>
      </w:pPr>
    </w:p>
    <w:tbl>
      <w:tblPr>
        <w:tblW w:type="dxa" w:w="9360"/>
        <w:tblBorders>
          <w:top w:val="none"/>
          <w:left w:val="single" w:color="B45F3B" w:sz="24"/>
          <w:bottom w:val="none"/>
          <w:right w:val="none"/>
          <w:insideH w:val="none"/>
          <w:insideV w:val="none"/>
        </w:tblBorders>
      </w:tblPr>
      <w:tblGrid>
        <w:gridCol w:w="9360"/>
      </w:tblGrid>
      <w:tr>
        <w:tc>
          <w:tcPr>
            <w:tcW w:type="dxa" w:w="9360"/>
            <w:shd w:fill="EAF0EF" w:color="auto" w:val="clear"/>
            <w:tcMar>
              <w:top w:type="dxa" w:w="120"/>
              <w:left w:type="dxa" w:w="180"/>
              <w:bottom w:type="dxa" w:w="120"/>
              <w:right w:type="dxa" w:w="160"/>
            </w:tcMar>
          </w:tcPr>
          <w:p>
            <w:pPr>
              <w:spacing w:after="40"/>
            </w:pPr>
            <w:r>
              <w:rPr>
                <w:rFonts w:ascii="Calibri" w:cs="Calibri" w:eastAsia="Calibri" w:hAnsi="Calibri"/>
                <w:b/>
                <w:bCs/>
                <w:color w:val="B45F3B"/>
                <w:sz w:val="20"/>
                <w:szCs w:val="20"/>
              </w:rPr>
              <w:t xml:space="preserve">The comparable-set verdict</w:t>
            </w:r>
          </w:p>
          <w:p>
            <w:pPr>
              <w:spacing w:after="40" w:line="264"/>
            </w:pPr>
            <w:r>
              <w:rPr>
                <w:rFonts w:ascii="Calibri" w:cs="Calibri" w:eastAsia="Calibri" w:hAnsi="Calibri"/>
                <w:color w:val="2B2B2B"/>
                <w:sz w:val="20"/>
                <w:szCs w:val="20"/>
              </w:rPr>
              <w:t xml:space="preserve">DailyObjects already has a flat, voucher-style points programme — but the proven in-category upgrades are Casetify (tiers + birthday + warranty perk) and Mokobara (paid tier + sale-proof discount + long warranty).</w:t>
            </w:r>
          </w:p>
          <w:p>
            <w:pPr>
              <w:spacing w:after="40" w:line="264"/>
            </w:pPr>
            <w:r>
              <w:rPr>
                <w:rFonts w:ascii="Calibri" w:cs="Calibri" w:eastAsia="Calibri" w:hAnsi="Calibri"/>
                <w:color w:val="2B2B2B"/>
                <w:sz w:val="20"/>
                <w:szCs w:val="20"/>
              </w:rPr>
              <w:t xml:space="preserve">Crucially, most premium global design peers run no programme at all. A thoughtful, community-flavoured, non-discount membership is therefore a genuine differentiator for DailyObjects, not a me-too.</w:t>
            </w:r>
          </w:p>
        </w:tc>
      </w:tr>
    </w:tbl>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7.  Customer Experience Analysis</w:t>
      </w:r>
    </w:p>
    <w:p>
      <w:pPr>
        <w:spacing w:after="120" w:line="276"/>
        <w:jc w:val="both"/>
      </w:pPr>
      <w:r>
        <w:rPr>
          <w:rFonts w:ascii="Calibri" w:cs="Calibri" w:eastAsia="Calibri" w:hAnsi="Calibri"/>
          <w:color w:val="2B2B2B"/>
          <w:sz w:val="21"/>
          <w:szCs w:val="21"/>
        </w:rPr>
        <w:t xml:space="preserve">What does it actually feel like to be a member? Mapping the 14-step member experience across programmes reveals where DailyObjects can win on feel, not just mechanics.</w:t>
      </w:r>
    </w:p>
    <w:tbl>
      <w:tblPr>
        <w:tblW w:type="dxa" w:w="9360"/>
        <w:tblBorders>
          <w:top w:val="single" w:color="C9C2BA" w:sz="2"/>
          <w:left w:val="none"/>
          <w:bottom w:val="single" w:color="C9C2BA" w:sz="2"/>
          <w:right w:val="none"/>
          <w:insideH w:val="single" w:color="D9D2CB" w:sz="2"/>
          <w:insideV w:val="none"/>
        </w:tblBorders>
      </w:tblPr>
      <w:tblGrid>
        <w:gridCol w:w="2200"/>
        <w:gridCol w:w="7160"/>
      </w:tblGrid>
      <w:tr>
        <w:trPr>
          <w:tblHeader/>
        </w:trPr>
        <w:tc>
          <w:tcPr>
            <w:tcW w:type="dxa" w:w="22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Experience stage</w:t>
            </w:r>
          </w:p>
        </w:tc>
        <w:tc>
          <w:tcPr>
            <w:tcW w:type="dxa" w:w="716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Best-practice behaviour observed (and the DailyObjects implication)</w:t>
            </w:r>
          </w:p>
        </w:tc>
      </w:tr>
      <w:tr>
        <w:tc>
          <w:tcPr>
            <w:tcW w:type="dxa" w:w="22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 Sign-up</w:t>
            </w:r>
          </w:p>
        </w:tc>
        <w:tc>
          <w:tcPr>
            <w:tcW w:type="dxa" w:w="71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Frictionless, one-tap (Nike, phone-OTP in India). → DailyObjects: auto-enrol at checkout on phone number; instant welcome bonus.</w:t>
            </w:r>
          </w:p>
        </w:tc>
      </w:tr>
      <w:tr>
        <w:tc>
          <w:tcPr>
            <w:tcW w:type="dxa" w:w="22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2. First interaction</w:t>
            </w:r>
          </w:p>
        </w:tc>
        <w:tc>
          <w:tcPr>
            <w:tcW w:type="dxa" w:w="71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Immediate value shown (Sephora points visible; Nike welcome perks). → Show points earned + tier on the order confirmation &amp; unboxing.</w:t>
            </w:r>
          </w:p>
        </w:tc>
      </w:tr>
      <w:tr>
        <w:tc>
          <w:tcPr>
            <w:tcW w:type="dxa" w:w="22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3. First reward</w:t>
            </w:r>
          </w:p>
        </w:tc>
        <w:tc>
          <w:tcPr>
            <w:tcW w:type="dxa" w:w="71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Fast, reachable (endowed progress). → First reward attainable in 1–2 orders.</w:t>
            </w:r>
          </w:p>
        </w:tc>
      </w:tr>
      <w:tr>
        <w:tc>
          <w:tcPr>
            <w:tcW w:type="dxa" w:w="22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4. Earning</w:t>
            </w:r>
          </w:p>
        </w:tc>
        <w:tc>
          <w:tcPr>
            <w:tcW w:type="dxa" w:w="71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Legible “₹→points→₹”; bonus for engagement (Myntra). → Simple base rate + bonus missions.</w:t>
            </w:r>
          </w:p>
        </w:tc>
      </w:tr>
      <w:tr>
        <w:tc>
          <w:tcPr>
            <w:tcW w:type="dxa" w:w="22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5. Tracking</w:t>
            </w:r>
          </w:p>
        </w:tc>
        <w:tc>
          <w:tcPr>
            <w:tcW w:type="dxa" w:w="71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Live progress bar + “X to next tier” (Marriott/Sephora). → App/web dashboard with tier &amp; Stack progress.</w:t>
            </w:r>
          </w:p>
        </w:tc>
      </w:tr>
      <w:tr>
        <w:tc>
          <w:tcPr>
            <w:tcW w:type="dxa" w:w="22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6. Redemption</w:t>
            </w:r>
          </w:p>
        </w:tc>
        <w:tc>
          <w:tcPr>
            <w:tcW w:type="dxa" w:w="71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Easy, aspirational (Tira full-size product; Sephora Bazaar). → Redeem for product/experiences, not only discount.</w:t>
            </w:r>
          </w:p>
        </w:tc>
      </w:tr>
      <w:tr>
        <w:tc>
          <w:tcPr>
            <w:tcW w:type="dxa" w:w="22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7. Tier progression</w:t>
            </w:r>
          </w:p>
        </w:tc>
        <w:tc>
          <w:tcPr>
            <w:tcW w:type="dxa" w:w="71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Celebrated, status-marked (Sephora Rouge). → Named tiers, “member since,” upgrade moment.</w:t>
            </w:r>
          </w:p>
        </w:tc>
      </w:tr>
      <w:tr>
        <w:tc>
          <w:tcPr>
            <w:tcW w:type="dxa" w:w="22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8. Personalisation</w:t>
            </w:r>
          </w:p>
        </w:tc>
        <w:tc>
          <w:tcPr>
            <w:tcW w:type="dxa" w:w="71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Next-best category, device-aware (Sephora, Nike). → MoEngage journeys by device/category/RFM.</w:t>
            </w:r>
          </w:p>
        </w:tc>
      </w:tr>
      <w:tr>
        <w:tc>
          <w:tcPr>
            <w:tcW w:type="dxa" w:w="22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9. Communications</w:t>
            </w:r>
          </w:p>
        </w:tc>
        <w:tc>
          <w:tcPr>
            <w:tcW w:type="dxa" w:w="71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Timely, multi-channel, not spammy (MUJI restraint). → WhatsApp-led, event-triggered.</w:t>
            </w:r>
          </w:p>
        </w:tc>
      </w:tr>
      <w:tr>
        <w:tc>
          <w:tcPr>
            <w:tcW w:type="dxa" w:w="22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10. Customer service</w:t>
            </w:r>
          </w:p>
        </w:tc>
        <w:tc>
          <w:tcPr>
            <w:tcW w:type="dxa" w:w="71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Priority for members (Amex). → Priority support at higher tiers.</w:t>
            </w:r>
          </w:p>
        </w:tc>
      </w:tr>
      <w:tr>
        <w:tc>
          <w:tcPr>
            <w:tcW w:type="dxa" w:w="22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11. Offline interaction</w:t>
            </w:r>
          </w:p>
        </w:tc>
        <w:tc>
          <w:tcPr>
            <w:tcW w:type="dxa" w:w="71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Recognised at POS by ID (Sephora/Decathlon). → Phone number at EBO till; consistent balance.</w:t>
            </w:r>
          </w:p>
        </w:tc>
      </w:tr>
      <w:tr>
        <w:tc>
          <w:tcPr>
            <w:tcW w:type="dxa" w:w="22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12. App experience</w:t>
            </w:r>
          </w:p>
        </w:tc>
        <w:tc>
          <w:tcPr>
            <w:tcW w:type="dxa" w:w="71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The hub (Starbucks). → Early drops, Stack builder, wallet, tracking.</w:t>
            </w:r>
          </w:p>
        </w:tc>
      </w:tr>
      <w:tr>
        <w:tc>
          <w:tcPr>
            <w:tcW w:type="dxa" w:w="22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13. Website experience</w:t>
            </w:r>
          </w:p>
        </w:tc>
        <w:tc>
          <w:tcPr>
            <w:tcW w:type="dxa" w:w="71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Points/tier visible at checkout. → Apply benefits automatically.</w:t>
            </w:r>
          </w:p>
        </w:tc>
      </w:tr>
      <w:tr>
        <w:tc>
          <w:tcPr>
            <w:tcW w:type="dxa" w:w="22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14. Post-purchase</w:t>
            </w:r>
          </w:p>
        </w:tc>
        <w:tc>
          <w:tcPr>
            <w:tcW w:type="dxa" w:w="71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Premium unboxing, care, review ask (Apple-like). → DailyObjects’ packaging is already a “reward” — lean into it.</w:t>
            </w:r>
          </w:p>
        </w:tc>
      </w:tr>
    </w:tbl>
    <w:p>
      <w:pPr>
        <w:spacing w:after="60"/>
      </w:pPr>
    </w:p>
    <w:tbl>
      <w:tblPr>
        <w:tblW w:type="dxa" w:w="9360"/>
        <w:tblBorders>
          <w:top w:val="none"/>
          <w:left w:val="single" w:color="2C6E6B" w:sz="24"/>
          <w:bottom w:val="none"/>
          <w:right w:val="none"/>
          <w:insideH w:val="none"/>
          <w:insideV w:val="none"/>
        </w:tblBorders>
      </w:tblPr>
      <w:tblGrid>
        <w:gridCol w:w="9360"/>
      </w:tblGrid>
      <w:tr>
        <w:tc>
          <w:tcPr>
            <w:tcW w:type="dxa" w:w="9360"/>
            <w:shd w:fill="EAF0EF" w:color="auto" w:val="clear"/>
            <w:tcMar>
              <w:top w:type="dxa" w:w="120"/>
              <w:left w:type="dxa" w:w="180"/>
              <w:bottom w:type="dxa" w:w="120"/>
              <w:right w:type="dxa" w:w="160"/>
            </w:tcMar>
          </w:tcPr>
          <w:p>
            <w:pPr>
              <w:spacing w:after="40"/>
            </w:pPr>
            <w:r>
              <w:rPr>
                <w:rFonts w:ascii="Calibri" w:cs="Calibri" w:eastAsia="Calibri" w:hAnsi="Calibri"/>
                <w:b/>
                <w:bCs/>
                <w:color w:val="2C6E6B"/>
                <w:sz w:val="20"/>
                <w:szCs w:val="20"/>
              </w:rPr>
              <w:t xml:space="preserve">Experience principle</w:t>
            </w:r>
          </w:p>
          <w:p>
            <w:pPr>
              <w:spacing w:after="40" w:line="264"/>
            </w:pPr>
            <w:r>
              <w:rPr>
                <w:rFonts w:ascii="Calibri" w:cs="Calibri" w:eastAsia="Calibri" w:hAnsi="Calibri"/>
                <w:color w:val="2B2B2B"/>
                <w:sz w:val="20"/>
                <w:szCs w:val="20"/>
              </w:rPr>
              <w:t xml:space="preserve">DailyObjects’ product and packaging already deliver a premium first-reward moment. The programme should extend that feeling into recognition and access — the member experience should feel like being “let in,” not like collecting coupons.</w:t>
            </w:r>
          </w:p>
        </w:tc>
      </w:tr>
    </w:tbl>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8.  Business Objectives Behind Loyalty</w:t>
      </w:r>
    </w:p>
    <w:p>
      <w:pPr>
        <w:spacing w:after="120" w:line="276"/>
        <w:jc w:val="both"/>
      </w:pPr>
      <w:r>
        <w:rPr>
          <w:rFonts w:ascii="Calibri" w:cs="Calibri" w:eastAsia="Calibri" w:hAnsi="Calibri"/>
          <w:color w:val="2B2B2B"/>
          <w:sz w:val="21"/>
          <w:szCs w:val="21"/>
        </w:rPr>
        <w:t xml:space="preserve">Not every programme exists to “increase retention.” Separating observed from inferred objectives clarifies what to copy — and what to leave behind.</w:t>
      </w:r>
    </w:p>
    <w:tbl>
      <w:tblPr>
        <w:tblW w:type="dxa" w:w="9360"/>
        <w:tblBorders>
          <w:top w:val="single" w:color="C9C2BA" w:sz="2"/>
          <w:left w:val="none"/>
          <w:bottom w:val="single" w:color="C9C2BA" w:sz="2"/>
          <w:right w:val="none"/>
          <w:insideH w:val="single" w:color="D9D2CB" w:sz="2"/>
          <w:insideV w:val="none"/>
        </w:tblBorders>
      </w:tblPr>
      <w:tblGrid>
        <w:gridCol w:w="2300"/>
        <w:gridCol w:w="3100"/>
        <w:gridCol w:w="3960"/>
      </w:tblGrid>
      <w:tr>
        <w:trPr>
          <w:tblHeader/>
        </w:trPr>
        <w:tc>
          <w:tcPr>
            <w:tcW w:type="dxa" w:w="23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Programme</w:t>
            </w:r>
          </w:p>
        </w:tc>
        <w:tc>
          <w:tcPr>
            <w:tcW w:type="dxa" w:w="31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Observed objective</w:t>
            </w:r>
          </w:p>
        </w:tc>
        <w:tc>
          <w:tcPr>
            <w:tcW w:type="dxa" w:w="396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Inferred strategic objective</w:t>
            </w:r>
          </w:p>
        </w:tc>
      </w:tr>
      <w:tr>
        <w:tc>
          <w:tcPr>
            <w:tcW w:type="dxa" w:w="23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Sephora</w:t>
            </w:r>
          </w:p>
        </w:tc>
        <w:tc>
          <w:tcPr>
            <w:tcW w:type="dxa" w:w="3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Frequency, trade-up</w:t>
            </w:r>
          </w:p>
        </w:tc>
        <w:tc>
          <w:tcPr>
            <w:tcW w:type="dxa" w:w="39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First-party beauty data + emotional moat vs Ulta/Amazon</w:t>
            </w:r>
          </w:p>
        </w:tc>
      </w:tr>
      <w:tr>
        <w:tc>
          <w:tcPr>
            <w:tcW w:type="dxa" w:w="23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Starbucks</w:t>
            </w:r>
          </w:p>
        </w:tc>
        <w:tc>
          <w:tcPr>
            <w:tcW w:type="dxa" w:w="31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Frequency, mobile-order adoption</w:t>
            </w:r>
          </w:p>
        </w:tc>
        <w:tc>
          <w:tcPr>
            <w:tcW w:type="dxa" w:w="39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Stored-value float, breakage revenue, data-driven personalisation</w:t>
            </w:r>
          </w:p>
        </w:tc>
      </w:tr>
      <w:tr>
        <w:tc>
          <w:tcPr>
            <w:tcW w:type="dxa" w:w="23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Amazon Prime</w:t>
            </w:r>
          </w:p>
        </w:tc>
        <w:tc>
          <w:tcPr>
            <w:tcW w:type="dxa" w:w="3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Share of wallet</w:t>
            </w:r>
          </w:p>
        </w:tc>
        <w:tc>
          <w:tcPr>
            <w:tcW w:type="dxa" w:w="39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Subscription P&amp;L + ecosystem lock-in (content flywheel)</w:t>
            </w:r>
          </w:p>
        </w:tc>
      </w:tr>
      <w:tr>
        <w:tc>
          <w:tcPr>
            <w:tcW w:type="dxa" w:w="23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Marriott</w:t>
            </w:r>
          </w:p>
        </w:tc>
        <w:tc>
          <w:tcPr>
            <w:tcW w:type="dxa" w:w="31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Direct booking</w:t>
            </w:r>
          </w:p>
        </w:tc>
        <w:tc>
          <w:tcPr>
            <w:tcW w:type="dxa" w:w="39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Bypass OTA commissions; card/partner ancillary revenue</w:t>
            </w:r>
          </w:p>
        </w:tc>
      </w:tr>
      <w:tr>
        <w:tc>
          <w:tcPr>
            <w:tcW w:type="dxa" w:w="23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Amex</w:t>
            </w:r>
          </w:p>
        </w:tc>
        <w:tc>
          <w:tcPr>
            <w:tcW w:type="dxa" w:w="3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Card retention</w:t>
            </w:r>
          </w:p>
        </w:tc>
        <w:tc>
          <w:tcPr>
            <w:tcW w:type="dxa" w:w="39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Fee revenue + interchange; premium brand signalling</w:t>
            </w:r>
          </w:p>
        </w:tc>
      </w:tr>
      <w:tr>
        <w:tc>
          <w:tcPr>
            <w:tcW w:type="dxa" w:w="23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Nike</w:t>
            </w:r>
          </w:p>
        </w:tc>
        <w:tc>
          <w:tcPr>
            <w:tcW w:type="dxa" w:w="31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App engagement</w:t>
            </w:r>
          </w:p>
        </w:tc>
        <w:tc>
          <w:tcPr>
            <w:tcW w:type="dxa" w:w="39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DTC margin capture + first-party data; reduce wholesale reliance</w:t>
            </w:r>
          </w:p>
        </w:tc>
      </w:tr>
      <w:tr>
        <w:tc>
          <w:tcPr>
            <w:tcW w:type="dxa" w:w="23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Lululemon</w:t>
            </w:r>
          </w:p>
        </w:tc>
        <w:tc>
          <w:tcPr>
            <w:tcW w:type="dxa" w:w="3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Community depth</w:t>
            </w:r>
          </w:p>
        </w:tc>
        <w:tc>
          <w:tcPr>
            <w:tcW w:type="dxa" w:w="39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Brand identity reinforcement; data; app engagement</w:t>
            </w:r>
          </w:p>
        </w:tc>
      </w:tr>
      <w:tr>
        <w:tc>
          <w:tcPr>
            <w:tcW w:type="dxa" w:w="23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Diptyque</w:t>
            </w:r>
          </w:p>
        </w:tc>
        <w:tc>
          <w:tcPr>
            <w:tcW w:type="dxa" w:w="31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Trial de-risking</w:t>
            </w:r>
          </w:p>
        </w:tc>
        <w:tc>
          <w:tcPr>
            <w:tcW w:type="dxa" w:w="39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Protect price integrity &amp; luxury equity</w:t>
            </w:r>
          </w:p>
        </w:tc>
      </w:tr>
      <w:tr>
        <w:tc>
          <w:tcPr>
            <w:tcW w:type="dxa" w:w="23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Casetify / Mokobara</w:t>
            </w:r>
          </w:p>
        </w:tc>
        <w:tc>
          <w:tcPr>
            <w:tcW w:type="dxa" w:w="3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Repeat &amp; AOV</w:t>
            </w:r>
          </w:p>
        </w:tc>
        <w:tc>
          <w:tcPr>
            <w:tcW w:type="dxa" w:w="39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Retention economics + cross-category expansion in accessories</w:t>
            </w:r>
          </w:p>
        </w:tc>
      </w:tr>
    </w:tbl>
    <w:p>
      <w:pPr>
        <w:spacing w:after="60"/>
      </w:pPr>
    </w:p>
    <w:p>
      <w:pPr>
        <w:pStyle w:val="Heading3"/>
        <w:spacing w:after="60" w:before="160"/>
      </w:pPr>
      <w:r>
        <w:rPr>
          <w:rFonts w:ascii="Calibri" w:cs="Calibri" w:eastAsia="Calibri" w:hAnsi="Calibri"/>
          <w:b/>
          <w:bCs/>
          <w:color w:val="2C6E6B"/>
          <w:sz w:val="22"/>
          <w:szCs w:val="22"/>
        </w:rPr>
        <w:t xml:space="preserve">DailyObjects’ objectives, ranked</w:t>
      </w:r>
    </w:p>
    <w:p>
      <w:pPr>
        <w:pStyle w:val="ListParagraph"/>
        <w:numPr>
          <w:ilvl w:val="0"/>
          <w:numId w:val="3"/>
        </w:numPr>
        <w:spacing w:after="60" w:line="268"/>
      </w:pPr>
      <w:r>
        <w:rPr>
          <w:rFonts w:ascii="Calibri" w:cs="Calibri" w:eastAsia="Calibri" w:hAnsi="Calibri"/>
          <w:b/>
          <w:bCs/>
          <w:color w:val="2B2B2B"/>
          <w:sz w:val="21"/>
          <w:szCs w:val="21"/>
        </w:rPr>
        <w:t xml:space="preserve">Lift first→second purchase and repeat rate (the biggest value lever).</w:t>
      </w:r>
    </w:p>
    <w:p>
      <w:pPr>
        <w:pStyle w:val="ListParagraph"/>
        <w:numPr>
          <w:ilvl w:val="0"/>
          <w:numId w:val="3"/>
        </w:numPr>
        <w:spacing w:after="60" w:line="268"/>
      </w:pPr>
      <w:r>
        <w:rPr>
          <w:rFonts w:ascii="Calibri" w:cs="Calibri" w:eastAsia="Calibri" w:hAnsi="Calibri"/>
          <w:color w:val="2B2B2B"/>
          <w:sz w:val="21"/>
          <w:szCs w:val="21"/>
        </w:rPr>
        <w:t xml:space="preserve">Grow cross-category penetration and AOV (case → charging → bag → desk).</w:t>
      </w:r>
    </w:p>
    <w:p>
      <w:pPr>
        <w:pStyle w:val="ListParagraph"/>
        <w:numPr>
          <w:ilvl w:val="0"/>
          <w:numId w:val="3"/>
        </w:numPr>
        <w:spacing w:after="60" w:line="268"/>
      </w:pPr>
      <w:r>
        <w:rPr>
          <w:rFonts w:ascii="Calibri" w:cs="Calibri" w:eastAsia="Calibri" w:hAnsi="Calibri"/>
          <w:color w:val="2B2B2B"/>
          <w:sz w:val="21"/>
          <w:szCs w:val="21"/>
        </w:rPr>
        <w:t xml:space="preserve">Build a unified first-party identity across web, app, marketplace and 150 stores.</w:t>
      </w:r>
    </w:p>
    <w:p>
      <w:pPr>
        <w:pStyle w:val="ListParagraph"/>
        <w:numPr>
          <w:ilvl w:val="0"/>
          <w:numId w:val="3"/>
        </w:numPr>
        <w:spacing w:after="60" w:line="268"/>
      </w:pPr>
      <w:r>
        <w:rPr>
          <w:rFonts w:ascii="Calibri" w:cs="Calibri" w:eastAsia="Calibri" w:hAnsi="Calibri"/>
          <w:color w:val="2B2B2B"/>
          <w:sz w:val="21"/>
          <w:szCs w:val="21"/>
        </w:rPr>
        <w:t xml:space="preserve">Reduce paid-acquisition dependence via retention + referral.</w:t>
      </w:r>
    </w:p>
    <w:p>
      <w:pPr>
        <w:pStyle w:val="ListParagraph"/>
        <w:numPr>
          <w:ilvl w:val="0"/>
          <w:numId w:val="3"/>
        </w:numPr>
        <w:spacing w:after="60" w:line="268"/>
      </w:pPr>
      <w:r>
        <w:rPr>
          <w:rFonts w:ascii="Calibri" w:cs="Calibri" w:eastAsia="Calibri" w:hAnsi="Calibri"/>
          <w:color w:val="2B2B2B"/>
          <w:sz w:val="21"/>
          <w:szCs w:val="21"/>
        </w:rPr>
        <w:t xml:space="preserve">Protect margin by shifting engagement from discounts to status, access and experience.</w:t>
      </w:r>
    </w:p>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9.  Loyalty Economics</w:t>
      </w:r>
    </w:p>
    <w:p>
      <w:pPr>
        <w:spacing w:after="120" w:line="276"/>
        <w:jc w:val="both"/>
      </w:pPr>
      <w:r>
        <w:rPr>
          <w:rFonts w:ascii="Calibri" w:cs="Calibri" w:eastAsia="Calibri" w:hAnsi="Calibri"/>
          <w:color w:val="2B2B2B"/>
          <w:sz w:val="21"/>
          <w:szCs w:val="21"/>
        </w:rPr>
        <w:t xml:space="preserve">Where hard numbers exist we cite them; where they don’t we state so and give the strategic hypothesis DailyObjects should test. Loyalty currency is simultaneously a </w:t>
      </w:r>
      <w:r>
        <w:rPr>
          <w:rFonts w:ascii="Calibri" w:cs="Calibri" w:eastAsia="Calibri" w:hAnsi="Calibri"/>
          <w:b/>
          <w:bCs/>
          <w:color w:val="2B2B2B"/>
          <w:sz w:val="21"/>
          <w:szCs w:val="21"/>
        </w:rPr>
        <w:t xml:space="preserve">balance-sheet liability and a customer promise</w:t>
      </w:r>
      <w:r>
        <w:rPr>
          <w:rFonts w:ascii="Calibri" w:cs="Calibri" w:eastAsia="Calibri" w:hAnsi="Calibri"/>
          <w:color w:val="2B2B2B"/>
          <w:sz w:val="21"/>
          <w:szCs w:val="21"/>
        </w:rPr>
        <w:t xml:space="preserve"> — the economics live in that tension.</w:t>
      </w:r>
    </w:p>
    <w:p>
      <w:pPr>
        <w:pStyle w:val="Heading2"/>
        <w:spacing w:after="90" w:before="240"/>
      </w:pPr>
      <w:r>
        <w:rPr>
          <w:rFonts w:ascii="Calibri" w:cs="Calibri" w:eastAsia="Calibri" w:hAnsi="Calibri"/>
          <w:b/>
          <w:bCs/>
          <w:color w:val="B45F3B"/>
          <w:sz w:val="26"/>
          <w:szCs w:val="26"/>
        </w:rPr>
        <w:t xml:space="preserve">9.1  What the disclosed economics tell us</w:t>
      </w:r>
    </w:p>
    <w:p>
      <w:pPr>
        <w:pStyle w:val="ListParagraph"/>
        <w:numPr>
          <w:ilvl w:val="0"/>
          <w:numId w:val="2"/>
        </w:numPr>
        <w:spacing w:after="60" w:line="268"/>
      </w:pPr>
      <w:r>
        <w:rPr>
          <w:rFonts w:ascii="Calibri" w:cs="Calibri" w:eastAsia="Calibri" w:hAnsi="Calibri"/>
          <w:b/>
          <w:bCs/>
          <w:color w:val="2B2B2B"/>
          <w:sz w:val="21"/>
          <w:szCs w:val="21"/>
        </w:rPr>
        <w:t xml:space="preserve">Float &amp; breakage are real revenue: </w:t>
      </w:r>
      <w:r>
        <w:rPr>
          <w:rFonts w:ascii="Calibri" w:cs="Calibri" w:eastAsia="Calibri" w:hAnsi="Calibri"/>
          <w:color w:val="2B2B2B"/>
          <w:sz w:val="21"/>
          <w:szCs w:val="21"/>
        </w:rPr>
        <w:t xml:space="preserve">Starbucks carries ~$1.85B stored-value/loyalty float and recognised ~$207M breakage in 2024. Under ASC 606 loyalty currency is deferred revenue; breakage estimates govern how much is recognised early.</w:t>
      </w:r>
    </w:p>
    <w:p>
      <w:pPr>
        <w:pStyle w:val="ListParagraph"/>
        <w:numPr>
          <w:ilvl w:val="0"/>
          <w:numId w:val="2"/>
        </w:numPr>
        <w:spacing w:after="60" w:line="268"/>
      </w:pPr>
      <w:r>
        <w:rPr>
          <w:rFonts w:ascii="Calibri" w:cs="Calibri" w:eastAsia="Calibri" w:hAnsi="Calibri"/>
          <w:b/>
          <w:bCs/>
          <w:color w:val="2B2B2B"/>
          <w:sz w:val="21"/>
          <w:szCs w:val="21"/>
        </w:rPr>
        <w:t xml:space="preserve">Paid membership can be its own P&amp;L: </w:t>
      </w:r>
      <w:r>
        <w:rPr>
          <w:rFonts w:ascii="Calibri" w:cs="Calibri" w:eastAsia="Calibri" w:hAnsi="Calibri"/>
          <w:color w:val="2B2B2B"/>
          <w:sz w:val="21"/>
          <w:szCs w:val="21"/>
        </w:rPr>
        <w:t xml:space="preserve">Amazon’s subscription segment is $49.6B FY2025; the model works because perceived value (~$1,437) dwarfs the $139 fee.</w:t>
      </w:r>
    </w:p>
    <w:p>
      <w:pPr>
        <w:pStyle w:val="ListParagraph"/>
        <w:numPr>
          <w:ilvl w:val="0"/>
          <w:numId w:val="2"/>
        </w:numPr>
        <w:spacing w:after="60" w:line="268"/>
      </w:pPr>
      <w:r>
        <w:rPr>
          <w:rFonts w:ascii="Calibri" w:cs="Calibri" w:eastAsia="Calibri" w:hAnsi="Calibri"/>
          <w:b/>
          <w:bCs/>
          <w:color w:val="2B2B2B"/>
          <w:sz w:val="21"/>
          <w:szCs w:val="21"/>
        </w:rPr>
        <w:t xml:space="preserve">Member penetration signals data value: </w:t>
      </w:r>
      <w:r>
        <w:rPr>
          <w:rFonts w:ascii="Calibri" w:cs="Calibri" w:eastAsia="Calibri" w:hAnsi="Calibri"/>
          <w:color w:val="2B2B2B"/>
          <w:sz w:val="21"/>
          <w:szCs w:val="21"/>
        </w:rPr>
        <w:t xml:space="preserve">Sephora members ≈ 80% of transactions; Decathlon identified members ≈ 52% of revenue — the ROI is identification &amp; personalisation, not the discount.</w:t>
      </w:r>
    </w:p>
    <w:p>
      <w:pPr>
        <w:pStyle w:val="ListParagraph"/>
        <w:numPr>
          <w:ilvl w:val="0"/>
          <w:numId w:val="2"/>
        </w:numPr>
        <w:spacing w:after="60" w:line="268"/>
      </w:pPr>
      <w:r>
        <w:rPr>
          <w:rFonts w:ascii="Calibri" w:cs="Calibri" w:eastAsia="Calibri" w:hAnsi="Calibri"/>
          <w:b/>
          <w:bCs/>
          <w:color w:val="2B2B2B"/>
          <w:sz w:val="21"/>
          <w:szCs w:val="21"/>
        </w:rPr>
        <w:t xml:space="preserve">Retention compounds: </w:t>
      </w:r>
      <w:r>
        <w:rPr>
          <w:rFonts w:ascii="Calibri" w:cs="Calibri" w:eastAsia="Calibri" w:hAnsi="Calibri"/>
          <w:color w:val="2B2B2B"/>
          <w:sz w:val="21"/>
          <w:szCs w:val="21"/>
        </w:rPr>
        <w:t xml:space="preserve">the widely cited Bain/HBR finding — a 5% increase in retention can lift profits 25–95%.</w:t>
      </w:r>
    </w:p>
    <w:p>
      <w:pPr>
        <w:pStyle w:val="Heading2"/>
        <w:spacing w:after="90" w:before="240"/>
      </w:pPr>
      <w:r>
        <w:rPr>
          <w:rFonts w:ascii="Calibri" w:cs="Calibri" w:eastAsia="Calibri" w:hAnsi="Calibri"/>
          <w:b/>
          <w:bCs/>
          <w:color w:val="B45F3B"/>
          <w:sz w:val="26"/>
          <w:szCs w:val="26"/>
        </w:rPr>
        <w:t xml:space="preserve">9.2  The DailyObjects economic model — hypotheses to test (numbers unavailable; do not invent)</w:t>
      </w:r>
    </w:p>
    <w:tbl>
      <w:tblPr>
        <w:tblW w:type="dxa" w:w="9360"/>
        <w:tblBorders>
          <w:top w:val="single" w:color="C9C2BA" w:sz="2"/>
          <w:left w:val="none"/>
          <w:bottom w:val="single" w:color="C9C2BA" w:sz="2"/>
          <w:right w:val="none"/>
          <w:insideH w:val="single" w:color="D9D2CB" w:sz="2"/>
          <w:insideV w:val="none"/>
        </w:tblBorders>
      </w:tblPr>
      <w:tblGrid>
        <w:gridCol w:w="3000"/>
        <w:gridCol w:w="6360"/>
      </w:tblGrid>
      <w:tr>
        <w:trPr>
          <w:tblHeader/>
        </w:trPr>
        <w:tc>
          <w:tcPr>
            <w:tcW w:type="dxa" w:w="30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Lever</w:t>
            </w:r>
          </w:p>
        </w:tc>
        <w:tc>
          <w:tcPr>
            <w:tcW w:type="dxa" w:w="636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Hypothesis &amp; what to measure</w:t>
            </w:r>
          </w:p>
        </w:tc>
      </w:tr>
      <w:tr>
        <w:tc>
          <w:tcPr>
            <w:tcW w:type="dxa" w:w="30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Reward cost</w:t>
            </w:r>
          </w:p>
        </w:tc>
        <w:tc>
          <w:tcPr>
            <w:tcW w:type="dxa" w:w="63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Keep effective reward rate ~3–6% funded from incremental margin + breakage. Measure: reward cost / member, redemption rate, breakage %.</w:t>
            </w:r>
          </w:p>
        </w:tc>
      </w:tr>
      <w:tr>
        <w:tc>
          <w:tcPr>
            <w:tcW w:type="dxa" w:w="30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Incremental revenue</w:t>
            </w:r>
          </w:p>
        </w:tc>
        <w:tc>
          <w:tcPr>
            <w:tcW w:type="dxa" w:w="63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Membership lifts repeat rate &amp; cross-category. Measure vs holdout: incremental orders, revenue/member.</w:t>
            </w:r>
          </w:p>
        </w:tc>
      </w:tr>
      <w:tr>
        <w:tc>
          <w:tcPr>
            <w:tcW w:type="dxa" w:w="30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Incremental AOV</w:t>
            </w:r>
          </w:p>
        </w:tc>
        <w:tc>
          <w:tcPr>
            <w:tcW w:type="dxa" w:w="63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Free-shipping thresholds &amp; bundles raise AOV. Measure: AOV member vs holdout at matched cohort.</w:t>
            </w:r>
          </w:p>
        </w:tc>
      </w:tr>
      <w:tr>
        <w:tc>
          <w:tcPr>
            <w:tcW w:type="dxa" w:w="30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Margin impact</w:t>
            </w:r>
          </w:p>
        </w:tc>
        <w:tc>
          <w:tcPr>
            <w:tcW w:type="dxa" w:w="63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Status/access (near-zero marginal cost) protects margin vs discounting. Measure: contribution margin/member vs holdout.</w:t>
            </w:r>
          </w:p>
        </w:tc>
      </w:tr>
      <w:tr>
        <w:tc>
          <w:tcPr>
            <w:tcW w:type="dxa" w:w="30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Liability &amp; breakage</w:t>
            </w:r>
          </w:p>
        </w:tc>
        <w:tc>
          <w:tcPr>
            <w:tcW w:type="dxa" w:w="63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Points outstanding = deferred revenue. Measure: liability balance, breakage forecast, expiry-driven redemption.</w:t>
            </w:r>
          </w:p>
        </w:tc>
      </w:tr>
      <w:tr>
        <w:tc>
          <w:tcPr>
            <w:tcW w:type="dxa" w:w="30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Paid tier (later)</w:t>
            </w:r>
          </w:p>
        </w:tc>
        <w:tc>
          <w:tcPr>
            <w:tcW w:type="dxa" w:w="63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DO+ fee must clear a visible “pays for itself” bar (free shipping + credits). Measure: take-up, fee revenue, incremental margin net of benefits.</w:t>
            </w:r>
          </w:p>
        </w:tc>
      </w:tr>
      <w:tr>
        <w:tc>
          <w:tcPr>
            <w:tcW w:type="dxa" w:w="30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CLV</w:t>
            </w:r>
          </w:p>
        </w:tc>
        <w:tc>
          <w:tcPr>
            <w:tcW w:type="dxa" w:w="63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Member CLV &gt; non-member CLV after selection bias is removed via holdout. Measure: cohort CLV, CLV:CAC.</w:t>
            </w:r>
          </w:p>
        </w:tc>
      </w:tr>
    </w:tbl>
    <w:p>
      <w:pPr>
        <w:spacing w:after="60"/>
      </w:pPr>
    </w:p>
    <w:tbl>
      <w:tblPr>
        <w:tblW w:type="dxa" w:w="9360"/>
        <w:tblBorders>
          <w:top w:val="none"/>
          <w:left w:val="single" w:color="2C6E6B" w:sz="24"/>
          <w:bottom w:val="none"/>
          <w:right w:val="none"/>
          <w:insideH w:val="none"/>
          <w:insideV w:val="none"/>
        </w:tblBorders>
      </w:tblPr>
      <w:tblGrid>
        <w:gridCol w:w="9360"/>
      </w:tblGrid>
      <w:tr>
        <w:tc>
          <w:tcPr>
            <w:tcW w:type="dxa" w:w="9360"/>
            <w:shd w:fill="EAF0EF" w:color="auto" w:val="clear"/>
            <w:tcMar>
              <w:top w:type="dxa" w:w="120"/>
              <w:left w:type="dxa" w:w="180"/>
              <w:bottom w:type="dxa" w:w="120"/>
              <w:right w:type="dxa" w:w="160"/>
            </w:tcMar>
          </w:tcPr>
          <w:p>
            <w:pPr>
              <w:spacing w:after="40"/>
            </w:pPr>
            <w:r>
              <w:rPr>
                <w:rFonts w:ascii="Calibri" w:cs="Calibri" w:eastAsia="Calibri" w:hAnsi="Calibri"/>
                <w:b/>
                <w:bCs/>
                <w:color w:val="2C6E6B"/>
                <w:sz w:val="20"/>
                <w:szCs w:val="20"/>
              </w:rPr>
              <w:t xml:space="preserve">Economic discipline</w:t>
            </w:r>
          </w:p>
          <w:p>
            <w:pPr>
              <w:spacing w:after="40" w:line="264"/>
            </w:pPr>
            <w:r>
              <w:rPr>
                <w:rFonts w:ascii="Calibri" w:cs="Calibri" w:eastAsia="Calibri" w:hAnsi="Calibri"/>
                <w:color w:val="2B2B2B"/>
                <w:sz w:val="20"/>
                <w:szCs w:val="20"/>
              </w:rPr>
              <w:t xml:space="preserve">Fund rewards from incrementality and margin — never from every transaction. Treat breakage as a natural by-product, never a goal (the Air Miles trap). Prove positive incremental contribution per member versus a holdout before scaling spend on the programme.</w:t>
            </w:r>
          </w:p>
        </w:tc>
      </w:tr>
    </w:tbl>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10.  Omnichannel Loyalty</w:t>
      </w:r>
    </w:p>
    <w:p>
      <w:pPr>
        <w:spacing w:after="120" w:line="276"/>
        <w:jc w:val="both"/>
      </w:pPr>
      <w:r>
        <w:rPr>
          <w:rFonts w:ascii="Calibri" w:cs="Calibri" w:eastAsia="Calibri" w:hAnsi="Calibri"/>
          <w:color w:val="2B2B2B"/>
          <w:sz w:val="21"/>
          <w:szCs w:val="21"/>
        </w:rPr>
        <w:t xml:space="preserve">A programme is not omnichannel merely because it has a website and an app. Genuine omnichannel loyalty means the customer is </w:t>
      </w:r>
      <w:r>
        <w:rPr>
          <w:rFonts w:ascii="Calibri" w:cs="Calibri" w:eastAsia="Calibri" w:hAnsi="Calibri"/>
          <w:b/>
          <w:bCs/>
          <w:color w:val="2B2B2B"/>
          <w:sz w:val="21"/>
          <w:szCs w:val="21"/>
        </w:rPr>
        <w:t xml:space="preserve">the same recognised person, with the same balance and status, in real time, everywhere</w:t>
      </w:r>
      <w:r>
        <w:rPr>
          <w:rFonts w:ascii="Calibri" w:cs="Calibri" w:eastAsia="Calibri" w:hAnsi="Calibri"/>
          <w:color w:val="2B2B2B"/>
          <w:sz w:val="21"/>
          <w:szCs w:val="21"/>
        </w:rPr>
        <w:t xml:space="preserve"> — app, web, store POS, marketplace and service. Most “omnichannel” programmes are really multichannel: they exist in several places but don’t share a brain.</w:t>
      </w:r>
    </w:p>
    <w:p>
      <w:pPr>
        <w:pStyle w:val="Heading2"/>
        <w:spacing w:after="90" w:before="240"/>
      </w:pPr>
      <w:r>
        <w:rPr>
          <w:rFonts w:ascii="Calibri" w:cs="Calibri" w:eastAsia="Calibri" w:hAnsi="Calibri"/>
          <w:b/>
          <w:bCs/>
          <w:color w:val="B45F3B"/>
          <w:sz w:val="26"/>
          <w:szCs w:val="26"/>
        </w:rPr>
        <w:t xml:space="preserve">10.1  Exemplars</w:t>
      </w:r>
    </w:p>
    <w:p>
      <w:pPr>
        <w:pStyle w:val="ListParagraph"/>
        <w:numPr>
          <w:ilvl w:val="0"/>
          <w:numId w:val="2"/>
        </w:numPr>
        <w:spacing w:after="60" w:line="268"/>
      </w:pPr>
      <w:r>
        <w:rPr>
          <w:rFonts w:ascii="Calibri" w:cs="Calibri" w:eastAsia="Calibri" w:hAnsi="Calibri"/>
          <w:b/>
          <w:bCs/>
          <w:color w:val="2B2B2B"/>
          <w:sz w:val="21"/>
          <w:szCs w:val="21"/>
        </w:rPr>
        <w:t xml:space="preserve">Sephora </w:t>
      </w:r>
      <w:r>
        <w:rPr>
          <w:rFonts w:ascii="Calibri" w:cs="Calibri" w:eastAsia="Calibri" w:hAnsi="Calibri"/>
          <w:color w:val="2B2B2B"/>
          <w:sz w:val="21"/>
          <w:szCs w:val="21"/>
        </w:rPr>
        <w:t xml:space="preserve">— ~74M active members, ~80% of transactions to one ID; in-store diagnostics enrich the digital profile; AR shade-match correlates with ~30% fewer returns.</w:t>
      </w:r>
    </w:p>
    <w:p>
      <w:pPr>
        <w:pStyle w:val="ListParagraph"/>
        <w:numPr>
          <w:ilvl w:val="0"/>
          <w:numId w:val="2"/>
        </w:numPr>
        <w:spacing w:after="60" w:line="268"/>
      </w:pPr>
      <w:r>
        <w:rPr>
          <w:rFonts w:ascii="Calibri" w:cs="Calibri" w:eastAsia="Calibri" w:hAnsi="Calibri"/>
          <w:b/>
          <w:bCs/>
          <w:color w:val="2B2B2B"/>
          <w:sz w:val="21"/>
          <w:szCs w:val="21"/>
        </w:rPr>
        <w:t xml:space="preserve">Nike </w:t>
      </w:r>
      <w:r>
        <w:rPr>
          <w:rFonts w:ascii="Calibri" w:cs="Calibri" w:eastAsia="Calibri" w:hAnsi="Calibri"/>
          <w:color w:val="2B2B2B"/>
          <w:sz w:val="21"/>
          <w:szCs w:val="21"/>
        </w:rPr>
        <w:t xml:space="preserve">— one account across stores, .com, SNKRS, NRC/NTC; behaviour (workouts), not just purchases, earns recognition.</w:t>
      </w:r>
    </w:p>
    <w:p>
      <w:pPr>
        <w:pStyle w:val="ListParagraph"/>
        <w:numPr>
          <w:ilvl w:val="0"/>
          <w:numId w:val="2"/>
        </w:numPr>
        <w:spacing w:after="60" w:line="268"/>
      </w:pPr>
      <w:r>
        <w:rPr>
          <w:rFonts w:ascii="Calibri" w:cs="Calibri" w:eastAsia="Calibri" w:hAnsi="Calibri"/>
          <w:b/>
          <w:bCs/>
          <w:color w:val="2B2B2B"/>
          <w:sz w:val="21"/>
          <w:szCs w:val="21"/>
        </w:rPr>
        <w:t xml:space="preserve">Starbucks </w:t>
      </w:r>
      <w:r>
        <w:rPr>
          <w:rFonts w:ascii="Calibri" w:cs="Calibri" w:eastAsia="Calibri" w:hAnsi="Calibri"/>
          <w:color w:val="2B2B2B"/>
          <w:sz w:val="21"/>
          <w:szCs w:val="21"/>
        </w:rPr>
        <w:t xml:space="preserve">— fuses ordering + payment + loyalty in one app; the unified wallet becomes a financial asset (float + breakage).</w:t>
      </w:r>
    </w:p>
    <w:p>
      <w:pPr>
        <w:pStyle w:val="ListParagraph"/>
        <w:numPr>
          <w:ilvl w:val="0"/>
          <w:numId w:val="2"/>
        </w:numPr>
        <w:spacing w:after="60" w:line="268"/>
      </w:pPr>
      <w:r>
        <w:rPr>
          <w:rFonts w:ascii="Calibri" w:cs="Calibri" w:eastAsia="Calibri" w:hAnsi="Calibri"/>
          <w:b/>
          <w:bCs/>
          <w:color w:val="2B2B2B"/>
          <w:sz w:val="21"/>
          <w:szCs w:val="21"/>
        </w:rPr>
        <w:t xml:space="preserve">Decathlon </w:t>
      </w:r>
      <w:r>
        <w:rPr>
          <w:rFonts w:ascii="Calibri" w:cs="Calibri" w:eastAsia="Calibri" w:hAnsi="Calibri"/>
          <w:color w:val="2B2B2B"/>
          <w:sz w:val="21"/>
          <w:szCs w:val="21"/>
        </w:rPr>
        <w:t xml:space="preserve">— purchases across online/mobile/store link to one account (identified members ≈52% of revenue); rewards even for circular behaviour (repairs, resale).</w:t>
      </w:r>
    </w:p>
    <w:p>
      <w:pPr>
        <w:pStyle w:val="ListParagraph"/>
        <w:numPr>
          <w:ilvl w:val="0"/>
          <w:numId w:val="2"/>
        </w:numPr>
        <w:spacing w:after="60" w:line="268"/>
      </w:pPr>
      <w:r>
        <w:rPr>
          <w:rFonts w:ascii="Calibri" w:cs="Calibri" w:eastAsia="Calibri" w:hAnsi="Calibri"/>
          <w:b/>
          <w:bCs/>
          <w:color w:val="2B2B2B"/>
          <w:sz w:val="21"/>
          <w:szCs w:val="21"/>
        </w:rPr>
        <w:t xml:space="preserve">Tata Neu (cautionary) </w:t>
      </w:r>
      <w:r>
        <w:rPr>
          <w:rFonts w:ascii="Calibri" w:cs="Calibri" w:eastAsia="Calibri" w:hAnsi="Calibri"/>
          <w:color w:val="2B2B2B"/>
          <w:sz w:val="21"/>
          <w:szCs w:val="21"/>
        </w:rPr>
        <w:t xml:space="preserve">— a cross-brand currency undermined by legacy-integration pain and weak cross-vertical usage: a shared currency is necessary but not sufficient without working identity/ledger integration and a compelling reason-to-use.</w:t>
      </w:r>
    </w:p>
    <w:p>
      <w:pPr>
        <w:pStyle w:val="Heading2"/>
        <w:spacing w:after="90" w:before="240"/>
      </w:pPr>
      <w:r>
        <w:rPr>
          <w:rFonts w:ascii="Calibri" w:cs="Calibri" w:eastAsia="Calibri" w:hAnsi="Calibri"/>
          <w:b/>
          <w:bCs/>
          <w:color w:val="B45F3B"/>
          <w:sz w:val="26"/>
          <w:szCs w:val="26"/>
        </w:rPr>
        <w:t xml:space="preserve">10.2  Minimum capability stack (dependency order)</w:t>
      </w:r>
    </w:p>
    <w:tbl>
      <w:tblPr>
        <w:tblW w:type="dxa" w:w="9360"/>
        <w:tblBorders>
          <w:top w:val="single" w:color="C9C2BA" w:sz="2"/>
          <w:left w:val="none"/>
          <w:bottom w:val="single" w:color="C9C2BA" w:sz="2"/>
          <w:right w:val="none"/>
          <w:insideH w:val="single" w:color="D9D2CB" w:sz="2"/>
          <w:insideV w:val="none"/>
        </w:tblBorders>
      </w:tblPr>
      <w:tblGrid>
        <w:gridCol w:w="560"/>
        <w:gridCol w:w="2900"/>
        <w:gridCol w:w="5900"/>
      </w:tblGrid>
      <w:tr>
        <w:trPr>
          <w:tblHeader/>
        </w:trPr>
        <w:tc>
          <w:tcPr>
            <w:tcW w:type="dxa" w:w="56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w:t>
            </w:r>
          </w:p>
        </w:tc>
        <w:tc>
          <w:tcPr>
            <w:tcW w:type="dxa" w:w="29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Capability</w:t>
            </w:r>
          </w:p>
        </w:tc>
        <w:tc>
          <w:tcPr>
            <w:tcW w:type="dxa" w:w="59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Why</w:t>
            </w:r>
          </w:p>
        </w:tc>
      </w:tr>
      <w:tr>
        <w:tc>
          <w:tcPr>
            <w:tcW w:type="dxa" w:w="5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w:t>
            </w:r>
          </w:p>
        </w:tc>
        <w:tc>
          <w:tcPr>
            <w:tcW w:type="dxa" w:w="2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Unified Customer ID</w:t>
            </w:r>
          </w:p>
        </w:tc>
        <w:tc>
          <w:tcPr>
            <w:tcW w:type="dxa" w:w="5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One persistent profile per person across every channel — the foundation (Sephora’s ~80% benchmark).</w:t>
            </w:r>
          </w:p>
        </w:tc>
      </w:tr>
      <w:tr>
        <w:tc>
          <w:tcPr>
            <w:tcW w:type="dxa" w:w="5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2</w:t>
            </w:r>
          </w:p>
        </w:tc>
        <w:tc>
          <w:tcPr>
            <w:tcW w:type="dxa" w:w="2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Identity resolution (phone-OTP + email + loyalty ID)</w:t>
            </w:r>
          </w:p>
        </w:tc>
        <w:tc>
          <w:tcPr>
            <w:tcW w:type="dxa" w:w="5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Stitch anonymous web/app sessions to the known in-store customer; deterministic &gt; probabilistic. In India, phone number is the key.</w:t>
            </w:r>
          </w:p>
        </w:tc>
      </w:tr>
      <w:tr>
        <w:tc>
          <w:tcPr>
            <w:tcW w:type="dxa" w:w="5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3</w:t>
            </w:r>
          </w:p>
        </w:tc>
        <w:tc>
          <w:tcPr>
            <w:tcW w:type="dxa" w:w="2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CDP</w:t>
            </w:r>
          </w:p>
        </w:tc>
        <w:tc>
          <w:tcPr>
            <w:tcW w:type="dxa" w:w="5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Ingest CRM, POS, e-comm, app, marketplace, web into one real-time profile.</w:t>
            </w:r>
          </w:p>
        </w:tc>
      </w:tr>
      <w:tr>
        <w:tc>
          <w:tcPr>
            <w:tcW w:type="dxa" w:w="5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4</w:t>
            </w:r>
          </w:p>
        </w:tc>
        <w:tc>
          <w:tcPr>
            <w:tcW w:type="dxa" w:w="2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Single wallet / unified points+value ledger</w:t>
            </w:r>
          </w:p>
        </w:tc>
        <w:tc>
          <w:tcPr>
            <w:tcW w:type="dxa" w:w="5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One balance that debits/credits identically everywhere — avoids “why is my balance different in store?”</w:t>
            </w:r>
          </w:p>
        </w:tc>
      </w:tr>
      <w:tr>
        <w:tc>
          <w:tcPr>
            <w:tcW w:type="dxa" w:w="5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5</w:t>
            </w:r>
          </w:p>
        </w:tc>
        <w:tc>
          <w:tcPr>
            <w:tcW w:type="dxa" w:w="2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POS integration (real-time, bidirectional)</w:t>
            </w:r>
          </w:p>
        </w:tc>
        <w:tc>
          <w:tcPr>
            <w:tcW w:type="dxa" w:w="5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Identify member, earn/burn against the same ledger, enrich the profile at the moment of sale.</w:t>
            </w:r>
          </w:p>
        </w:tc>
      </w:tr>
      <w:tr>
        <w:tc>
          <w:tcPr>
            <w:tcW w:type="dxa" w:w="5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6</w:t>
            </w:r>
          </w:p>
        </w:tc>
        <w:tc>
          <w:tcPr>
            <w:tcW w:type="dxa" w:w="2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Cross-channel earn AND redeem</w:t>
            </w:r>
          </w:p>
        </w:tc>
        <w:tc>
          <w:tcPr>
            <w:tcW w:type="dxa" w:w="5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Never “sorry, that reward only works online.”</w:t>
            </w:r>
          </w:p>
        </w:tc>
      </w:tr>
      <w:tr>
        <w:tc>
          <w:tcPr>
            <w:tcW w:type="dxa" w:w="5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7</w:t>
            </w:r>
          </w:p>
        </w:tc>
        <w:tc>
          <w:tcPr>
            <w:tcW w:type="dxa" w:w="2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Real-time processing &amp; consistency</w:t>
            </w:r>
          </w:p>
        </w:tc>
        <w:tc>
          <w:tcPr>
            <w:tcW w:type="dxa" w:w="5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Balance/tier/offers within seconds; server-validated redemption (anti-fraud).</w:t>
            </w:r>
          </w:p>
        </w:tc>
      </w:tr>
      <w:tr>
        <w:tc>
          <w:tcPr>
            <w:tcW w:type="dxa" w:w="5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8</w:t>
            </w:r>
          </w:p>
        </w:tc>
        <w:tc>
          <w:tcPr>
            <w:tcW w:type="dxa" w:w="2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Personalisation / orchestration</w:t>
            </w:r>
          </w:p>
        </w:tc>
        <w:tc>
          <w:tcPr>
            <w:tcW w:type="dxa" w:w="5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Offers, tier triggers and lifecycle across email/SMS/push/WhatsApp/store-associate tools.</w:t>
            </w:r>
          </w:p>
        </w:tc>
      </w:tr>
      <w:tr>
        <w:tc>
          <w:tcPr>
            <w:tcW w:type="dxa" w:w="5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9</w:t>
            </w:r>
          </w:p>
        </w:tc>
        <w:tc>
          <w:tcPr>
            <w:tcW w:type="dxa" w:w="2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Operational plumbing</w:t>
            </w:r>
          </w:p>
        </w:tc>
        <w:tc>
          <w:tcPr>
            <w:tcW w:type="dxa" w:w="5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Click-&amp;-collect, ship-from-store, endless aisle, unified inventory that recognition rides on.</w:t>
            </w:r>
          </w:p>
        </w:tc>
      </w:tr>
    </w:tbl>
    <w:p>
      <w:pPr>
        <w:spacing w:after="60"/>
      </w:pPr>
    </w:p>
    <w:tbl>
      <w:tblPr>
        <w:tblW w:type="dxa" w:w="9360"/>
        <w:tblBorders>
          <w:top w:val="none"/>
          <w:left w:val="single" w:color="B45F3B" w:sz="24"/>
          <w:bottom w:val="none"/>
          <w:right w:val="none"/>
          <w:insideH w:val="none"/>
          <w:insideV w:val="none"/>
        </w:tblBorders>
      </w:tblPr>
      <w:tblGrid>
        <w:gridCol w:w="9360"/>
      </w:tblGrid>
      <w:tr>
        <w:tc>
          <w:tcPr>
            <w:tcW w:type="dxa" w:w="9360"/>
            <w:shd w:fill="EAF0EF" w:color="auto" w:val="clear"/>
            <w:tcMar>
              <w:top w:type="dxa" w:w="120"/>
              <w:left w:type="dxa" w:w="180"/>
              <w:bottom w:type="dxa" w:w="120"/>
              <w:right w:type="dxa" w:w="160"/>
            </w:tcMar>
          </w:tcPr>
          <w:p>
            <w:pPr>
              <w:spacing w:after="40"/>
            </w:pPr>
            <w:r>
              <w:rPr>
                <w:rFonts w:ascii="Calibri" w:cs="Calibri" w:eastAsia="Calibri" w:hAnsi="Calibri"/>
                <w:b/>
                <w:bCs/>
                <w:color w:val="B45F3B"/>
                <w:sz w:val="20"/>
                <w:szCs w:val="20"/>
              </w:rPr>
              <w:t xml:space="preserve">DailyObjects’ omnichannel moat</w:t>
            </w:r>
          </w:p>
          <w:p>
            <w:pPr>
              <w:spacing w:after="40" w:line="264"/>
            </w:pPr>
            <w:r>
              <w:rPr>
                <w:rFonts w:ascii="Calibri" w:cs="Calibri" w:eastAsia="Calibri" w:hAnsi="Calibri"/>
                <w:color w:val="2B2B2B"/>
                <w:sz w:val="20"/>
                <w:szCs w:val="20"/>
              </w:rPr>
              <w:t xml:space="preserve">Because DailyObjects is building 150 stores plus airport and Apple-partner presence while most D2C loyalty stays web-only, phone-number identity that is recognised and transactable in every store is a durable moat — the single most important build. Get it right and the programme becomes the CRM backbone of the whole company.</w:t>
            </w:r>
          </w:p>
        </w:tc>
      </w:tr>
    </w:tbl>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11.  Failure &amp; Underperformance Case Studies</w:t>
      </w:r>
    </w:p>
    <w:p>
      <w:pPr>
        <w:spacing w:after="120" w:line="276"/>
        <w:jc w:val="both"/>
      </w:pPr>
      <w:r>
        <w:rPr>
          <w:rFonts w:ascii="Calibri" w:cs="Calibri" w:eastAsia="Calibri" w:hAnsi="Calibri"/>
          <w:color w:val="2B2B2B"/>
          <w:sz w:val="21"/>
          <w:szCs w:val="21"/>
        </w:rPr>
        <w:t xml:space="preserve">Eleven cautionary cases. The recurring pattern: the business optimises the </w:t>
      </w:r>
      <w:r>
        <w:rPr>
          <w:rFonts w:ascii="Calibri" w:cs="Calibri" w:eastAsia="Calibri" w:hAnsi="Calibri"/>
          <w:b/>
          <w:bCs/>
          <w:color w:val="2B2B2B"/>
          <w:sz w:val="21"/>
          <w:szCs w:val="21"/>
        </w:rPr>
        <w:t xml:space="preserve">liability</w:t>
      </w:r>
      <w:r>
        <w:rPr>
          <w:rFonts w:ascii="Calibri" w:cs="Calibri" w:eastAsia="Calibri" w:hAnsi="Calibri"/>
          <w:color w:val="2B2B2B"/>
          <w:sz w:val="21"/>
          <w:szCs w:val="21"/>
        </w:rPr>
        <w:t xml:space="preserve"> (cutting cost, chasing spend, harvesting breakage) at the expense of the </w:t>
      </w:r>
      <w:r>
        <w:rPr>
          <w:rFonts w:ascii="Calibri" w:cs="Calibri" w:eastAsia="Calibri" w:hAnsi="Calibri"/>
          <w:b/>
          <w:bCs/>
          <w:color w:val="2B2B2B"/>
          <w:sz w:val="21"/>
          <w:szCs w:val="21"/>
        </w:rPr>
        <w:t xml:space="preserve">promise</w:t>
      </w:r>
      <w:r>
        <w:rPr>
          <w:rFonts w:ascii="Calibri" w:cs="Calibri" w:eastAsia="Calibri" w:hAnsi="Calibri"/>
          <w:color w:val="2B2B2B"/>
          <w:sz w:val="21"/>
          <w:szCs w:val="21"/>
        </w:rPr>
        <w:t xml:space="preserve"> — and makes changes abruptly, without notice or a value story.</w:t>
      </w:r>
    </w:p>
    <w:tbl>
      <w:tblPr>
        <w:tblW w:type="dxa" w:w="9360"/>
        <w:tblBorders>
          <w:top w:val="single" w:color="C9C2BA" w:sz="2"/>
          <w:left w:val="none"/>
          <w:bottom w:val="single" w:color="C9C2BA" w:sz="2"/>
          <w:right w:val="none"/>
          <w:insideH w:val="single" w:color="D9D2CB" w:sz="2"/>
          <w:insideV w:val="none"/>
        </w:tblBorders>
      </w:tblPr>
      <w:tblGrid>
        <w:gridCol w:w="2100"/>
        <w:gridCol w:w="3300"/>
        <w:gridCol w:w="3960"/>
      </w:tblGrid>
      <w:tr>
        <w:trPr>
          <w:tblHeader/>
        </w:trPr>
        <w:tc>
          <w:tcPr>
            <w:tcW w:type="dxa" w:w="21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Case</w:t>
            </w:r>
          </w:p>
        </w:tc>
        <w:tc>
          <w:tcPr>
            <w:tcW w:type="dxa" w:w="33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What happened / why it failed</w:t>
            </w:r>
          </w:p>
        </w:tc>
        <w:tc>
          <w:tcPr>
            <w:tcW w:type="dxa" w:w="396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Lesson for DailyObjects</w:t>
            </w:r>
          </w:p>
        </w:tc>
      </w:tr>
      <w:tr>
        <w:tc>
          <w:tcPr>
            <w:tcW w:type="dxa" w:w="2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Delta SkyMiles 2023</w:t>
            </w:r>
          </w:p>
        </w:tc>
        <w:tc>
          <w:tcPr>
            <w:tcW w:type="dxa" w:w="33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Shifted status to $-spent, doubled thresholds, gated lounges; severed flying↔status. CEO: “went too far”; rolled back in a month.</w:t>
            </w:r>
          </w:p>
        </w:tc>
        <w:tc>
          <w:tcPr>
            <w:tcW w:type="dxa" w:w="39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Never make status feel bought vs earned; pre-announce and pilot; keep an emotional earning path.</w:t>
            </w:r>
          </w:p>
        </w:tc>
      </w:tr>
      <w:tr>
        <w:tc>
          <w:tcPr>
            <w:tcW w:type="dxa" w:w="21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Starbucks 2016</w:t>
            </w:r>
          </w:p>
        </w:tc>
        <w:tc>
          <w:tcPr>
            <w:tcW w:type="dxa" w:w="33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Visits→spend earning penalised frequent low-spend buyers (~21 visits vs 12).</w:t>
            </w:r>
          </w:p>
        </w:tc>
        <w:tc>
          <w:tcPr>
            <w:tcW w:type="dxa" w:w="39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Spend-based earning quietly punishes your most frequent customers; keep the first reward reachable in 1–2 orders.</w:t>
            </w:r>
          </w:p>
        </w:tc>
      </w:tr>
      <w:tr>
        <w:tc>
          <w:tcPr>
            <w:tcW w:type="dxa" w:w="2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Plenti (Amex) 2015–18</w:t>
            </w:r>
          </w:p>
        </w:tc>
        <w:tc>
          <w:tcPr>
            <w:tcW w:type="dxa" w:w="33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US multi-brand coalition collapsed: low awareness, partner agendas, confusing UX, no cross-shopping logic.</w:t>
            </w:r>
          </w:p>
        </w:tc>
        <w:tc>
          <w:tcPr>
            <w:tcW w:type="dxa" w:w="39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Coalitions need a shared customer + immediate value; keep the first-party programme simple and owned.</w:t>
            </w:r>
          </w:p>
        </w:tc>
      </w:tr>
      <w:tr>
        <w:tc>
          <w:tcPr>
            <w:tcW w:type="dxa" w:w="21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AIR MILES Canada 2016</w:t>
            </w:r>
          </w:p>
        </w:tc>
        <w:tc>
          <w:tcPr>
            <w:tcW w:type="dxa" w:w="33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Quiet 5-yr expiry to harvest breakage → class action + legislation; cancelled a month before.</w:t>
            </w:r>
          </w:p>
        </w:tc>
        <w:tc>
          <w:tcPr>
            <w:tcW w:type="dxa" w:w="39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Engineered expiry/breakage is a trust bomb and legal risk; make expiry generous, activity-based, reminded.</w:t>
            </w:r>
          </w:p>
        </w:tc>
      </w:tr>
      <w:tr>
        <w:tc>
          <w:tcPr>
            <w:tcW w:type="dxa" w:w="2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Marriott + SPG 2018</w:t>
            </w:r>
          </w:p>
        </w:tc>
        <w:tc>
          <w:tcPr>
            <w:tcW w:type="dxa" w:w="33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Merger devalued prized transfers ~33% + IT meltdown + data breach.</w:t>
            </w:r>
          </w:p>
        </w:tc>
        <w:tc>
          <w:tcPr>
            <w:tcW w:type="dxa" w:w="39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Migrations fail on perceived devaluation AND execution; over-invest in data migration/QA; communicate parity.</w:t>
            </w:r>
          </w:p>
        </w:tc>
      </w:tr>
      <w:tr>
        <w:tc>
          <w:tcPr>
            <w:tcW w:type="dxa" w:w="21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Subway Sub Club →2005</w:t>
            </w:r>
          </w:p>
        </w:tc>
        <w:tc>
          <w:tcPr>
            <w:tcW w:type="dxa" w:w="33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Paper stamp cards destroyed by counterfeit fraud (printers + eBay).</w:t>
            </w:r>
          </w:p>
        </w:tc>
        <w:tc>
          <w:tcPr>
            <w:tcW w:type="dxa" w:w="39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Any manual/physical token is a fraud liability; use account-bound, server-validated digital currency.</w:t>
            </w:r>
          </w:p>
        </w:tc>
      </w:tr>
      <w:tr>
        <w:tc>
          <w:tcPr>
            <w:tcW w:type="dxa" w:w="2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Best Buy Reward Zone →2023</w:t>
            </w:r>
          </w:p>
        </w:tc>
        <w:tc>
          <w:tcPr>
            <w:tcW w:type="dxa" w:w="33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Salami-slice devaluations; free earn ended, points only for card-holders.</w:t>
            </w:r>
          </w:p>
        </w:tc>
        <w:tc>
          <w:tcPr>
            <w:tcW w:type="dxa" w:w="39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Cumulative devaluations erode trust; keep a free, universally-earnable base tier; don’t gate behind a card.</w:t>
            </w:r>
          </w:p>
        </w:tc>
      </w:tr>
      <w:tr>
        <w:tc>
          <w:tcPr>
            <w:tcW w:type="dxa" w:w="21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Tesco Clubcard 2018</w:t>
            </w:r>
          </w:p>
        </w:tc>
        <w:tc>
          <w:tcPr>
            <w:tcW w:type="dxa" w:w="33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Cut partner boost 4x→3x with no notice; public backlash; forced to delay.</w:t>
            </w:r>
          </w:p>
        </w:tc>
        <w:tc>
          <w:tcPr>
            <w:tcW w:type="dxa" w:w="39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Even defensible economics become a crisis without a notice/redemption runway.</w:t>
            </w:r>
          </w:p>
        </w:tc>
      </w:tr>
      <w:tr>
        <w:tc>
          <w:tcPr>
            <w:tcW w:type="dxa" w:w="2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Walgreens 2020</w:t>
            </w:r>
          </w:p>
        </w:tc>
        <w:tc>
          <w:tcPr>
            <w:tcW w:type="dxa" w:w="33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Forced re-opt-in by deadline or lose balance; “Cash” had no fixed value.</w:t>
            </w:r>
          </w:p>
        </w:tc>
        <w:tc>
          <w:tcPr>
            <w:tcW w:type="dxa" w:w="39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Re-enrolment walls shed passive-but-valuable members; auto-migrate balances; keep currency clearly valued.</w:t>
            </w:r>
          </w:p>
        </w:tc>
      </w:tr>
      <w:tr>
        <w:tc>
          <w:tcPr>
            <w:tcW w:type="dxa" w:w="21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JCPenney 2012</w:t>
            </w:r>
          </w:p>
        </w:tc>
        <w:tc>
          <w:tcPr>
            <w:tcW w:type="dxa" w:w="33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Killed coupons/markdowns cold-turkey; SSS −31.7%; CEO fired.</w:t>
            </w:r>
          </w:p>
        </w:tc>
        <w:tc>
          <w:tcPr>
            <w:tcW w:type="dxa" w:w="39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Customers want perceived savings; don’t train discount addiction, but don’t detox a conditioned base cold-turkey.</w:t>
            </w:r>
          </w:p>
        </w:tc>
      </w:tr>
      <w:tr>
        <w:tc>
          <w:tcPr>
            <w:tcW w:type="dxa" w:w="2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Shoppers Optimum</w:t>
            </w:r>
          </w:p>
        </w:tc>
        <w:tc>
          <w:tcPr>
            <w:tcW w:type="dxa" w:w="33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Devalued the high-value redemption events heavy collectors organised spend around.</w:t>
            </w:r>
          </w:p>
        </w:tc>
        <w:tc>
          <w:tcPr>
            <w:tcW w:type="dxa" w:w="39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Best customers build habits around specific redemption mechanics; degrading them is felt acutely.</w:t>
            </w:r>
          </w:p>
        </w:tc>
      </w:tr>
    </w:tbl>
    <w:p>
      <w:pPr>
        <w:spacing w:after="60"/>
      </w:pPr>
    </w:p>
    <w:p>
      <w:pPr>
        <w:pStyle w:val="Heading3"/>
        <w:spacing w:after="60" w:before="160"/>
      </w:pPr>
      <w:r>
        <w:rPr>
          <w:rFonts w:ascii="Calibri" w:cs="Calibri" w:eastAsia="Calibri" w:hAnsi="Calibri"/>
          <w:b/>
          <w:bCs/>
          <w:color w:val="2C6E6B"/>
          <w:sz w:val="22"/>
          <w:szCs w:val="22"/>
        </w:rPr>
        <w:t xml:space="preserve">Failure taxonomy → DailyObjects guardrails</w:t>
      </w:r>
    </w:p>
    <w:p>
      <w:pPr>
        <w:pStyle w:val="ListParagraph"/>
        <w:numPr>
          <w:ilvl w:val="0"/>
          <w:numId w:val="2"/>
        </w:numPr>
        <w:spacing w:after="60" w:line="268"/>
      </w:pPr>
      <w:r>
        <w:rPr>
          <w:rFonts w:ascii="Calibri" w:cs="Calibri" w:eastAsia="Calibri" w:hAnsi="Calibri"/>
          <w:b/>
          <w:bCs/>
          <w:color w:val="2B2B2B"/>
          <w:sz w:val="21"/>
          <w:szCs w:val="21"/>
        </w:rPr>
        <w:t xml:space="preserve">Abrupt devaluation → </w:t>
      </w:r>
      <w:r>
        <w:rPr>
          <w:rFonts w:ascii="Calibri" w:cs="Calibri" w:eastAsia="Calibri" w:hAnsi="Calibri"/>
          <w:color w:val="2B2B2B"/>
          <w:sz w:val="21"/>
          <w:szCs w:val="21"/>
        </w:rPr>
        <w:t xml:space="preserve">always give a redemption runway and pre-announce.</w:t>
      </w:r>
    </w:p>
    <w:p>
      <w:pPr>
        <w:pStyle w:val="ListParagraph"/>
        <w:numPr>
          <w:ilvl w:val="0"/>
          <w:numId w:val="2"/>
        </w:numPr>
        <w:spacing w:after="60" w:line="268"/>
      </w:pPr>
      <w:r>
        <w:rPr>
          <w:rFonts w:ascii="Calibri" w:cs="Calibri" w:eastAsia="Calibri" w:hAnsi="Calibri"/>
          <w:b/>
          <w:bCs/>
          <w:color w:val="2B2B2B"/>
          <w:sz w:val="21"/>
          <w:szCs w:val="21"/>
        </w:rPr>
        <w:t xml:space="preserve">Hurting best/frequent customers → </w:t>
      </w:r>
      <w:r>
        <w:rPr>
          <w:rFonts w:ascii="Calibri" w:cs="Calibri" w:eastAsia="Calibri" w:hAnsi="Calibri"/>
          <w:color w:val="2B2B2B"/>
          <w:sz w:val="21"/>
          <w:szCs w:val="21"/>
        </w:rPr>
        <w:t xml:space="preserve">model every change by cohort first.</w:t>
      </w:r>
    </w:p>
    <w:p>
      <w:pPr>
        <w:pStyle w:val="ListParagraph"/>
        <w:numPr>
          <w:ilvl w:val="0"/>
          <w:numId w:val="2"/>
        </w:numPr>
        <w:spacing w:after="60" w:line="268"/>
      </w:pPr>
      <w:r>
        <w:rPr>
          <w:rFonts w:ascii="Calibri" w:cs="Calibri" w:eastAsia="Calibri" w:hAnsi="Calibri"/>
          <w:b/>
          <w:bCs/>
          <w:color w:val="2B2B2B"/>
          <w:sz w:val="21"/>
          <w:szCs w:val="21"/>
        </w:rPr>
        <w:t xml:space="preserve">Engineered breakage/expiry → </w:t>
      </w:r>
      <w:r>
        <w:rPr>
          <w:rFonts w:ascii="Calibri" w:cs="Calibri" w:eastAsia="Calibri" w:hAnsi="Calibri"/>
          <w:color w:val="2B2B2B"/>
          <w:sz w:val="21"/>
          <w:szCs w:val="21"/>
        </w:rPr>
        <w:t xml:space="preserve">activity-based expiry; auto-migrate balances.</w:t>
      </w:r>
    </w:p>
    <w:p>
      <w:pPr>
        <w:pStyle w:val="ListParagraph"/>
        <w:numPr>
          <w:ilvl w:val="0"/>
          <w:numId w:val="2"/>
        </w:numPr>
        <w:spacing w:after="60" w:line="268"/>
      </w:pPr>
      <w:r>
        <w:rPr>
          <w:rFonts w:ascii="Calibri" w:cs="Calibri" w:eastAsia="Calibri" w:hAnsi="Calibri"/>
          <w:b/>
          <w:bCs/>
          <w:color w:val="2B2B2B"/>
          <w:sz w:val="21"/>
          <w:szCs w:val="21"/>
        </w:rPr>
        <w:t xml:space="preserve">Complexity → </w:t>
      </w:r>
      <w:r>
        <w:rPr>
          <w:rFonts w:ascii="Calibri" w:cs="Calibri" w:eastAsia="Calibri" w:hAnsi="Calibri"/>
          <w:color w:val="2B2B2B"/>
          <w:sz w:val="21"/>
          <w:szCs w:val="21"/>
        </w:rPr>
        <w:t xml:space="preserve">simplicity beats optionality; one clear currency.</w:t>
      </w:r>
    </w:p>
    <w:p>
      <w:pPr>
        <w:pStyle w:val="ListParagraph"/>
        <w:numPr>
          <w:ilvl w:val="0"/>
          <w:numId w:val="2"/>
        </w:numPr>
        <w:spacing w:after="60" w:line="268"/>
      </w:pPr>
      <w:r>
        <w:rPr>
          <w:rFonts w:ascii="Calibri" w:cs="Calibri" w:eastAsia="Calibri" w:hAnsi="Calibri"/>
          <w:b/>
          <w:bCs/>
          <w:color w:val="2B2B2B"/>
          <w:sz w:val="21"/>
          <w:szCs w:val="21"/>
        </w:rPr>
        <w:t xml:space="preserve">Manual-token fraud → </w:t>
      </w:r>
      <w:r>
        <w:rPr>
          <w:rFonts w:ascii="Calibri" w:cs="Calibri" w:eastAsia="Calibri" w:hAnsi="Calibri"/>
          <w:color w:val="2B2B2B"/>
          <w:sz w:val="21"/>
          <w:szCs w:val="21"/>
        </w:rPr>
        <w:t xml:space="preserve">account-bound, server-validated digital only.</w:t>
      </w:r>
    </w:p>
    <w:p>
      <w:pPr>
        <w:pStyle w:val="ListParagraph"/>
        <w:numPr>
          <w:ilvl w:val="0"/>
          <w:numId w:val="2"/>
        </w:numPr>
        <w:spacing w:after="60" w:line="268"/>
      </w:pPr>
      <w:r>
        <w:rPr>
          <w:rFonts w:ascii="Calibri" w:cs="Calibri" w:eastAsia="Calibri" w:hAnsi="Calibri"/>
          <w:b/>
          <w:bCs/>
          <w:color w:val="2B2B2B"/>
          <w:sz w:val="21"/>
          <w:szCs w:val="21"/>
        </w:rPr>
        <w:t xml:space="preserve">Migration failure → </w:t>
      </w:r>
      <w:r>
        <w:rPr>
          <w:rFonts w:ascii="Calibri" w:cs="Calibri" w:eastAsia="Calibri" w:hAnsi="Calibri"/>
          <w:color w:val="2B2B2B"/>
          <w:sz w:val="21"/>
          <w:szCs w:val="21"/>
        </w:rPr>
        <w:t xml:space="preserve">over-invest in data migration + QA.</w:t>
      </w:r>
    </w:p>
    <w:p>
      <w:pPr>
        <w:pStyle w:val="ListParagraph"/>
        <w:numPr>
          <w:ilvl w:val="0"/>
          <w:numId w:val="2"/>
        </w:numPr>
        <w:spacing w:after="60" w:line="268"/>
      </w:pPr>
      <w:r>
        <w:rPr>
          <w:rFonts w:ascii="Calibri" w:cs="Calibri" w:eastAsia="Calibri" w:hAnsi="Calibri"/>
          <w:b/>
          <w:bCs/>
          <w:color w:val="2B2B2B"/>
          <w:sz w:val="21"/>
          <w:szCs w:val="21"/>
        </w:rPr>
        <w:t xml:space="preserve">Discount addiction → </w:t>
      </w:r>
      <w:r>
        <w:rPr>
          <w:rFonts w:ascii="Calibri" w:cs="Calibri" w:eastAsia="Calibri" w:hAnsi="Calibri"/>
          <w:color w:val="2B2B2B"/>
          <w:sz w:val="21"/>
          <w:szCs w:val="21"/>
        </w:rPr>
        <w:t xml:space="preserve">points/tiers/status, not blanket coupons.</w:t>
      </w:r>
    </w:p>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12.  Consumer Psychology of Loyalty</w:t>
      </w:r>
    </w:p>
    <w:p>
      <w:pPr>
        <w:spacing w:after="120" w:line="276"/>
        <w:jc w:val="both"/>
      </w:pPr>
      <w:r>
        <w:rPr>
          <w:rFonts w:ascii="Calibri" w:cs="Calibri" w:eastAsia="Calibri" w:hAnsi="Calibri"/>
          <w:color w:val="2B2B2B"/>
          <w:sz w:val="21"/>
          <w:szCs w:val="21"/>
        </w:rPr>
        <w:t xml:space="preserve">Why people join, engage and abandon — the biases to design with (ethically) and never against.</w:t>
      </w:r>
    </w:p>
    <w:tbl>
      <w:tblPr>
        <w:tblW w:type="dxa" w:w="9360"/>
        <w:tblBorders>
          <w:top w:val="single" w:color="C9C2BA" w:sz="2"/>
          <w:left w:val="none"/>
          <w:bottom w:val="single" w:color="C9C2BA" w:sz="2"/>
          <w:right w:val="none"/>
          <w:insideH w:val="single" w:color="D9D2CB" w:sz="2"/>
          <w:insideV w:val="none"/>
        </w:tblBorders>
      </w:tblPr>
      <w:tblGrid>
        <w:gridCol w:w="2500"/>
        <w:gridCol w:w="6860"/>
      </w:tblGrid>
      <w:tr>
        <w:trPr>
          <w:tblHeader/>
        </w:trPr>
        <w:tc>
          <w:tcPr>
            <w:tcW w:type="dxa" w:w="25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Principle (evidence)</w:t>
            </w:r>
          </w:p>
        </w:tc>
        <w:tc>
          <w:tcPr>
            <w:tcW w:type="dxa" w:w="686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Design implication for DailyObjects</w:t>
            </w:r>
          </w:p>
        </w:tc>
      </w:tr>
      <w:tr>
        <w:tc>
          <w:tcPr>
            <w:tcW w:type="dxa" w:w="2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Goal-gradient effect (Kivetz, Urminsky &amp; Zheng 2006)</w:t>
            </w:r>
          </w:p>
        </w:tc>
        <w:tc>
          <w:tcPr>
            <w:tcW w:type="dxa" w:w="68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Members buy faster nearer a reward. → Show visible progress (“2 orders to your reward”); momentum is strongest in the final stretch.</w:t>
            </w:r>
          </w:p>
        </w:tc>
      </w:tr>
      <w:tr>
        <w:tc>
          <w:tcPr>
            <w:tcW w:type="dxa" w:w="2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Endowed progress (Nunes &amp; Drèze 2006)</w:t>
            </w:r>
          </w:p>
        </w:tc>
        <w:tc>
          <w:tcPr>
            <w:tcW w:type="dxa" w:w="68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 pre-stamped head-start lifts completion 19%→34% — but only if a reason is given. → Enrol members at ~20% progress with a stated “welcome bonus.”</w:t>
            </w:r>
          </w:p>
        </w:tc>
      </w:tr>
      <w:tr>
        <w:tc>
          <w:tcPr>
            <w:tcW w:type="dxa" w:w="2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Loss aversion (Kahneman &amp; Tversky, ~2:1)</w:t>
            </w:r>
          </w:p>
        </w:tc>
        <w:tc>
          <w:tcPr>
            <w:tcW w:type="dxa" w:w="68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Tiers make members work to KEEP status; balances feel owned, so devaluation registers as theft. → Protect earned status and balances.</w:t>
            </w:r>
          </w:p>
        </w:tc>
      </w:tr>
      <w:tr>
        <w:tc>
          <w:tcPr>
            <w:tcW w:type="dxa" w:w="2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Status &amp; recognition</w:t>
            </w:r>
          </w:p>
        </w:tc>
        <w:tc>
          <w:tcPr>
            <w:tcW w:type="dxa" w:w="68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Tier programmes drive materially higher engagement than flat points; even “meaningless” badges work. → Named tiers, “member since,” early drops — cheap, emotionally binding.</w:t>
            </w:r>
          </w:p>
        </w:tc>
      </w:tr>
      <w:tr>
        <w:tc>
          <w:tcPr>
            <w:tcW w:type="dxa" w:w="2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Reciprocity (Cialdini)</w:t>
            </w:r>
          </w:p>
        </w:tc>
        <w:tc>
          <w:tcPr>
            <w:tcW w:type="dxa" w:w="68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Perks read as gifts when fair; backfire when stingy. → Surprise-and-delight yields disproportionate goodwill per rupee.</w:t>
            </w:r>
          </w:p>
        </w:tc>
      </w:tr>
      <w:tr>
        <w:tc>
          <w:tcPr>
            <w:tcW w:type="dxa" w:w="2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Earning the right to indulge (Kivetz &amp; Simonson 2002)</w:t>
            </w:r>
          </w:p>
        </w:tc>
        <w:tc>
          <w:tcPr>
            <w:tcW w:type="dxa" w:w="68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Higher effort → members prefer hedonic/luxury rewards. → Frame top-tier rewards as aspirational product/exclusive drops, not discounts.</w:t>
            </w:r>
          </w:p>
        </w:tc>
      </w:tr>
      <w:tr>
        <w:tc>
          <w:tcPr>
            <w:tcW w:type="dxa" w:w="2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Sunk cost / lock-in</w:t>
            </w:r>
          </w:p>
        </w:tc>
        <w:tc>
          <w:tcPr>
            <w:tcW w:type="dxa" w:w="68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Accumulated points/status are switching costs — but only while the currency feels safe.</w:t>
            </w:r>
          </w:p>
        </w:tc>
      </w:tr>
      <w:tr>
        <w:tc>
          <w:tcPr>
            <w:tcW w:type="dxa" w:w="2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Breakage psychology (ASC 606)</w:t>
            </w:r>
          </w:p>
        </w:tc>
        <w:tc>
          <w:tcPr>
            <w:tcW w:type="dxa" w:w="68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Many programmes profit from inaction. → Treat breakage as by-product, nudge redemption (it deepens habit), model liability conservatively.</w:t>
            </w:r>
          </w:p>
        </w:tc>
      </w:tr>
      <w:tr>
        <w:tc>
          <w:tcPr>
            <w:tcW w:type="dxa" w:w="2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Discount-addiction death spiral</w:t>
            </w:r>
          </w:p>
        </w:tc>
        <w:tc>
          <w:tcPr>
            <w:tcW w:type="dxa" w:w="68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Constant discounting anchors the low price as “real.” → Use currency/status; reserve discounts for targeted member-only moments.</w:t>
            </w:r>
          </w:p>
        </w:tc>
      </w:tr>
    </w:tbl>
    <w:p>
      <w:pPr>
        <w:spacing w:after="60"/>
      </w:pPr>
    </w:p>
    <w:tbl>
      <w:tblPr>
        <w:tblW w:type="dxa" w:w="9360"/>
        <w:tblBorders>
          <w:top w:val="none"/>
          <w:left w:val="single" w:color="2C6E6B" w:sz="24"/>
          <w:bottom w:val="none"/>
          <w:right w:val="none"/>
          <w:insideH w:val="none"/>
          <w:insideV w:val="none"/>
        </w:tblBorders>
      </w:tblPr>
      <w:tblGrid>
        <w:gridCol w:w="9360"/>
      </w:tblGrid>
      <w:tr>
        <w:tc>
          <w:tcPr>
            <w:tcW w:type="dxa" w:w="9360"/>
            <w:shd w:fill="EAF0EF" w:color="auto" w:val="clear"/>
            <w:tcMar>
              <w:top w:type="dxa" w:w="120"/>
              <w:left w:type="dxa" w:w="180"/>
              <w:bottom w:type="dxa" w:w="120"/>
              <w:right w:type="dxa" w:w="160"/>
            </w:tcMar>
          </w:tcPr>
          <w:p>
            <w:pPr>
              <w:spacing w:after="40"/>
            </w:pPr>
            <w:r>
              <w:rPr>
                <w:rFonts w:ascii="Calibri" w:cs="Calibri" w:eastAsia="Calibri" w:hAnsi="Calibri"/>
                <w:b/>
                <w:bCs/>
                <w:color w:val="2C6E6B"/>
                <w:sz w:val="20"/>
                <w:szCs w:val="20"/>
              </w:rPr>
              <w:t xml:space="preserve">Why members abandon</w:t>
            </w:r>
          </w:p>
          <w:p>
            <w:pPr>
              <w:spacing w:after="40" w:line="264"/>
            </w:pPr>
            <w:r>
              <w:rPr>
                <w:rFonts w:ascii="Calibri" w:cs="Calibri" w:eastAsia="Calibri" w:hAnsi="Calibri"/>
                <w:color w:val="2B2B2B"/>
                <w:sz w:val="20"/>
                <w:szCs w:val="20"/>
              </w:rPr>
              <w:t xml:space="preserve">Churn happens when the first reward feels unreachable, a devaluation/expiry breaks the ownership promise, the programme is too complex to see the value, rewards feel stingy, or a re-enrolment wall filters out passive members. Every DailyObjects design choice below is set against these five failure modes.</w:t>
            </w:r>
          </w:p>
        </w:tc>
      </w:tr>
    </w:tbl>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13.  What Makes a Great Programme — Design Framework</w:t>
      </w:r>
    </w:p>
    <w:p>
      <w:pPr>
        <w:spacing w:after="120" w:line="276"/>
        <w:jc w:val="both"/>
      </w:pPr>
      <w:r>
        <w:rPr>
          <w:rFonts w:ascii="Calibri" w:cs="Calibri" w:eastAsia="Calibri" w:hAnsi="Calibri"/>
          <w:color w:val="2B2B2B"/>
          <w:sz w:val="21"/>
          <w:szCs w:val="21"/>
        </w:rPr>
        <w:t xml:space="preserve">Synthesising all benchmarks, a great programme delivers value on eight dimensions — and the best premium programmes over-index on the emotional, experiential, status and community layers, not the purely economic one.</w:t>
      </w:r>
    </w:p>
    <w:tbl>
      <w:tblPr>
        <w:tblW w:type="dxa" w:w="9360"/>
        <w:tblBorders>
          <w:top w:val="single" w:color="C9C2BA" w:sz="2"/>
          <w:left w:val="none"/>
          <w:bottom w:val="single" w:color="C9C2BA" w:sz="2"/>
          <w:right w:val="none"/>
          <w:insideH w:val="single" w:color="D9D2CB" w:sz="2"/>
          <w:insideV w:val="none"/>
        </w:tblBorders>
      </w:tblPr>
      <w:tblGrid>
        <w:gridCol w:w="2400"/>
        <w:gridCol w:w="6960"/>
      </w:tblGrid>
      <w:tr>
        <w:trPr>
          <w:tblHeader/>
        </w:trPr>
        <w:tc>
          <w:tcPr>
            <w:tcW w:type="dxa" w:w="24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Value dimension</w:t>
            </w:r>
          </w:p>
        </w:tc>
        <w:tc>
          <w:tcPr>
            <w:tcW w:type="dxa" w:w="696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The question it answers / who does it well</w:t>
            </w:r>
          </w:p>
        </w:tc>
      </w:tr>
      <w:tr>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 Functional</w:t>
            </w:r>
          </w:p>
        </w:tc>
        <w:tc>
          <w:tcPr>
            <w:tcW w:type="dxa" w:w="69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Does it make buying &amp; using easier? (saved prefs, free shipping, easy returns) — Amazon, Lululemon</w:t>
            </w:r>
          </w:p>
        </w:tc>
      </w:tr>
      <w:tr>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2. Economic</w:t>
            </w:r>
          </w:p>
        </w:tc>
        <w:tc>
          <w:tcPr>
            <w:tcW w:type="dxa" w:w="69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 believable financial worth without training discount addiction — Ulta, H&amp;M</w:t>
            </w:r>
          </w:p>
        </w:tc>
      </w:tr>
      <w:tr>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3. Emotional</w:t>
            </w:r>
          </w:p>
        </w:tc>
        <w:tc>
          <w:tcPr>
            <w:tcW w:type="dxa" w:w="69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Pride, delight, being seen — Diptyque, Nike</w:t>
            </w:r>
          </w:p>
        </w:tc>
      </w:tr>
      <w:tr>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4. Experiential</w:t>
            </w:r>
          </w:p>
        </w:tc>
        <w:tc>
          <w:tcPr>
            <w:tcW w:type="dxa" w:w="69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Access/drops/events money can’t easily buy — Marriott Moments, Nike SNKRS</w:t>
            </w:r>
          </w:p>
        </w:tc>
      </w:tr>
      <w:tr>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5. Status</w:t>
            </w:r>
          </w:p>
        </w:tc>
        <w:tc>
          <w:tcPr>
            <w:tcW w:type="dxa" w:w="69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Recognition and identity signalling — Sephora Rouge, Amex, Shoppers Stop Black</w:t>
            </w:r>
          </w:p>
        </w:tc>
      </w:tr>
      <w:tr>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6. Community</w:t>
            </w:r>
          </w:p>
        </w:tc>
        <w:tc>
          <w:tcPr>
            <w:tcW w:type="dxa" w:w="69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Belonging with people like me — Nike Run Club, Lululemon, boAt</w:t>
            </w:r>
          </w:p>
        </w:tc>
      </w:tr>
      <w:tr>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7. Utility</w:t>
            </w:r>
          </w:p>
        </w:tc>
        <w:tc>
          <w:tcPr>
            <w:tcW w:type="dxa" w:w="69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Worth having even when NOT buying — Nike apps, warranty/service</w:t>
            </w:r>
          </w:p>
        </w:tc>
      </w:tr>
      <w:tr>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8. Habit</w:t>
            </w:r>
          </w:p>
        </w:tc>
        <w:tc>
          <w:tcPr>
            <w:tcW w:type="dxa" w:w="69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 recurring reason to engage — Starbucks games, Myntra Insider Day</w:t>
            </w:r>
          </w:p>
        </w:tc>
      </w:tr>
    </w:tbl>
    <w:p>
      <w:pPr>
        <w:spacing w:after="80"/>
      </w:pPr>
    </w:p>
    <w:p>
      <w:pPr>
        <w:pStyle w:val="Heading2"/>
        <w:spacing w:after="90" w:before="240"/>
      </w:pPr>
      <w:r>
        <w:rPr>
          <w:rFonts w:ascii="Calibri" w:cs="Calibri" w:eastAsia="Calibri" w:hAnsi="Calibri"/>
          <w:b/>
          <w:bCs/>
          <w:color w:val="B45F3B"/>
          <w:sz w:val="26"/>
          <w:szCs w:val="26"/>
        </w:rPr>
        <w:t xml:space="preserve">The DailyObjects Loyalty Design Principles (10)</w:t>
      </w:r>
    </w:p>
    <w:p>
      <w:pPr>
        <w:pStyle w:val="ListParagraph"/>
        <w:numPr>
          <w:ilvl w:val="0"/>
          <w:numId w:val="3"/>
        </w:numPr>
        <w:spacing w:after="60" w:line="268"/>
      </w:pPr>
      <w:r>
        <w:rPr>
          <w:rFonts w:ascii="Calibri" w:cs="Calibri" w:eastAsia="Calibri" w:hAnsi="Calibri"/>
          <w:b/>
          <w:bCs/>
          <w:color w:val="2B2B2B"/>
          <w:sz w:val="21"/>
          <w:szCs w:val="21"/>
        </w:rPr>
        <w:t xml:space="preserve">Simplicity beats cleverness </w:t>
      </w:r>
      <w:r>
        <w:rPr>
          <w:rFonts w:ascii="Calibri" w:cs="Calibri" w:eastAsia="Calibri" w:hAnsi="Calibri"/>
          <w:color w:val="2B2B2B"/>
          <w:sz w:val="21"/>
          <w:szCs w:val="21"/>
        </w:rPr>
        <w:t xml:space="preserve">— one currency, legible earn/burn.</w:t>
      </w:r>
    </w:p>
    <w:p>
      <w:pPr>
        <w:pStyle w:val="ListParagraph"/>
        <w:numPr>
          <w:ilvl w:val="0"/>
          <w:numId w:val="3"/>
        </w:numPr>
        <w:spacing w:after="60" w:line="268"/>
      </w:pPr>
      <w:r>
        <w:rPr>
          <w:rFonts w:ascii="Calibri" w:cs="Calibri" w:eastAsia="Calibri" w:hAnsi="Calibri"/>
          <w:b/>
          <w:bCs/>
          <w:color w:val="2B2B2B"/>
          <w:sz w:val="21"/>
          <w:szCs w:val="21"/>
        </w:rPr>
        <w:t xml:space="preserve">Recognition over discount </w:t>
      </w:r>
      <w:r>
        <w:rPr>
          <w:rFonts w:ascii="Calibri" w:cs="Calibri" w:eastAsia="Calibri" w:hAnsi="Calibri"/>
          <w:color w:val="2B2B2B"/>
          <w:sz w:val="21"/>
          <w:szCs w:val="21"/>
        </w:rPr>
        <w:t xml:space="preserve">— reward status and access to protect margin and brand.</w:t>
      </w:r>
    </w:p>
    <w:p>
      <w:pPr>
        <w:pStyle w:val="ListParagraph"/>
        <w:numPr>
          <w:ilvl w:val="0"/>
          <w:numId w:val="3"/>
        </w:numPr>
        <w:spacing w:after="60" w:line="268"/>
      </w:pPr>
      <w:r>
        <w:rPr>
          <w:rFonts w:ascii="Calibri" w:cs="Calibri" w:eastAsia="Calibri" w:hAnsi="Calibri"/>
          <w:b/>
          <w:bCs/>
          <w:color w:val="2B2B2B"/>
          <w:sz w:val="21"/>
          <w:szCs w:val="21"/>
        </w:rPr>
        <w:t xml:space="preserve">Reward the behaviour you want </w:t>
      </w:r>
      <w:r>
        <w:rPr>
          <w:rFonts w:ascii="Calibri" w:cs="Calibri" w:eastAsia="Calibri" w:hAnsi="Calibri"/>
          <w:color w:val="2B2B2B"/>
          <w:sz w:val="21"/>
          <w:szCs w:val="21"/>
        </w:rPr>
        <w:t xml:space="preserve">(2nd purchase, cross-category, referral, app), not the behaviour you already have.</w:t>
      </w:r>
    </w:p>
    <w:p>
      <w:pPr>
        <w:pStyle w:val="ListParagraph"/>
        <w:numPr>
          <w:ilvl w:val="0"/>
          <w:numId w:val="3"/>
        </w:numPr>
        <w:spacing w:after="60" w:line="268"/>
      </w:pPr>
      <w:r>
        <w:rPr>
          <w:rFonts w:ascii="Calibri" w:cs="Calibri" w:eastAsia="Calibri" w:hAnsi="Calibri"/>
          <w:b/>
          <w:bCs/>
          <w:color w:val="2B2B2B"/>
          <w:sz w:val="21"/>
          <w:szCs w:val="21"/>
        </w:rPr>
        <w:t xml:space="preserve">Emotional + experiential benefits create defensibility </w:t>
      </w:r>
      <w:r>
        <w:rPr>
          <w:rFonts w:ascii="Calibri" w:cs="Calibri" w:eastAsia="Calibri" w:hAnsi="Calibri"/>
          <w:color w:val="2B2B2B"/>
          <w:sz w:val="21"/>
          <w:szCs w:val="21"/>
        </w:rPr>
        <w:t xml:space="preserve">— monetary-only programmes get copied and start price wars.</w:t>
      </w:r>
    </w:p>
    <w:p>
      <w:pPr>
        <w:pStyle w:val="ListParagraph"/>
        <w:numPr>
          <w:ilvl w:val="0"/>
          <w:numId w:val="3"/>
        </w:numPr>
        <w:spacing w:after="60" w:line="268"/>
      </w:pPr>
      <w:r>
        <w:rPr>
          <w:rFonts w:ascii="Calibri" w:cs="Calibri" w:eastAsia="Calibri" w:hAnsi="Calibri"/>
          <w:b/>
          <w:bCs/>
          <w:color w:val="2B2B2B"/>
          <w:sz w:val="21"/>
          <w:szCs w:val="21"/>
        </w:rPr>
        <w:t xml:space="preserve">One identity across every channel </w:t>
      </w:r>
      <w:r>
        <w:rPr>
          <w:rFonts w:ascii="Calibri" w:cs="Calibri" w:eastAsia="Calibri" w:hAnsi="Calibri"/>
          <w:color w:val="2B2B2B"/>
          <w:sz w:val="21"/>
          <w:szCs w:val="21"/>
        </w:rPr>
        <w:t xml:space="preserve">— omnichannel is the moat.</w:t>
      </w:r>
    </w:p>
    <w:p>
      <w:pPr>
        <w:pStyle w:val="ListParagraph"/>
        <w:numPr>
          <w:ilvl w:val="0"/>
          <w:numId w:val="3"/>
        </w:numPr>
        <w:spacing w:after="60" w:line="268"/>
      </w:pPr>
      <w:r>
        <w:rPr>
          <w:rFonts w:ascii="Calibri" w:cs="Calibri" w:eastAsia="Calibri" w:hAnsi="Calibri"/>
          <w:b/>
          <w:bCs/>
          <w:color w:val="2B2B2B"/>
          <w:sz w:val="21"/>
          <w:szCs w:val="21"/>
        </w:rPr>
        <w:t xml:space="preserve">Make the first reward fast </w:t>
      </w:r>
      <w:r>
        <w:rPr>
          <w:rFonts w:ascii="Calibri" w:cs="Calibri" w:eastAsia="Calibri" w:hAnsi="Calibri"/>
          <w:color w:val="2B2B2B"/>
          <w:sz w:val="21"/>
          <w:szCs w:val="21"/>
        </w:rPr>
        <w:t xml:space="preserve">(endowed progress / goal gradient).</w:t>
      </w:r>
    </w:p>
    <w:p>
      <w:pPr>
        <w:pStyle w:val="ListParagraph"/>
        <w:numPr>
          <w:ilvl w:val="0"/>
          <w:numId w:val="3"/>
        </w:numPr>
        <w:spacing w:after="60" w:line="268"/>
      </w:pPr>
      <w:r>
        <w:rPr>
          <w:rFonts w:ascii="Calibri" w:cs="Calibri" w:eastAsia="Calibri" w:hAnsi="Calibri"/>
          <w:b/>
          <w:bCs/>
          <w:color w:val="2B2B2B"/>
          <w:sz w:val="21"/>
          <w:szCs w:val="21"/>
        </w:rPr>
        <w:t xml:space="preserve">Fund from incrementality and margin </w:t>
      </w:r>
      <w:r>
        <w:rPr>
          <w:rFonts w:ascii="Calibri" w:cs="Calibri" w:eastAsia="Calibri" w:hAnsi="Calibri"/>
          <w:color w:val="2B2B2B"/>
          <w:sz w:val="21"/>
          <w:szCs w:val="21"/>
        </w:rPr>
        <w:t xml:space="preserve">— manage liability and breakage deliberately.</w:t>
      </w:r>
    </w:p>
    <w:p>
      <w:pPr>
        <w:pStyle w:val="ListParagraph"/>
        <w:numPr>
          <w:ilvl w:val="0"/>
          <w:numId w:val="3"/>
        </w:numPr>
        <w:spacing w:after="60" w:line="268"/>
      </w:pPr>
      <w:r>
        <w:rPr>
          <w:rFonts w:ascii="Calibri" w:cs="Calibri" w:eastAsia="Calibri" w:hAnsi="Calibri"/>
          <w:b/>
          <w:bCs/>
          <w:color w:val="2B2B2B"/>
          <w:sz w:val="21"/>
          <w:szCs w:val="21"/>
        </w:rPr>
        <w:t xml:space="preserve">Data is the real ROI </w:t>
      </w:r>
      <w:r>
        <w:rPr>
          <w:rFonts w:ascii="Calibri" w:cs="Calibri" w:eastAsia="Calibri" w:hAnsi="Calibri"/>
          <w:color w:val="2B2B2B"/>
          <w:sz w:val="21"/>
          <w:szCs w:val="21"/>
        </w:rPr>
        <w:t xml:space="preserve">— identify, unify, personalise.</w:t>
      </w:r>
    </w:p>
    <w:p>
      <w:pPr>
        <w:pStyle w:val="ListParagraph"/>
        <w:numPr>
          <w:ilvl w:val="0"/>
          <w:numId w:val="3"/>
        </w:numPr>
        <w:spacing w:after="60" w:line="268"/>
      </w:pPr>
      <w:r>
        <w:rPr>
          <w:rFonts w:ascii="Calibri" w:cs="Calibri" w:eastAsia="Calibri" w:hAnsi="Calibri"/>
          <w:b/>
          <w:bCs/>
          <w:color w:val="2B2B2B"/>
          <w:sz w:val="21"/>
          <w:szCs w:val="21"/>
        </w:rPr>
        <w:t xml:space="preserve">Design the system over time </w:t>
      </w:r>
      <w:r>
        <w:rPr>
          <w:rFonts w:ascii="Calibri" w:cs="Calibri" w:eastAsia="Calibri" w:hAnsi="Calibri"/>
          <w:color w:val="2B2B2B"/>
          <w:sz w:val="21"/>
          <w:szCs w:val="21"/>
        </w:rPr>
        <w:t xml:space="preserve">— expiry, tier refresh, reactivation, governance.</w:t>
      </w:r>
    </w:p>
    <w:p>
      <w:pPr>
        <w:pStyle w:val="ListParagraph"/>
        <w:numPr>
          <w:ilvl w:val="0"/>
          <w:numId w:val="3"/>
        </w:numPr>
        <w:spacing w:after="60" w:line="268"/>
      </w:pPr>
      <w:r>
        <w:rPr>
          <w:rFonts w:ascii="Calibri" w:cs="Calibri" w:eastAsia="Calibri" w:hAnsi="Calibri"/>
          <w:b/>
          <w:bCs/>
          <w:color w:val="2B2B2B"/>
          <w:sz w:val="21"/>
          <w:szCs w:val="21"/>
        </w:rPr>
        <w:t xml:space="preserve">Differentiate by segment </w:t>
      </w:r>
      <w:r>
        <w:rPr>
          <w:rFonts w:ascii="Calibri" w:cs="Calibri" w:eastAsia="Calibri" w:hAnsi="Calibri"/>
          <w:color w:val="2B2B2B"/>
          <w:sz w:val="21"/>
          <w:szCs w:val="21"/>
        </w:rPr>
        <w:t xml:space="preserve">— not every customer gets the same proposition.</w:t>
      </w:r>
    </w:p>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14.  The DailyObjects Opportunity &amp; Whitespace</w:t>
      </w:r>
    </w:p>
    <w:p>
      <w:pPr>
        <w:spacing w:after="120" w:line="276"/>
        <w:jc w:val="both"/>
      </w:pPr>
      <w:r>
        <w:rPr>
          <w:rFonts w:ascii="Calibri" w:cs="Calibri" w:eastAsia="Calibri" w:hAnsi="Calibri"/>
          <w:color w:val="2B2B2B"/>
          <w:sz w:val="21"/>
          <w:szCs w:val="21"/>
        </w:rPr>
        <w:t xml:space="preserve">DailyObjects should not copy Starbucks (frequency), Sephora (replenishment beauty) or Marriott (status travel) wholesale. Its situation is specific: </w:t>
      </w:r>
      <w:r>
        <w:rPr>
          <w:rFonts w:ascii="Calibri" w:cs="Calibri" w:eastAsia="Calibri" w:hAnsi="Calibri"/>
          <w:b/>
          <w:bCs/>
          <w:color w:val="2B2B2B"/>
          <w:sz w:val="21"/>
          <w:szCs w:val="21"/>
        </w:rPr>
        <w:t xml:space="preserve">medium-frequency, design-led, identity-driven, gift-heavy, ecosystem-building, going omnichannel.</w:t>
      </w:r>
      <w:r>
        <w:rPr>
          <w:rFonts w:ascii="Calibri" w:cs="Calibri" w:eastAsia="Calibri" w:hAnsi="Calibri"/>
          <w:color w:val="2B2B2B"/>
          <w:sz w:val="21"/>
          <w:szCs w:val="21"/>
        </w:rPr>
        <w:t xml:space="preserve"> Seven whitespace bets follow uniquely from that.</w:t>
      </w:r>
    </w:p>
    <w:tbl>
      <w:tblPr>
        <w:tblW w:type="dxa" w:w="9360"/>
        <w:tblBorders>
          <w:top w:val="single" w:color="C9C2BA" w:sz="2"/>
          <w:left w:val="none"/>
          <w:bottom w:val="single" w:color="C9C2BA" w:sz="2"/>
          <w:right w:val="none"/>
          <w:insideH w:val="single" w:color="D9D2CB" w:sz="2"/>
          <w:insideV w:val="none"/>
        </w:tblBorders>
      </w:tblPr>
      <w:tblGrid>
        <w:gridCol w:w="3000"/>
        <w:gridCol w:w="6360"/>
      </w:tblGrid>
      <w:tr>
        <w:trPr>
          <w:tblHeader/>
        </w:trPr>
        <w:tc>
          <w:tcPr>
            <w:tcW w:type="dxa" w:w="30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Whitespace bet</w:t>
            </w:r>
          </w:p>
        </w:tc>
        <w:tc>
          <w:tcPr>
            <w:tcW w:type="dxa" w:w="636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Why it fits DailyObjects (and no benchmark owns it)</w:t>
            </w:r>
          </w:p>
        </w:tc>
      </w:tr>
      <w:tr>
        <w:tc>
          <w:tcPr>
            <w:tcW w:type="dxa" w:w="30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 Design/collection identity, not a points grind</w:t>
            </w:r>
          </w:p>
        </w:tc>
        <w:tc>
          <w:tcPr>
            <w:tcW w:type="dxa" w:w="63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Reward taste &amp; self-expression — “collect the drop,” design credits, member-only colourways, co-create with artisans.</w:t>
            </w:r>
          </w:p>
        </w:tc>
      </w:tr>
      <w:tr>
        <w:tc>
          <w:tcPr>
            <w:tcW w:type="dxa" w:w="30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2. Ecosystem-completion mechanic</w:t>
            </w:r>
          </w:p>
        </w:tc>
        <w:tc>
          <w:tcPr>
            <w:tcW w:type="dxa" w:w="63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The MagSafe “Stack” is a natural gamified collection: unlock/discount the next module; a “complete your Stack” progress bar. No benchmark owns modular-accessory loyalty.</w:t>
            </w:r>
          </w:p>
        </w:tc>
      </w:tr>
      <w:tr>
        <w:tc>
          <w:tcPr>
            <w:tcW w:type="dxa" w:w="30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3. Device-lifecycle loyalty</w:t>
            </w:r>
          </w:p>
        </w:tc>
        <w:tc>
          <w:tcPr>
            <w:tcW w:type="dxa" w:w="63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The new-phone moment is a predictable high-intent spike — own it: trade-in old case, “new phone? we remember your model,” launch-day early access, protection/warranty.</w:t>
            </w:r>
          </w:p>
        </w:tc>
      </w:tr>
      <w:tr>
        <w:tc>
          <w:tcPr>
            <w:tcW w:type="dxa" w:w="30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4. Gifting engine</w:t>
            </w:r>
          </w:p>
        </w:tc>
        <w:tc>
          <w:tcPr>
            <w:tcW w:type="dxa" w:w="63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Accessories are India’s most giftable price point — gift credits, gift-back rewards, occasion reminders, premium member gift packaging, “gift and both get points.”</w:t>
            </w:r>
          </w:p>
        </w:tc>
      </w:tr>
      <w:tr>
        <w:tc>
          <w:tcPr>
            <w:tcW w:type="dxa" w:w="30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5. Creator/community identity</w:t>
            </w:r>
          </w:p>
        </w:tc>
        <w:tc>
          <w:tcPr>
            <w:tcW w:type="dxa" w:w="63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The Creative Professionals segment → UGC, custom-design contests, creator collabs, member-designed products with revenue share.</w:t>
            </w:r>
          </w:p>
        </w:tc>
      </w:tr>
      <w:tr>
        <w:tc>
          <w:tcPr>
            <w:tcW w:type="dxa" w:w="30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6. Sustainability as loyalty currency</w:t>
            </w:r>
          </w:p>
        </w:tc>
        <w:tc>
          <w:tcPr>
            <w:tcW w:type="dxa" w:w="63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 plastic-free brand can reward recycling/trade-in, “green” badges, and per-tier tree-planting — emotional, differentiated, on-brand.</w:t>
            </w:r>
          </w:p>
        </w:tc>
      </w:tr>
      <w:tr>
        <w:tc>
          <w:tcPr>
            <w:tcW w:type="dxa" w:w="30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7. Omnichannel-native from day one</w:t>
            </w:r>
          </w:p>
        </w:tc>
        <w:tc>
          <w:tcPr>
            <w:tcW w:type="dxa" w:w="63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While most Indian D2C loyalty is web-only, DailyObjects’ 150-store + airport + Apple-partner future lets it build store-recognised membership as a genuine moat.</w:t>
            </w:r>
          </w:p>
        </w:tc>
      </w:tr>
    </w:tbl>
    <w:p>
      <w:pPr>
        <w:spacing w:after="60"/>
      </w:pPr>
    </w:p>
    <w:tbl>
      <w:tblPr>
        <w:tblW w:type="dxa" w:w="9360"/>
        <w:tblBorders>
          <w:top w:val="none"/>
          <w:left w:val="single" w:color="B45F3B" w:sz="24"/>
          <w:bottom w:val="none"/>
          <w:right w:val="none"/>
          <w:insideH w:val="none"/>
          <w:insideV w:val="none"/>
        </w:tblBorders>
      </w:tblPr>
      <w:tblGrid>
        <w:gridCol w:w="9360"/>
      </w:tblGrid>
      <w:tr>
        <w:tc>
          <w:tcPr>
            <w:tcW w:type="dxa" w:w="9360"/>
            <w:shd w:fill="EAF0EF" w:color="auto" w:val="clear"/>
            <w:tcMar>
              <w:top w:type="dxa" w:w="120"/>
              <w:left w:type="dxa" w:w="180"/>
              <w:bottom w:type="dxa" w:w="120"/>
              <w:right w:type="dxa" w:w="160"/>
            </w:tcMar>
          </w:tcPr>
          <w:p>
            <w:pPr>
              <w:spacing w:after="40"/>
            </w:pPr>
            <w:r>
              <w:rPr>
                <w:rFonts w:ascii="Calibri" w:cs="Calibri" w:eastAsia="Calibri" w:hAnsi="Calibri"/>
                <w:b/>
                <w:bCs/>
                <w:color w:val="B45F3B"/>
                <w:sz w:val="20"/>
                <w:szCs w:val="20"/>
              </w:rPr>
              <w:t xml:space="preserve">The whitespace in one line</w:t>
            </w:r>
          </w:p>
          <w:p>
            <w:pPr>
              <w:spacing w:after="40" w:line="264"/>
            </w:pPr>
            <w:r>
              <w:rPr>
                <w:rFonts w:ascii="Calibri" w:cs="Calibri" w:eastAsia="Calibri" w:hAnsi="Calibri"/>
                <w:color w:val="2B2B2B"/>
                <w:sz w:val="20"/>
                <w:szCs w:val="20"/>
              </w:rPr>
              <w:t xml:space="preserve">DailyObjects can own “the membership for people who care how their everyday things look and work” — rewarding taste, participation and ecosystem-building across every channel — a position its discount-led and no-programme competitors cannot easily take.</w:t>
            </w:r>
          </w:p>
        </w:tc>
      </w:tr>
    </w:tbl>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15.  Five Programme Concepts</w:t>
      </w:r>
    </w:p>
    <w:p>
      <w:pPr>
        <w:spacing w:after="120" w:line="276"/>
        <w:jc w:val="both"/>
      </w:pPr>
      <w:r>
        <w:rPr>
          <w:rFonts w:ascii="Calibri" w:cs="Calibri" w:eastAsia="Calibri" w:hAnsi="Calibri"/>
          <w:color w:val="2B2B2B"/>
          <w:sz w:val="21"/>
          <w:szCs w:val="21"/>
        </w:rPr>
        <w:t xml:space="preserve">Five distinct concepts, each defined and assessed. Concept 5 (Hybrid) is the recommended architecture; the others are the building blocks and the alternatives.</w:t>
      </w:r>
    </w:p>
    <w:p>
      <w:pPr>
        <w:pStyle w:val="Heading2"/>
        <w:spacing w:after="90" w:before="240"/>
      </w:pPr>
      <w:r>
        <w:rPr>
          <w:rFonts w:ascii="Calibri" w:cs="Calibri" w:eastAsia="Calibri" w:hAnsi="Calibri"/>
          <w:b/>
          <w:bCs/>
          <w:color w:val="B45F3B"/>
          <w:sz w:val="26"/>
          <w:szCs w:val="26"/>
        </w:rPr>
        <w:t xml:space="preserve">Concept 1 — “DO Points” (Transactional Rewards)</w:t>
      </w:r>
    </w:p>
    <w:p>
      <w:pPr>
        <w:spacing w:after="120" w:line="276"/>
        <w:jc w:val="both"/>
      </w:pPr>
      <w:r>
        <w:rPr>
          <w:rFonts w:ascii="Calibri" w:cs="Calibri" w:eastAsia="Calibri" w:hAnsi="Calibri"/>
          <w:b/>
          <w:bCs/>
          <w:color w:val="2C6E6B"/>
          <w:sz w:val="21"/>
          <w:szCs w:val="21"/>
        </w:rPr>
        <w:t xml:space="preserve">Core idea. </w:t>
      </w:r>
      <w:r>
        <w:rPr>
          <w:rFonts w:ascii="Calibri" w:cs="Calibri" w:eastAsia="Calibri" w:hAnsi="Calibri"/>
          <w:color w:val="2B2B2B"/>
          <w:sz w:val="21"/>
          <w:szCs w:val="21"/>
        </w:rPr>
        <w:t xml:space="preserve">Evolve the existing programme: earn points per ₹, redeem as credit; add referral, review and birthday points.</w:t>
      </w:r>
    </w:p>
    <w:tbl>
      <w:tblPr>
        <w:tblW w:type="dxa" w:w="9360"/>
        <w:tblBorders>
          <w:top w:val="single" w:color="C9C2BA" w:sz="2"/>
          <w:left w:val="none"/>
          <w:bottom w:val="single" w:color="C9C2BA" w:sz="2"/>
          <w:right w:val="none"/>
          <w:insideH w:val="single" w:color="D9D2CB" w:sz="2"/>
          <w:insideV w:val="none"/>
        </w:tblBorders>
      </w:tblPr>
      <w:tblGrid>
        <w:gridCol w:w="2000"/>
        <w:gridCol w:w="7360"/>
      </w:tblGrid>
      <w:tr>
        <w:tc>
          <w:tcPr>
            <w:tcW w:type="dxa" w:w="20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Target &amp; promise</w:t>
            </w:r>
          </w:p>
        </w:tc>
        <w:tc>
          <w:tcPr>
            <w:tcW w:type="dxa" w:w="73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All buyers; promise = “earn on everything you buy.”</w:t>
            </w:r>
          </w:p>
        </w:tc>
      </w:tr>
      <w:tr>
        <w:tc>
          <w:tcPr>
            <w:tcW w:type="dxa" w:w="20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Earn &amp; progress</w:t>
            </w:r>
          </w:p>
        </w:tc>
        <w:tc>
          <w:tcPr>
            <w:tcW w:type="dxa" w:w="73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Flat points/₹; redeem at checkout.</w:t>
            </w:r>
          </w:p>
        </w:tc>
      </w:tr>
      <w:tr>
        <w:tc>
          <w:tcPr>
            <w:tcW w:type="dxa" w:w="20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Benefits</w:t>
            </w:r>
          </w:p>
        </w:tc>
        <w:tc>
          <w:tcPr>
            <w:tcW w:type="dxa" w:w="73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Discount/credit, referral give-get, birthday points.</w:t>
            </w:r>
          </w:p>
        </w:tc>
      </w:tr>
      <w:tr>
        <w:tc>
          <w:tcPr>
            <w:tcW w:type="dxa" w:w="20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Pros</w:t>
            </w:r>
          </w:p>
        </w:tc>
        <w:tc>
          <w:tcPr>
            <w:tcW w:type="dxa" w:w="73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Simple, familiar, fastest to ship (already exists).</w:t>
            </w:r>
          </w:p>
        </w:tc>
      </w:tr>
      <w:tr>
        <w:tc>
          <w:tcPr>
            <w:tcW w:type="dxa" w:w="20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Cons</w:t>
            </w:r>
          </w:p>
        </w:tc>
        <w:tc>
          <w:tcPr>
            <w:tcW w:type="dxa" w:w="73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Pure discount, low differentiation, margin drag, no emotional/status value, trains discount-seeking.</w:t>
            </w:r>
          </w:p>
        </w:tc>
      </w:tr>
      <w:tr>
        <w:tc>
          <w:tcPr>
            <w:tcW w:type="dxa" w:w="20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Best role</w:t>
            </w:r>
          </w:p>
        </w:tc>
        <w:tc>
          <w:tcPr>
            <w:tcW w:type="dxa" w:w="73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 table-stakes BASE layer — necessary but not sufficient.</w:t>
            </w:r>
          </w:p>
        </w:tc>
      </w:tr>
    </w:tbl>
    <w:p>
      <w:pPr>
        <w:spacing w:after="70"/>
      </w:pPr>
    </w:p>
    <w:p>
      <w:pPr>
        <w:pStyle w:val="Heading2"/>
        <w:spacing w:after="90" w:before="240"/>
      </w:pPr>
      <w:r>
        <w:rPr>
          <w:rFonts w:ascii="Calibri" w:cs="Calibri" w:eastAsia="Calibri" w:hAnsi="Calibri"/>
          <w:b/>
          <w:bCs/>
          <w:color w:val="B45F3B"/>
          <w:sz w:val="26"/>
          <w:szCs w:val="26"/>
        </w:rPr>
        <w:t xml:space="preserve">Concept 2 — “DO Club” (Tiered Status)</w:t>
      </w:r>
    </w:p>
    <w:p>
      <w:pPr>
        <w:spacing w:after="120" w:line="276"/>
        <w:jc w:val="both"/>
      </w:pPr>
      <w:r>
        <w:rPr>
          <w:rFonts w:ascii="Calibri" w:cs="Calibri" w:eastAsia="Calibri" w:hAnsi="Calibri"/>
          <w:b/>
          <w:bCs/>
          <w:color w:val="2C6E6B"/>
          <w:sz w:val="21"/>
          <w:szCs w:val="21"/>
        </w:rPr>
        <w:t xml:space="preserve">Core idea. </w:t>
      </w:r>
      <w:r>
        <w:rPr>
          <w:rFonts w:ascii="Calibri" w:cs="Calibri" w:eastAsia="Calibri" w:hAnsi="Calibri"/>
          <w:color w:val="2B2B2B"/>
          <w:sz w:val="21"/>
          <w:szCs w:val="21"/>
        </w:rPr>
        <w:t xml:space="preserve">Three tiers on rolling-12-month spend with escalating rewards, access and recognition.</w:t>
      </w:r>
    </w:p>
    <w:tbl>
      <w:tblPr>
        <w:tblW w:type="dxa" w:w="9360"/>
        <w:tblBorders>
          <w:top w:val="single" w:color="C9C2BA" w:sz="2"/>
          <w:left w:val="none"/>
          <w:bottom w:val="single" w:color="C9C2BA" w:sz="2"/>
          <w:right w:val="none"/>
          <w:insideH w:val="single" w:color="D9D2CB" w:sz="2"/>
          <w:insideV w:val="none"/>
        </w:tblBorders>
      </w:tblPr>
      <w:tblGrid>
        <w:gridCol w:w="2000"/>
        <w:gridCol w:w="7360"/>
      </w:tblGrid>
      <w:tr>
        <w:tc>
          <w:tcPr>
            <w:tcW w:type="dxa" w:w="20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Target &amp; promise</w:t>
            </w:r>
          </w:p>
        </w:tc>
        <w:tc>
          <w:tcPr>
            <w:tcW w:type="dxa" w:w="73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Repeat &amp; aspirational buyers; promise = “the more you belong, the more you’re recognised.”</w:t>
            </w:r>
          </w:p>
        </w:tc>
      </w:tr>
      <w:tr>
        <w:tc>
          <w:tcPr>
            <w:tcW w:type="dxa" w:w="20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Earn &amp; progress</w:t>
            </w:r>
          </w:p>
        </w:tc>
        <w:tc>
          <w:tcPr>
            <w:tcW w:type="dxa" w:w="73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Points multiplier by tier; climb on spend + engagement.</w:t>
            </w:r>
          </w:p>
        </w:tc>
      </w:tr>
      <w:tr>
        <w:tc>
          <w:tcPr>
            <w:tcW w:type="dxa" w:w="20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Benefits</w:t>
            </w:r>
          </w:p>
        </w:tc>
        <w:tc>
          <w:tcPr>
            <w:tcW w:type="dxa" w:w="73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Insider (join) → Icon (early access, birthday gift, member pricing) → Studio (concierge, custom design, invitations, protected status).</w:t>
            </w:r>
          </w:p>
        </w:tc>
      </w:tr>
      <w:tr>
        <w:tc>
          <w:tcPr>
            <w:tcW w:type="dxa" w:w="20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Pros</w:t>
            </w:r>
          </w:p>
        </w:tc>
        <w:tc>
          <w:tcPr>
            <w:tcW w:type="dxa" w:w="73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Recognition + aspiration; protects margin via non-monetary perks; motivates cross-sell to climb.</w:t>
            </w:r>
          </w:p>
        </w:tc>
      </w:tr>
      <w:tr>
        <w:tc>
          <w:tcPr>
            <w:tcW w:type="dxa" w:w="20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Cons</w:t>
            </w:r>
          </w:p>
        </w:tc>
        <w:tc>
          <w:tcPr>
            <w:tcW w:type="dxa" w:w="73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Needs enough repeat volume; medium frequency slows tier climbs unless history &amp; non-spend actions count.</w:t>
            </w:r>
          </w:p>
        </w:tc>
      </w:tr>
      <w:tr>
        <w:tc>
          <w:tcPr>
            <w:tcW w:type="dxa" w:w="20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Best role</w:t>
            </w:r>
          </w:p>
        </w:tc>
        <w:tc>
          <w:tcPr>
            <w:tcW w:type="dxa" w:w="73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The STATUS spine of the recommended model.</w:t>
            </w:r>
          </w:p>
        </w:tc>
      </w:tr>
    </w:tbl>
    <w:p>
      <w:pPr>
        <w:spacing w:after="70"/>
      </w:pPr>
    </w:p>
    <w:p>
      <w:pPr>
        <w:pStyle w:val="Heading2"/>
        <w:spacing w:after="90" w:before="240"/>
      </w:pPr>
      <w:r>
        <w:rPr>
          <w:rFonts w:ascii="Calibri" w:cs="Calibri" w:eastAsia="Calibri" w:hAnsi="Calibri"/>
          <w:b/>
          <w:bCs/>
          <w:color w:val="B45F3B"/>
          <w:sz w:val="26"/>
          <w:szCs w:val="26"/>
        </w:rPr>
        <w:t xml:space="preserve">Concept 3 — “DO+” (Paid Membership)</w:t>
      </w:r>
    </w:p>
    <w:p>
      <w:pPr>
        <w:spacing w:after="120" w:line="276"/>
        <w:jc w:val="both"/>
      </w:pPr>
      <w:r>
        <w:rPr>
          <w:rFonts w:ascii="Calibri" w:cs="Calibri" w:eastAsia="Calibri" w:hAnsi="Calibri"/>
          <w:b/>
          <w:bCs/>
          <w:color w:val="2C6E6B"/>
          <w:sz w:val="21"/>
          <w:szCs w:val="21"/>
        </w:rPr>
        <w:t xml:space="preserve">Core idea. </w:t>
      </w:r>
      <w:r>
        <w:rPr>
          <w:rFonts w:ascii="Calibri" w:cs="Calibri" w:eastAsia="Calibri" w:hAnsi="Calibri"/>
          <w:color w:val="2B2B2B"/>
          <w:sz w:val="21"/>
          <w:szCs w:val="21"/>
        </w:rPr>
        <w:t xml:space="preserve">A paid annual membership (~₹499–999) bundling instant free shipping, extended returns/warranty, member pricing/credits, launch early access, free personalisation and 2x points.</w:t>
      </w:r>
    </w:p>
    <w:tbl>
      <w:tblPr>
        <w:tblW w:type="dxa" w:w="9360"/>
        <w:tblBorders>
          <w:top w:val="single" w:color="C9C2BA" w:sz="2"/>
          <w:left w:val="none"/>
          <w:bottom w:val="single" w:color="C9C2BA" w:sz="2"/>
          <w:right w:val="none"/>
          <w:insideH w:val="single" w:color="D9D2CB" w:sz="2"/>
          <w:insideV w:val="none"/>
        </w:tblBorders>
      </w:tblPr>
      <w:tblGrid>
        <w:gridCol w:w="2000"/>
        <w:gridCol w:w="7360"/>
      </w:tblGrid>
      <w:tr>
        <w:tc>
          <w:tcPr>
            <w:tcW w:type="dxa" w:w="20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Target &amp; promise</w:t>
            </w:r>
          </w:p>
        </w:tc>
        <w:tc>
          <w:tcPr>
            <w:tcW w:type="dxa" w:w="73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High-intent customers; promise = “membership that pays for itself.”</w:t>
            </w:r>
          </w:p>
        </w:tc>
      </w:tr>
      <w:tr>
        <w:tc>
          <w:tcPr>
            <w:tcW w:type="dxa" w:w="20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Earn &amp; progress</w:t>
            </w:r>
          </w:p>
        </w:tc>
        <w:tc>
          <w:tcPr>
            <w:tcW w:type="dxa" w:w="73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2x points + instant benefits from day one.</w:t>
            </w:r>
          </w:p>
        </w:tc>
      </w:tr>
      <w:tr>
        <w:tc>
          <w:tcPr>
            <w:tcW w:type="dxa" w:w="20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Benefits</w:t>
            </w:r>
          </w:p>
        </w:tc>
        <w:tc>
          <w:tcPr>
            <w:tcW w:type="dxa" w:w="73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 shipping, warranty, member pricing, early access, free personalisation.</w:t>
            </w:r>
          </w:p>
        </w:tc>
      </w:tr>
      <w:tr>
        <w:tc>
          <w:tcPr>
            <w:tcW w:type="dxa" w:w="20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Pros</w:t>
            </w:r>
          </w:p>
        </w:tc>
        <w:tc>
          <w:tcPr>
            <w:tcW w:type="dxa" w:w="73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Prime-style lock-in, upfront cash + commitment, self-selects best customers, strong data.</w:t>
            </w:r>
          </w:p>
        </w:tc>
      </w:tr>
      <w:tr>
        <w:tc>
          <w:tcPr>
            <w:tcW w:type="dxa" w:w="20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Cons</w:t>
            </w:r>
          </w:p>
        </w:tc>
        <w:tc>
          <w:tcPr>
            <w:tcW w:type="dxa" w:w="73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Medium frequency makes the fee hard to justify for casual buyers; must clear a visible “pays for itself” bar; take-up risk.</w:t>
            </w:r>
          </w:p>
        </w:tc>
      </w:tr>
      <w:tr>
        <w:tc>
          <w:tcPr>
            <w:tcW w:type="dxa" w:w="20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Best role</w:t>
            </w:r>
          </w:p>
        </w:tc>
        <w:tc>
          <w:tcPr>
            <w:tcW w:type="dxa" w:w="73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An UPGRADE layer for the best customers — Phase 3, once the base proves incrementality.</w:t>
            </w:r>
          </w:p>
        </w:tc>
      </w:tr>
    </w:tbl>
    <w:p>
      <w:pPr>
        <w:spacing w:after="70"/>
      </w:pPr>
    </w:p>
    <w:p>
      <w:pPr>
        <w:pStyle w:val="Heading2"/>
        <w:spacing w:after="90" w:before="240"/>
      </w:pPr>
      <w:r>
        <w:rPr>
          <w:rFonts w:ascii="Calibri" w:cs="Calibri" w:eastAsia="Calibri" w:hAnsi="Calibri"/>
          <w:b/>
          <w:bCs/>
          <w:color w:val="B45F3B"/>
          <w:sz w:val="26"/>
          <w:szCs w:val="26"/>
        </w:rPr>
        <w:t xml:space="preserve">Concept 4 — “DO Studio / Design Society” (Community &amp; Lifestyle)</w:t>
      </w:r>
    </w:p>
    <w:p>
      <w:pPr>
        <w:spacing w:after="120" w:line="276"/>
        <w:jc w:val="both"/>
      </w:pPr>
      <w:r>
        <w:rPr>
          <w:rFonts w:ascii="Calibri" w:cs="Calibri" w:eastAsia="Calibri" w:hAnsi="Calibri"/>
          <w:b/>
          <w:bCs/>
          <w:color w:val="2C6E6B"/>
          <w:sz w:val="21"/>
          <w:szCs w:val="21"/>
        </w:rPr>
        <w:t xml:space="preserve">Core idea. </w:t>
      </w:r>
      <w:r>
        <w:rPr>
          <w:rFonts w:ascii="Calibri" w:cs="Calibri" w:eastAsia="Calibri" w:hAnsi="Calibri"/>
          <w:color w:val="2B2B2B"/>
          <w:sz w:val="21"/>
          <w:szCs w:val="21"/>
        </w:rPr>
        <w:t xml:space="preserve">Identity, community, content and experiences: custom-design contests, creator collabs, member-designed products (revenue share), workshops, drops, UGC challenges, in-store design experiences.</w:t>
      </w:r>
    </w:p>
    <w:tbl>
      <w:tblPr>
        <w:tblW w:type="dxa" w:w="9360"/>
        <w:tblBorders>
          <w:top w:val="single" w:color="C9C2BA" w:sz="2"/>
          <w:left w:val="none"/>
          <w:bottom w:val="single" w:color="C9C2BA" w:sz="2"/>
          <w:right w:val="none"/>
          <w:insideH w:val="single" w:color="D9D2CB" w:sz="2"/>
          <w:insideV w:val="none"/>
        </w:tblBorders>
      </w:tblPr>
      <w:tblGrid>
        <w:gridCol w:w="2000"/>
        <w:gridCol w:w="7360"/>
      </w:tblGrid>
      <w:tr>
        <w:tc>
          <w:tcPr>
            <w:tcW w:type="dxa" w:w="20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Target &amp; promise</w:t>
            </w:r>
          </w:p>
        </w:tc>
        <w:tc>
          <w:tcPr>
            <w:tcW w:type="dxa" w:w="73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Creative Professionals &amp; superfans; promise = “belong to a design community.”</w:t>
            </w:r>
          </w:p>
        </w:tc>
      </w:tr>
      <w:tr>
        <w:tc>
          <w:tcPr>
            <w:tcW w:type="dxa" w:w="20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Earn &amp; progress</w:t>
            </w:r>
          </w:p>
        </w:tc>
        <w:tc>
          <w:tcPr>
            <w:tcW w:type="dxa" w:w="73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Recognition via participation, not just spend.</w:t>
            </w:r>
          </w:p>
        </w:tc>
      </w:tr>
      <w:tr>
        <w:tc>
          <w:tcPr>
            <w:tcW w:type="dxa" w:w="20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Benefits</w:t>
            </w:r>
          </w:p>
        </w:tc>
        <w:tc>
          <w:tcPr>
            <w:tcW w:type="dxa" w:w="73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Access, events, co-creation, status within a community.</w:t>
            </w:r>
          </w:p>
        </w:tc>
      </w:tr>
      <w:tr>
        <w:tc>
          <w:tcPr>
            <w:tcW w:type="dxa" w:w="20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Pros</w:t>
            </w:r>
          </w:p>
        </w:tc>
        <w:tc>
          <w:tcPr>
            <w:tcW w:type="dxa" w:w="73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Brand-building, defensible, non-transactional engagement, feeds the product pipeline.</w:t>
            </w:r>
          </w:p>
        </w:tc>
      </w:tr>
      <w:tr>
        <w:tc>
          <w:tcPr>
            <w:tcW w:type="dxa" w:w="20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Cons</w:t>
            </w:r>
          </w:p>
        </w:tc>
        <w:tc>
          <w:tcPr>
            <w:tcW w:type="dxa" w:w="73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Hard to measure short-term ROI; needs content/community operating muscle.</w:t>
            </w:r>
          </w:p>
        </w:tc>
      </w:tr>
      <w:tr>
        <w:tc>
          <w:tcPr>
            <w:tcW w:type="dxa" w:w="20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Best role</w:t>
            </w:r>
          </w:p>
        </w:tc>
        <w:tc>
          <w:tcPr>
            <w:tcW w:type="dxa" w:w="73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The DIFFERENTIATION layer on top of the transactional base.</w:t>
            </w:r>
          </w:p>
        </w:tc>
      </w:tr>
    </w:tbl>
    <w:p>
      <w:pPr>
        <w:spacing w:after="70"/>
      </w:pPr>
    </w:p>
    <w:p>
      <w:pPr>
        <w:pStyle w:val="Heading2"/>
        <w:spacing w:after="90" w:before="240"/>
      </w:pPr>
      <w:r>
        <w:rPr>
          <w:rFonts w:ascii="Calibri" w:cs="Calibri" w:eastAsia="Calibri" w:hAnsi="Calibri"/>
          <w:b/>
          <w:bCs/>
          <w:color w:val="B45F3B"/>
          <w:sz w:val="26"/>
          <w:szCs w:val="26"/>
        </w:rPr>
        <w:t xml:space="preserve">Concept 5 — “The DO Membership” (HYBRID — recommended)</w:t>
      </w:r>
    </w:p>
    <w:p>
      <w:pPr>
        <w:spacing w:after="120" w:line="276"/>
        <w:jc w:val="both"/>
      </w:pPr>
      <w:r>
        <w:rPr>
          <w:rFonts w:ascii="Calibri" w:cs="Calibri" w:eastAsia="Calibri" w:hAnsi="Calibri"/>
          <w:b/>
          <w:bCs/>
          <w:color w:val="2C6E6B"/>
          <w:sz w:val="21"/>
          <w:szCs w:val="21"/>
        </w:rPr>
        <w:t xml:space="preserve">Core idea. </w:t>
      </w:r>
      <w:r>
        <w:rPr>
          <w:rFonts w:ascii="Calibri" w:cs="Calibri" w:eastAsia="Calibri" w:hAnsi="Calibri"/>
          <w:color w:val="2B2B2B"/>
          <w:sz w:val="21"/>
          <w:szCs w:val="21"/>
        </w:rPr>
        <w:t xml:space="preserve">A free, tiered membership (points + status) + ecosystem/collection gamification + community/experiences + omnichannel identity, with an optional paid DO+ upgrade later.</w:t>
      </w:r>
    </w:p>
    <w:tbl>
      <w:tblPr>
        <w:tblW w:type="dxa" w:w="9360"/>
        <w:tblBorders>
          <w:top w:val="single" w:color="C9C2BA" w:sz="2"/>
          <w:left w:val="none"/>
          <w:bottom w:val="single" w:color="C9C2BA" w:sz="2"/>
          <w:right w:val="none"/>
          <w:insideH w:val="single" w:color="D9D2CB" w:sz="2"/>
          <w:insideV w:val="none"/>
        </w:tblBorders>
      </w:tblPr>
      <w:tblGrid>
        <w:gridCol w:w="2000"/>
        <w:gridCol w:w="7360"/>
      </w:tblGrid>
      <w:tr>
        <w:tc>
          <w:tcPr>
            <w:tcW w:type="dxa" w:w="20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Target &amp; promise</w:t>
            </w:r>
          </w:p>
        </w:tc>
        <w:tc>
          <w:tcPr>
            <w:tcW w:type="dxa" w:w="73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All customers, differentiated by segment; promise = “the club for people who care how their everyday things look and work.”</w:t>
            </w:r>
          </w:p>
        </w:tc>
      </w:tr>
      <w:tr>
        <w:tc>
          <w:tcPr>
            <w:tcW w:type="dxa" w:w="20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Earn &amp; progress</w:t>
            </w:r>
          </w:p>
        </w:tc>
        <w:tc>
          <w:tcPr>
            <w:tcW w:type="dxa" w:w="73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Points/₹ (tier-multiplied) + bonus for 2nd purchase, cross-category, reviews, referrals, app actions, sustainability/trade-in.</w:t>
            </w:r>
          </w:p>
        </w:tc>
      </w:tr>
      <w:tr>
        <w:tc>
          <w:tcPr>
            <w:tcW w:type="dxa" w:w="20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Benefits</w:t>
            </w:r>
          </w:p>
        </w:tc>
        <w:tc>
          <w:tcPr>
            <w:tcW w:type="dxa" w:w="73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Combines Concepts 1–4: base points, three tiers, drops &amp; experiences, gifting, “complete your Stack,” store recognition.</w:t>
            </w:r>
          </w:p>
        </w:tc>
      </w:tr>
      <w:tr>
        <w:tc>
          <w:tcPr>
            <w:tcW w:type="dxa" w:w="20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Pros</w:t>
            </w:r>
          </w:p>
        </w:tc>
        <w:tc>
          <w:tcPr>
            <w:tcW w:type="dxa" w:w="73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Best on customer value, retention, cross-category, differentiation, emotional connection, omnichannel and data.</w:t>
            </w:r>
          </w:p>
        </w:tc>
      </w:tr>
      <w:tr>
        <w:tc>
          <w:tcPr>
            <w:tcW w:type="dxa" w:w="20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Cons</w:t>
            </w:r>
          </w:p>
        </w:tc>
        <w:tc>
          <w:tcPr>
            <w:tcW w:type="dxa" w:w="73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More to build than Concept 1 — mitigated by phasing (base first, layers later).</w:t>
            </w:r>
          </w:p>
        </w:tc>
      </w:tr>
      <w:tr>
        <w:tc>
          <w:tcPr>
            <w:tcW w:type="dxa" w:w="200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Best role</w:t>
            </w:r>
          </w:p>
        </w:tc>
        <w:tc>
          <w:tcPr>
            <w:tcW w:type="dxa" w:w="7360"/>
            <w:shd w:fill="F5F1EC"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THE RECOMMENDED MODEL — see Sections 16 &amp; 24.</w:t>
            </w:r>
          </w:p>
        </w:tc>
      </w:tr>
    </w:tbl>
    <w:p>
      <w:pPr>
        <w:spacing w:after="70"/>
      </w:pPr>
    </w:p>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16.  Scoring &amp; Recommendation</w:t>
      </w:r>
    </w:p>
    <w:p>
      <w:pPr>
        <w:spacing w:after="120" w:line="276"/>
        <w:jc w:val="both"/>
      </w:pPr>
      <w:r>
        <w:rPr>
          <w:rFonts w:ascii="Calibri" w:cs="Calibri" w:eastAsia="Calibri" w:hAnsi="Calibri"/>
          <w:color w:val="2B2B2B"/>
          <w:sz w:val="21"/>
          <w:szCs w:val="21"/>
        </w:rPr>
        <w:t xml:space="preserve">Each concept scored 1–5 (5 best) on 14 weighted dimensions. The hybrid wins decisively; the paid and community concepts are its later layers, and pure points is the weakest standalone.</w:t>
      </w:r>
    </w:p>
    <w:tbl>
      <w:tblPr>
        <w:tblW w:type="dxa" w:w="9360"/>
        <w:tblBorders>
          <w:top w:val="single" w:color="C9C2BA" w:sz="2"/>
          <w:left w:val="none"/>
          <w:bottom w:val="single" w:color="C9C2BA" w:sz="2"/>
          <w:right w:val="none"/>
          <w:insideH w:val="single" w:color="D9D2CB" w:sz="2"/>
          <w:insideV w:val="none"/>
        </w:tblBorders>
      </w:tblPr>
      <w:tblGrid>
        <w:gridCol w:w="3100"/>
        <w:gridCol w:w="700"/>
        <w:gridCol w:w="900"/>
        <w:gridCol w:w="900"/>
        <w:gridCol w:w="900"/>
        <w:gridCol w:w="1050"/>
        <w:gridCol w:w="1810"/>
      </w:tblGrid>
      <w:tr>
        <w:trPr>
          <w:tblHeader/>
        </w:trPr>
        <w:tc>
          <w:tcPr>
            <w:tcW w:type="dxa" w:w="31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Dimension</w:t>
            </w:r>
          </w:p>
        </w:tc>
        <w:tc>
          <w:tcPr>
            <w:tcW w:type="dxa" w:w="7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Wt</w:t>
            </w:r>
          </w:p>
        </w:tc>
        <w:tc>
          <w:tcPr>
            <w:tcW w:type="dxa" w:w="9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1 Points</w:t>
            </w:r>
          </w:p>
        </w:tc>
        <w:tc>
          <w:tcPr>
            <w:tcW w:type="dxa" w:w="9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2 Tiers</w:t>
            </w:r>
          </w:p>
        </w:tc>
        <w:tc>
          <w:tcPr>
            <w:tcW w:type="dxa" w:w="9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3 Paid</w:t>
            </w:r>
          </w:p>
        </w:tc>
        <w:tc>
          <w:tcPr>
            <w:tcW w:type="dxa" w:w="105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4 Comm.</w:t>
            </w:r>
          </w:p>
        </w:tc>
        <w:tc>
          <w:tcPr>
            <w:tcW w:type="dxa" w:w="181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5 Hybrid</w:t>
            </w:r>
          </w:p>
        </w:tc>
      </w:tr>
      <w:tr>
        <w:tc>
          <w:tcPr>
            <w:tcW w:type="dxa" w:w="31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Customer value</w:t>
            </w:r>
          </w:p>
        </w:tc>
        <w:tc>
          <w:tcPr>
            <w:tcW w:type="dxa" w:w="7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10</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3</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4</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4</w:t>
            </w:r>
          </w:p>
        </w:tc>
        <w:tc>
          <w:tcPr>
            <w:tcW w:type="dxa" w:w="105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4</w:t>
            </w:r>
          </w:p>
        </w:tc>
        <w:tc>
          <w:tcPr>
            <w:tcW w:type="dxa" w:w="1810"/>
            <w:tcMar>
              <w:top w:type="dxa" w:w="60"/>
              <w:left w:type="dxa" w:w="90"/>
              <w:bottom w:type="dxa" w:w="60"/>
              <w:right w:type="dxa" w:w="90"/>
            </w:tcMar>
            <w:vAlign w:val="center"/>
          </w:tcPr>
          <w:p>
            <w:pPr>
              <w:spacing w:after="0" w:line="250"/>
              <w:jc w:val="center"/>
            </w:pPr>
            <w:r>
              <w:rPr>
                <w:rFonts w:ascii="Calibri" w:cs="Calibri" w:eastAsia="Calibri" w:hAnsi="Calibri"/>
                <w:b/>
                <w:bCs/>
                <w:color w:val="2B2B2B"/>
                <w:sz w:val="18"/>
                <w:szCs w:val="18"/>
              </w:rPr>
              <w:t xml:space="preserve">5</w:t>
            </w:r>
          </w:p>
        </w:tc>
      </w:tr>
      <w:tr>
        <w:tc>
          <w:tcPr>
            <w:tcW w:type="dxa" w:w="31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Incremental retention</w:t>
            </w:r>
          </w:p>
        </w:tc>
        <w:tc>
          <w:tcPr>
            <w:tcW w:type="dxa" w:w="7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12</w:t>
            </w:r>
          </w:p>
        </w:tc>
        <w:tc>
          <w:tcPr>
            <w:tcW w:type="dxa" w:w="9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2</w:t>
            </w:r>
          </w:p>
        </w:tc>
        <w:tc>
          <w:tcPr>
            <w:tcW w:type="dxa" w:w="9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4</w:t>
            </w:r>
          </w:p>
        </w:tc>
        <w:tc>
          <w:tcPr>
            <w:tcW w:type="dxa" w:w="9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4</w:t>
            </w:r>
          </w:p>
        </w:tc>
        <w:tc>
          <w:tcPr>
            <w:tcW w:type="dxa" w:w="105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3</w:t>
            </w:r>
          </w:p>
        </w:tc>
        <w:tc>
          <w:tcPr>
            <w:tcW w:type="dxa" w:w="181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b/>
                <w:bCs/>
                <w:color w:val="2B2B2B"/>
                <w:sz w:val="18"/>
                <w:szCs w:val="18"/>
              </w:rPr>
              <w:t xml:space="preserve">5</w:t>
            </w:r>
          </w:p>
        </w:tc>
      </w:tr>
      <w:tr>
        <w:tc>
          <w:tcPr>
            <w:tcW w:type="dxa" w:w="31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Incremental frequency</w:t>
            </w:r>
          </w:p>
        </w:tc>
        <w:tc>
          <w:tcPr>
            <w:tcW w:type="dxa" w:w="7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10</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3</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3</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4</w:t>
            </w:r>
          </w:p>
        </w:tc>
        <w:tc>
          <w:tcPr>
            <w:tcW w:type="dxa" w:w="105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3</w:t>
            </w:r>
          </w:p>
        </w:tc>
        <w:tc>
          <w:tcPr>
            <w:tcW w:type="dxa" w:w="1810"/>
            <w:tcMar>
              <w:top w:type="dxa" w:w="60"/>
              <w:left w:type="dxa" w:w="90"/>
              <w:bottom w:type="dxa" w:w="60"/>
              <w:right w:type="dxa" w:w="90"/>
            </w:tcMar>
            <w:vAlign w:val="center"/>
          </w:tcPr>
          <w:p>
            <w:pPr>
              <w:spacing w:after="0" w:line="250"/>
              <w:jc w:val="center"/>
            </w:pPr>
            <w:r>
              <w:rPr>
                <w:rFonts w:ascii="Calibri" w:cs="Calibri" w:eastAsia="Calibri" w:hAnsi="Calibri"/>
                <w:b/>
                <w:bCs/>
                <w:color w:val="2B2B2B"/>
                <w:sz w:val="18"/>
                <w:szCs w:val="18"/>
              </w:rPr>
              <w:t xml:space="preserve">4</w:t>
            </w:r>
          </w:p>
        </w:tc>
      </w:tr>
      <w:tr>
        <w:tc>
          <w:tcPr>
            <w:tcW w:type="dxa" w:w="31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AOV potential</w:t>
            </w:r>
          </w:p>
        </w:tc>
        <w:tc>
          <w:tcPr>
            <w:tcW w:type="dxa" w:w="7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8</w:t>
            </w:r>
          </w:p>
        </w:tc>
        <w:tc>
          <w:tcPr>
            <w:tcW w:type="dxa" w:w="9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2</w:t>
            </w:r>
          </w:p>
        </w:tc>
        <w:tc>
          <w:tcPr>
            <w:tcW w:type="dxa" w:w="9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4</w:t>
            </w:r>
          </w:p>
        </w:tc>
        <w:tc>
          <w:tcPr>
            <w:tcW w:type="dxa" w:w="9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3</w:t>
            </w:r>
          </w:p>
        </w:tc>
        <w:tc>
          <w:tcPr>
            <w:tcW w:type="dxa" w:w="105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3</w:t>
            </w:r>
          </w:p>
        </w:tc>
        <w:tc>
          <w:tcPr>
            <w:tcW w:type="dxa" w:w="181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b/>
                <w:bCs/>
                <w:color w:val="2B2B2B"/>
                <w:sz w:val="18"/>
                <w:szCs w:val="18"/>
              </w:rPr>
              <w:t xml:space="preserve">4</w:t>
            </w:r>
          </w:p>
        </w:tc>
      </w:tr>
      <w:tr>
        <w:tc>
          <w:tcPr>
            <w:tcW w:type="dxa" w:w="31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Cross-category</w:t>
            </w:r>
          </w:p>
        </w:tc>
        <w:tc>
          <w:tcPr>
            <w:tcW w:type="dxa" w:w="7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10</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2</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4</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3</w:t>
            </w:r>
          </w:p>
        </w:tc>
        <w:tc>
          <w:tcPr>
            <w:tcW w:type="dxa" w:w="105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4</w:t>
            </w:r>
          </w:p>
        </w:tc>
        <w:tc>
          <w:tcPr>
            <w:tcW w:type="dxa" w:w="1810"/>
            <w:tcMar>
              <w:top w:type="dxa" w:w="60"/>
              <w:left w:type="dxa" w:w="90"/>
              <w:bottom w:type="dxa" w:w="60"/>
              <w:right w:type="dxa" w:w="90"/>
            </w:tcMar>
            <w:vAlign w:val="center"/>
          </w:tcPr>
          <w:p>
            <w:pPr>
              <w:spacing w:after="0" w:line="250"/>
              <w:jc w:val="center"/>
            </w:pPr>
            <w:r>
              <w:rPr>
                <w:rFonts w:ascii="Calibri" w:cs="Calibri" w:eastAsia="Calibri" w:hAnsi="Calibri"/>
                <w:b/>
                <w:bCs/>
                <w:color w:val="2B2B2B"/>
                <w:sz w:val="18"/>
                <w:szCs w:val="18"/>
              </w:rPr>
              <w:t xml:space="preserve">5</w:t>
            </w:r>
          </w:p>
        </w:tc>
      </w:tr>
      <w:tr>
        <w:tc>
          <w:tcPr>
            <w:tcW w:type="dxa" w:w="31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Margin impact</w:t>
            </w:r>
          </w:p>
        </w:tc>
        <w:tc>
          <w:tcPr>
            <w:tcW w:type="dxa" w:w="7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10</w:t>
            </w:r>
          </w:p>
        </w:tc>
        <w:tc>
          <w:tcPr>
            <w:tcW w:type="dxa" w:w="9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2</w:t>
            </w:r>
          </w:p>
        </w:tc>
        <w:tc>
          <w:tcPr>
            <w:tcW w:type="dxa" w:w="9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4</w:t>
            </w:r>
          </w:p>
        </w:tc>
        <w:tc>
          <w:tcPr>
            <w:tcW w:type="dxa" w:w="9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3</w:t>
            </w:r>
          </w:p>
        </w:tc>
        <w:tc>
          <w:tcPr>
            <w:tcW w:type="dxa" w:w="105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4</w:t>
            </w:r>
          </w:p>
        </w:tc>
        <w:tc>
          <w:tcPr>
            <w:tcW w:type="dxa" w:w="181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b/>
                <w:bCs/>
                <w:color w:val="2B2B2B"/>
                <w:sz w:val="18"/>
                <w:szCs w:val="18"/>
              </w:rPr>
              <w:t xml:space="preserve">4</w:t>
            </w:r>
          </w:p>
        </w:tc>
      </w:tr>
      <w:tr>
        <w:tc>
          <w:tcPr>
            <w:tcW w:type="dxa" w:w="31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Brand fit</w:t>
            </w:r>
          </w:p>
        </w:tc>
        <w:tc>
          <w:tcPr>
            <w:tcW w:type="dxa" w:w="7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8</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2</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4</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3</w:t>
            </w:r>
          </w:p>
        </w:tc>
        <w:tc>
          <w:tcPr>
            <w:tcW w:type="dxa" w:w="105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5</w:t>
            </w:r>
          </w:p>
        </w:tc>
        <w:tc>
          <w:tcPr>
            <w:tcW w:type="dxa" w:w="1810"/>
            <w:tcMar>
              <w:top w:type="dxa" w:w="60"/>
              <w:left w:type="dxa" w:w="90"/>
              <w:bottom w:type="dxa" w:w="60"/>
              <w:right w:type="dxa" w:w="90"/>
            </w:tcMar>
            <w:vAlign w:val="center"/>
          </w:tcPr>
          <w:p>
            <w:pPr>
              <w:spacing w:after="0" w:line="250"/>
              <w:jc w:val="center"/>
            </w:pPr>
            <w:r>
              <w:rPr>
                <w:rFonts w:ascii="Calibri" w:cs="Calibri" w:eastAsia="Calibri" w:hAnsi="Calibri"/>
                <w:b/>
                <w:bCs/>
                <w:color w:val="2B2B2B"/>
                <w:sz w:val="18"/>
                <w:szCs w:val="18"/>
              </w:rPr>
              <w:t xml:space="preserve">5</w:t>
            </w:r>
          </w:p>
        </w:tc>
      </w:tr>
      <w:tr>
        <w:tc>
          <w:tcPr>
            <w:tcW w:type="dxa" w:w="31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Differentiation</w:t>
            </w:r>
          </w:p>
        </w:tc>
        <w:tc>
          <w:tcPr>
            <w:tcW w:type="dxa" w:w="7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8</w:t>
            </w:r>
          </w:p>
        </w:tc>
        <w:tc>
          <w:tcPr>
            <w:tcW w:type="dxa" w:w="9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1</w:t>
            </w:r>
          </w:p>
        </w:tc>
        <w:tc>
          <w:tcPr>
            <w:tcW w:type="dxa" w:w="9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3</w:t>
            </w:r>
          </w:p>
        </w:tc>
        <w:tc>
          <w:tcPr>
            <w:tcW w:type="dxa" w:w="9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3</w:t>
            </w:r>
          </w:p>
        </w:tc>
        <w:tc>
          <w:tcPr>
            <w:tcW w:type="dxa" w:w="105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5</w:t>
            </w:r>
          </w:p>
        </w:tc>
        <w:tc>
          <w:tcPr>
            <w:tcW w:type="dxa" w:w="181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b/>
                <w:bCs/>
                <w:color w:val="2B2B2B"/>
                <w:sz w:val="18"/>
                <w:szCs w:val="18"/>
              </w:rPr>
              <w:t xml:space="preserve">5</w:t>
            </w:r>
          </w:p>
        </w:tc>
      </w:tr>
      <w:tr>
        <w:tc>
          <w:tcPr>
            <w:tcW w:type="dxa" w:w="31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Emotional connection</w:t>
            </w:r>
          </w:p>
        </w:tc>
        <w:tc>
          <w:tcPr>
            <w:tcW w:type="dxa" w:w="7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7</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1</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3</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3</w:t>
            </w:r>
          </w:p>
        </w:tc>
        <w:tc>
          <w:tcPr>
            <w:tcW w:type="dxa" w:w="105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5</w:t>
            </w:r>
          </w:p>
        </w:tc>
        <w:tc>
          <w:tcPr>
            <w:tcW w:type="dxa" w:w="1810"/>
            <w:tcMar>
              <w:top w:type="dxa" w:w="60"/>
              <w:left w:type="dxa" w:w="90"/>
              <w:bottom w:type="dxa" w:w="60"/>
              <w:right w:type="dxa" w:w="90"/>
            </w:tcMar>
            <w:vAlign w:val="center"/>
          </w:tcPr>
          <w:p>
            <w:pPr>
              <w:spacing w:after="0" w:line="250"/>
              <w:jc w:val="center"/>
            </w:pPr>
            <w:r>
              <w:rPr>
                <w:rFonts w:ascii="Calibri" w:cs="Calibri" w:eastAsia="Calibri" w:hAnsi="Calibri"/>
                <w:b/>
                <w:bCs/>
                <w:color w:val="2B2B2B"/>
                <w:sz w:val="18"/>
                <w:szCs w:val="18"/>
              </w:rPr>
              <w:t xml:space="preserve">5</w:t>
            </w:r>
          </w:p>
        </w:tc>
      </w:tr>
      <w:tr>
        <w:tc>
          <w:tcPr>
            <w:tcW w:type="dxa" w:w="31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Omnichannel potential</w:t>
            </w:r>
          </w:p>
        </w:tc>
        <w:tc>
          <w:tcPr>
            <w:tcW w:type="dxa" w:w="7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8</w:t>
            </w:r>
          </w:p>
        </w:tc>
        <w:tc>
          <w:tcPr>
            <w:tcW w:type="dxa" w:w="9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3</w:t>
            </w:r>
          </w:p>
        </w:tc>
        <w:tc>
          <w:tcPr>
            <w:tcW w:type="dxa" w:w="9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4</w:t>
            </w:r>
          </w:p>
        </w:tc>
        <w:tc>
          <w:tcPr>
            <w:tcW w:type="dxa" w:w="9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4</w:t>
            </w:r>
          </w:p>
        </w:tc>
        <w:tc>
          <w:tcPr>
            <w:tcW w:type="dxa" w:w="105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3</w:t>
            </w:r>
          </w:p>
        </w:tc>
        <w:tc>
          <w:tcPr>
            <w:tcW w:type="dxa" w:w="181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b/>
                <w:bCs/>
                <w:color w:val="2B2B2B"/>
                <w:sz w:val="18"/>
                <w:szCs w:val="18"/>
              </w:rPr>
              <w:t xml:space="preserve">5</w:t>
            </w:r>
          </w:p>
        </w:tc>
      </w:tr>
      <w:tr>
        <w:tc>
          <w:tcPr>
            <w:tcW w:type="dxa" w:w="31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Data / personalisation</w:t>
            </w:r>
          </w:p>
        </w:tc>
        <w:tc>
          <w:tcPr>
            <w:tcW w:type="dxa" w:w="7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7</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3</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4</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5</w:t>
            </w:r>
          </w:p>
        </w:tc>
        <w:tc>
          <w:tcPr>
            <w:tcW w:type="dxa" w:w="105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4</w:t>
            </w:r>
          </w:p>
        </w:tc>
        <w:tc>
          <w:tcPr>
            <w:tcW w:type="dxa" w:w="1810"/>
            <w:tcMar>
              <w:top w:type="dxa" w:w="60"/>
              <w:left w:type="dxa" w:w="90"/>
              <w:bottom w:type="dxa" w:w="60"/>
              <w:right w:type="dxa" w:w="90"/>
            </w:tcMar>
            <w:vAlign w:val="center"/>
          </w:tcPr>
          <w:p>
            <w:pPr>
              <w:spacing w:after="0" w:line="250"/>
              <w:jc w:val="center"/>
            </w:pPr>
            <w:r>
              <w:rPr>
                <w:rFonts w:ascii="Calibri" w:cs="Calibri" w:eastAsia="Calibri" w:hAnsi="Calibri"/>
                <w:b/>
                <w:bCs/>
                <w:color w:val="2B2B2B"/>
                <w:sz w:val="18"/>
                <w:szCs w:val="18"/>
              </w:rPr>
              <w:t xml:space="preserve">5</w:t>
            </w:r>
          </w:p>
        </w:tc>
      </w:tr>
      <w:tr>
        <w:tc>
          <w:tcPr>
            <w:tcW w:type="dxa" w:w="31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Implementation ease</w:t>
            </w:r>
          </w:p>
        </w:tc>
        <w:tc>
          <w:tcPr>
            <w:tcW w:type="dxa" w:w="7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6</w:t>
            </w:r>
          </w:p>
        </w:tc>
        <w:tc>
          <w:tcPr>
            <w:tcW w:type="dxa" w:w="9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5</w:t>
            </w:r>
          </w:p>
        </w:tc>
        <w:tc>
          <w:tcPr>
            <w:tcW w:type="dxa" w:w="9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3</w:t>
            </w:r>
          </w:p>
        </w:tc>
        <w:tc>
          <w:tcPr>
            <w:tcW w:type="dxa" w:w="9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3</w:t>
            </w:r>
          </w:p>
        </w:tc>
        <w:tc>
          <w:tcPr>
            <w:tcW w:type="dxa" w:w="105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2</w:t>
            </w:r>
          </w:p>
        </w:tc>
        <w:tc>
          <w:tcPr>
            <w:tcW w:type="dxa" w:w="181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3</w:t>
            </w:r>
          </w:p>
        </w:tc>
      </w:tr>
      <w:tr>
        <w:tc>
          <w:tcPr>
            <w:tcW w:type="dxa" w:w="31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Scalability</w:t>
            </w:r>
          </w:p>
        </w:tc>
        <w:tc>
          <w:tcPr>
            <w:tcW w:type="dxa" w:w="7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5</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4</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4</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4</w:t>
            </w:r>
          </w:p>
        </w:tc>
        <w:tc>
          <w:tcPr>
            <w:tcW w:type="dxa" w:w="105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3</w:t>
            </w:r>
          </w:p>
        </w:tc>
        <w:tc>
          <w:tcPr>
            <w:tcW w:type="dxa" w:w="1810"/>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4</w:t>
            </w:r>
          </w:p>
        </w:tc>
      </w:tr>
      <w:tr>
        <w:tc>
          <w:tcPr>
            <w:tcW w:type="dxa" w:w="31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Economics</w:t>
            </w:r>
          </w:p>
        </w:tc>
        <w:tc>
          <w:tcPr>
            <w:tcW w:type="dxa" w:w="7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6</w:t>
            </w:r>
          </w:p>
        </w:tc>
        <w:tc>
          <w:tcPr>
            <w:tcW w:type="dxa" w:w="9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2</w:t>
            </w:r>
          </w:p>
        </w:tc>
        <w:tc>
          <w:tcPr>
            <w:tcW w:type="dxa" w:w="9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4</w:t>
            </w:r>
          </w:p>
        </w:tc>
        <w:tc>
          <w:tcPr>
            <w:tcW w:type="dxa" w:w="90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4</w:t>
            </w:r>
          </w:p>
        </w:tc>
        <w:tc>
          <w:tcPr>
            <w:tcW w:type="dxa" w:w="105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3</w:t>
            </w:r>
          </w:p>
        </w:tc>
        <w:tc>
          <w:tcPr>
            <w:tcW w:type="dxa" w:w="1810"/>
            <w:shd w:fill="F2ECE6"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B2B2B"/>
                <w:sz w:val="18"/>
                <w:szCs w:val="18"/>
              </w:rPr>
              <w:t xml:space="preserve">4</w:t>
            </w:r>
          </w:p>
        </w:tc>
      </w:tr>
      <w:tr>
        <w:tc>
          <w:tcPr>
            <w:tcW w:type="dxa" w:w="3100"/>
            <w:tcMar>
              <w:top w:type="dxa" w:w="60"/>
              <w:left w:type="dxa" w:w="90"/>
              <w:bottom w:type="dxa" w:w="60"/>
              <w:right w:type="dxa" w:w="90"/>
            </w:tcMar>
            <w:vAlign w:val="center"/>
          </w:tcPr>
          <w:p>
            <w:pPr>
              <w:spacing w:after="0" w:line="250"/>
              <w:jc w:val="center"/>
            </w:pPr>
            <w:r>
              <w:rPr>
                <w:rFonts w:ascii="Calibri" w:cs="Calibri" w:eastAsia="Calibri" w:hAnsi="Calibri"/>
                <w:b/>
                <w:bCs/>
                <w:color w:val="2B2B2B"/>
                <w:sz w:val="18"/>
                <w:szCs w:val="18"/>
              </w:rPr>
              <w:t xml:space="preserve">Weighted total (of 5)</w:t>
            </w:r>
          </w:p>
        </w:tc>
        <w:tc>
          <w:tcPr>
            <w:tcW w:type="dxa" w:w="700"/>
            <w:tcMar>
              <w:top w:type="dxa" w:w="60"/>
              <w:left w:type="dxa" w:w="90"/>
              <w:bottom w:type="dxa" w:w="60"/>
              <w:right w:type="dxa" w:w="90"/>
            </w:tcMar>
            <w:vAlign w:val="center"/>
          </w:tcPr>
          <w:p>
            <w:pPr>
              <w:spacing w:after="0" w:line="250"/>
              <w:jc w:val="center"/>
            </w:pPr>
            <w:r>
              <w:rPr>
                <w:rFonts w:ascii="Calibri" w:cs="Calibri" w:eastAsia="Calibri" w:hAnsi="Calibri"/>
                <w:b/>
                <w:bCs/>
                <w:color w:val="2B2B2B"/>
                <w:sz w:val="18"/>
                <w:szCs w:val="18"/>
              </w:rPr>
              <w:t xml:space="preserve">115</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b/>
                <w:bCs/>
                <w:color w:val="2B2B2B"/>
                <w:sz w:val="18"/>
                <w:szCs w:val="18"/>
              </w:rPr>
              <w:t xml:space="preserve">2.4</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b/>
                <w:bCs/>
                <w:color w:val="2B2B2B"/>
                <w:sz w:val="18"/>
                <w:szCs w:val="18"/>
              </w:rPr>
              <w:t xml:space="preserve">3.8</w:t>
            </w:r>
          </w:p>
        </w:tc>
        <w:tc>
          <w:tcPr>
            <w:tcW w:type="dxa" w:w="900"/>
            <w:tcMar>
              <w:top w:type="dxa" w:w="60"/>
              <w:left w:type="dxa" w:w="90"/>
              <w:bottom w:type="dxa" w:w="60"/>
              <w:right w:type="dxa" w:w="90"/>
            </w:tcMar>
            <w:vAlign w:val="center"/>
          </w:tcPr>
          <w:p>
            <w:pPr>
              <w:spacing w:after="0" w:line="250"/>
              <w:jc w:val="center"/>
            </w:pPr>
            <w:r>
              <w:rPr>
                <w:rFonts w:ascii="Calibri" w:cs="Calibri" w:eastAsia="Calibri" w:hAnsi="Calibri"/>
                <w:b/>
                <w:bCs/>
                <w:color w:val="2B2B2B"/>
                <w:sz w:val="18"/>
                <w:szCs w:val="18"/>
              </w:rPr>
              <w:t xml:space="preserve">3.6</w:t>
            </w:r>
          </w:p>
        </w:tc>
        <w:tc>
          <w:tcPr>
            <w:tcW w:type="dxa" w:w="1050"/>
            <w:tcMar>
              <w:top w:type="dxa" w:w="60"/>
              <w:left w:type="dxa" w:w="90"/>
              <w:bottom w:type="dxa" w:w="60"/>
              <w:right w:type="dxa" w:w="90"/>
            </w:tcMar>
            <w:vAlign w:val="center"/>
          </w:tcPr>
          <w:p>
            <w:pPr>
              <w:spacing w:after="0" w:line="250"/>
              <w:jc w:val="center"/>
            </w:pPr>
            <w:r>
              <w:rPr>
                <w:rFonts w:ascii="Calibri" w:cs="Calibri" w:eastAsia="Calibri" w:hAnsi="Calibri"/>
                <w:b/>
                <w:bCs/>
                <w:color w:val="2B2B2B"/>
                <w:sz w:val="18"/>
                <w:szCs w:val="18"/>
              </w:rPr>
              <w:t xml:space="preserve">3.7</w:t>
            </w:r>
          </w:p>
        </w:tc>
        <w:tc>
          <w:tcPr>
            <w:tcW w:type="dxa" w:w="1810"/>
            <w:tcMar>
              <w:top w:type="dxa" w:w="60"/>
              <w:left w:type="dxa" w:w="90"/>
              <w:bottom w:type="dxa" w:w="60"/>
              <w:right w:type="dxa" w:w="90"/>
            </w:tcMar>
            <w:vAlign w:val="center"/>
          </w:tcPr>
          <w:p>
            <w:pPr>
              <w:spacing w:after="0" w:line="250"/>
              <w:jc w:val="center"/>
            </w:pPr>
            <w:r>
              <w:rPr>
                <w:rFonts w:ascii="Calibri" w:cs="Calibri" w:eastAsia="Calibri" w:hAnsi="Calibri"/>
                <w:b/>
                <w:bCs/>
                <w:color w:val="2B2B2B"/>
                <w:sz w:val="18"/>
                <w:szCs w:val="18"/>
              </w:rPr>
              <w:t xml:space="preserve">4.6</w:t>
            </w:r>
          </w:p>
        </w:tc>
      </w:tr>
    </w:tbl>
    <w:p>
      <w:pPr>
        <w:spacing w:after="60"/>
      </w:pPr>
    </w:p>
    <w:tbl>
      <w:tblPr>
        <w:tblW w:type="dxa" w:w="9360"/>
        <w:tblBorders>
          <w:top w:val="none"/>
          <w:left w:val="single" w:color="B45F3B" w:sz="24"/>
          <w:bottom w:val="none"/>
          <w:right w:val="none"/>
          <w:insideH w:val="none"/>
          <w:insideV w:val="none"/>
        </w:tblBorders>
      </w:tblPr>
      <w:tblGrid>
        <w:gridCol w:w="9360"/>
      </w:tblGrid>
      <w:tr>
        <w:tc>
          <w:tcPr>
            <w:tcW w:type="dxa" w:w="9360"/>
            <w:shd w:fill="EAF0EF" w:color="auto" w:val="clear"/>
            <w:tcMar>
              <w:top w:type="dxa" w:w="120"/>
              <w:left w:type="dxa" w:w="180"/>
              <w:bottom w:type="dxa" w:w="120"/>
              <w:right w:type="dxa" w:w="160"/>
            </w:tcMar>
          </w:tcPr>
          <w:p>
            <w:pPr>
              <w:spacing w:after="40"/>
            </w:pPr>
            <w:r>
              <w:rPr>
                <w:rFonts w:ascii="Calibri" w:cs="Calibri" w:eastAsia="Calibri" w:hAnsi="Calibri"/>
                <w:b/>
                <w:bCs/>
                <w:color w:val="B45F3B"/>
                <w:sz w:val="20"/>
                <w:szCs w:val="20"/>
              </w:rPr>
              <w:t xml:space="preserve">Recommendation</w:t>
            </w:r>
          </w:p>
          <w:p>
            <w:pPr>
              <w:spacing w:after="40" w:line="264"/>
            </w:pPr>
            <w:r>
              <w:rPr>
                <w:rFonts w:ascii="Calibri" w:cs="Calibri" w:eastAsia="Calibri" w:hAnsi="Calibri"/>
                <w:color w:val="2B2B2B"/>
                <w:sz w:val="20"/>
                <w:szCs w:val="20"/>
              </w:rPr>
              <w:t xml:space="preserve">Launch Concept 5 as a free, tiered, omnichannel membership with collection/ecosystem gamification and a community layer, sequenced over time; add a paid DO+ upgrade in Phase 3.</w:t>
            </w:r>
          </w:p>
          <w:p>
            <w:pPr>
              <w:spacing w:after="40" w:line="264"/>
            </w:pPr>
            <w:r>
              <w:rPr>
                <w:rFonts w:ascii="Calibri" w:cs="Calibri" w:eastAsia="Calibri" w:hAnsi="Calibri"/>
                <w:color w:val="2B2B2B"/>
                <w:sz w:val="20"/>
                <w:szCs w:val="20"/>
              </w:rPr>
              <w:t xml:space="preserve">Short-term (0–6 mo): relaunch as a free tiered membership (“DO Circle”) — one phone-number identity across web/app/store, points base + 3 tiers + fast first reward + referral + birthday + early access; fix the data/identity plumbing.</w:t>
            </w:r>
          </w:p>
          <w:p>
            <w:pPr>
              <w:spacing w:after="40" w:line="264"/>
            </w:pPr>
            <w:r>
              <w:rPr>
                <w:rFonts w:ascii="Calibri" w:cs="Calibri" w:eastAsia="Calibri" w:hAnsi="Calibri"/>
                <w:color w:val="2B2B2B"/>
                <w:sz w:val="20"/>
                <w:szCs w:val="20"/>
              </w:rPr>
              <w:t xml:space="preserve">Medium-term (6–18 mo): add ecosystem “Stack” completion, gifting engine, device-lifecycle triggers, community/UGC + drops, store recognition, MoEngage-driven lifecycle; A/B-test benefits.</w:t>
            </w:r>
          </w:p>
          <w:p>
            <w:pPr>
              <w:spacing w:after="40" w:line="264"/>
            </w:pPr>
            <w:r>
              <w:rPr>
                <w:rFonts w:ascii="Calibri" w:cs="Calibri" w:eastAsia="Calibri" w:hAnsi="Calibri"/>
                <w:color w:val="2B2B2B"/>
                <w:sz w:val="20"/>
                <w:szCs w:val="20"/>
              </w:rPr>
              <w:t xml:space="preserve">Long-term (18–36 mo): optional DO+ paid tier, creator/design society with member-designed products, sustainability/trade-in currency, richer experiences and partnerships. Loyalty becomes the first-party-data backbone across 150 stores.</w:t>
            </w:r>
          </w:p>
        </w:tc>
      </w:tr>
    </w:tbl>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17.  Benefits Testing Framework</w:t>
      </w:r>
    </w:p>
    <w:p>
      <w:pPr>
        <w:spacing w:after="120" w:line="276"/>
        <w:jc w:val="both"/>
      </w:pPr>
      <w:r>
        <w:rPr>
          <w:rFonts w:ascii="Calibri" w:cs="Calibri" w:eastAsia="Calibri" w:hAnsi="Calibri"/>
          <w:color w:val="2B2B2B"/>
          <w:sz w:val="21"/>
          <w:szCs w:val="21"/>
        </w:rPr>
        <w:t xml:space="preserve">Benefits scored on customer appeal × behaviour impact × margin safety × brand fit × build effort. Prioritise high-appeal, high-impact, margin-safe, on-brand, low-effort first.</w:t>
      </w:r>
    </w:p>
    <w:tbl>
      <w:tblPr>
        <w:tblW w:type="dxa" w:w="9360"/>
        <w:tblBorders>
          <w:top w:val="single" w:color="C9C2BA" w:sz="2"/>
          <w:left w:val="none"/>
          <w:bottom w:val="single" w:color="C9C2BA" w:sz="2"/>
          <w:right w:val="none"/>
          <w:insideH w:val="single" w:color="D9D2CB" w:sz="2"/>
          <w:insideV w:val="none"/>
        </w:tblBorders>
      </w:tblPr>
      <w:tblGrid>
        <w:gridCol w:w="3050"/>
        <w:gridCol w:w="1500"/>
        <w:gridCol w:w="1800"/>
        <w:gridCol w:w="3010"/>
      </w:tblGrid>
      <w:tr>
        <w:trPr>
          <w:tblHeader/>
        </w:trPr>
        <w:tc>
          <w:tcPr>
            <w:tcW w:type="dxa" w:w="305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Benefit</w:t>
            </w:r>
          </w:p>
        </w:tc>
        <w:tc>
          <w:tcPr>
            <w:tcW w:type="dxa" w:w="15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Category</w:t>
            </w:r>
          </w:p>
        </w:tc>
        <w:tc>
          <w:tcPr>
            <w:tcW w:type="dxa" w:w="18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Behaviour driven</w:t>
            </w:r>
          </w:p>
        </w:tc>
        <w:tc>
          <w:tcPr>
            <w:tcW w:type="dxa" w:w="301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Priority</w:t>
            </w:r>
          </w:p>
        </w:tc>
      </w:tr>
      <w:tr>
        <w:tc>
          <w:tcPr>
            <w:tcW w:type="dxa" w:w="3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Welcome bonus (fast first reward)</w:t>
            </w:r>
          </w:p>
        </w:tc>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Monetary</w:t>
            </w:r>
          </w:p>
        </w:tc>
        <w:tc>
          <w:tcPr>
            <w:tcW w:type="dxa" w:w="18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Enrol → 1st redemption</w:t>
            </w:r>
          </w:p>
        </w:tc>
        <w:tc>
          <w:tcPr>
            <w:tcW w:type="dxa" w:w="301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P1</w:t>
            </w:r>
          </w:p>
        </w:tc>
      </w:tr>
      <w:tr>
        <w:tc>
          <w:tcPr>
            <w:tcW w:type="dxa" w:w="305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Member free-shipping threshold</w:t>
            </w:r>
          </w:p>
        </w:tc>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Convenience</w:t>
            </w:r>
          </w:p>
        </w:tc>
        <w:tc>
          <w:tcPr>
            <w:tcW w:type="dxa" w:w="18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AOV, 2nd purchase</w:t>
            </w:r>
          </w:p>
        </w:tc>
        <w:tc>
          <w:tcPr>
            <w:tcW w:type="dxa" w:w="301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P1</w:t>
            </w:r>
          </w:p>
        </w:tc>
      </w:tr>
      <w:tr>
        <w:tc>
          <w:tcPr>
            <w:tcW w:type="dxa" w:w="3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Early access to drops/launches</w:t>
            </w:r>
          </w:p>
        </w:tc>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Access</w:t>
            </w:r>
          </w:p>
        </w:tc>
        <w:tc>
          <w:tcPr>
            <w:tcW w:type="dxa" w:w="18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Frequency, app opens</w:t>
            </w:r>
          </w:p>
        </w:tc>
        <w:tc>
          <w:tcPr>
            <w:tcW w:type="dxa" w:w="301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P1</w:t>
            </w:r>
          </w:p>
        </w:tc>
      </w:tr>
      <w:tr>
        <w:tc>
          <w:tcPr>
            <w:tcW w:type="dxa" w:w="305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Birthday reward / gift</w:t>
            </w:r>
          </w:p>
        </w:tc>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Recognition</w:t>
            </w:r>
          </w:p>
        </w:tc>
        <w:tc>
          <w:tcPr>
            <w:tcW w:type="dxa" w:w="18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Reactivation, goodwill</w:t>
            </w:r>
          </w:p>
        </w:tc>
        <w:tc>
          <w:tcPr>
            <w:tcW w:type="dxa" w:w="301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P1</w:t>
            </w:r>
          </w:p>
        </w:tc>
      </w:tr>
      <w:tr>
        <w:tc>
          <w:tcPr>
            <w:tcW w:type="dxa" w:w="3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Referral (give-get points)</w:t>
            </w:r>
          </w:p>
        </w:tc>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Monetary</w:t>
            </w:r>
          </w:p>
        </w:tc>
        <w:tc>
          <w:tcPr>
            <w:tcW w:type="dxa" w:w="18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Acquisition</w:t>
            </w:r>
          </w:p>
        </w:tc>
        <w:tc>
          <w:tcPr>
            <w:tcW w:type="dxa" w:w="301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P1</w:t>
            </w:r>
          </w:p>
        </w:tc>
      </w:tr>
      <w:tr>
        <w:tc>
          <w:tcPr>
            <w:tcW w:type="dxa" w:w="305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Points multiplier by tier</w:t>
            </w:r>
          </w:p>
        </w:tc>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Monetary</w:t>
            </w:r>
          </w:p>
        </w:tc>
        <w:tc>
          <w:tcPr>
            <w:tcW w:type="dxa" w:w="18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Repeat, cross-category</w:t>
            </w:r>
          </w:p>
        </w:tc>
        <w:tc>
          <w:tcPr>
            <w:tcW w:type="dxa" w:w="301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P2</w:t>
            </w:r>
          </w:p>
        </w:tc>
      </w:tr>
      <w:tr>
        <w:tc>
          <w:tcPr>
            <w:tcW w:type="dxa" w:w="3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Member-only colourways / limited editions</w:t>
            </w:r>
          </w:p>
        </w:tc>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Access</w:t>
            </w:r>
          </w:p>
        </w:tc>
        <w:tc>
          <w:tcPr>
            <w:tcW w:type="dxa" w:w="18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Frequency, exclusivity</w:t>
            </w:r>
          </w:p>
        </w:tc>
        <w:tc>
          <w:tcPr>
            <w:tcW w:type="dxa" w:w="301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P2</w:t>
            </w:r>
          </w:p>
        </w:tc>
      </w:tr>
      <w:tr>
        <w:tc>
          <w:tcPr>
            <w:tcW w:type="dxa" w:w="305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Extended returns / warranty (protection)</w:t>
            </w:r>
          </w:p>
        </w:tc>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Utility</w:t>
            </w:r>
          </w:p>
        </w:tc>
        <w:tc>
          <w:tcPr>
            <w:tcW w:type="dxa" w:w="18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Confidence, AOV</w:t>
            </w:r>
          </w:p>
        </w:tc>
        <w:tc>
          <w:tcPr>
            <w:tcW w:type="dxa" w:w="301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P2</w:t>
            </w:r>
          </w:p>
        </w:tc>
      </w:tr>
      <w:tr>
        <w:tc>
          <w:tcPr>
            <w:tcW w:type="dxa" w:w="3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 personalisation / custom-case credit</w:t>
            </w:r>
          </w:p>
        </w:tc>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Experiences</w:t>
            </w:r>
          </w:p>
        </w:tc>
        <w:tc>
          <w:tcPr>
            <w:tcW w:type="dxa" w:w="18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Differentiation, AOV</w:t>
            </w:r>
          </w:p>
        </w:tc>
        <w:tc>
          <w:tcPr>
            <w:tcW w:type="dxa" w:w="301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P2</w:t>
            </w:r>
          </w:p>
        </w:tc>
      </w:tr>
      <w:tr>
        <w:tc>
          <w:tcPr>
            <w:tcW w:type="dxa" w:w="305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“Complete your Stack” ecosystem unlock</w:t>
            </w:r>
          </w:p>
        </w:tc>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Access/Monetary</w:t>
            </w:r>
          </w:p>
        </w:tc>
        <w:tc>
          <w:tcPr>
            <w:tcW w:type="dxa" w:w="18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Cross-sell, lock-in</w:t>
            </w:r>
          </w:p>
        </w:tc>
        <w:tc>
          <w:tcPr>
            <w:tcW w:type="dxa" w:w="301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P2</w:t>
            </w:r>
          </w:p>
        </w:tc>
      </w:tr>
      <w:tr>
        <w:tc>
          <w:tcPr>
            <w:tcW w:type="dxa" w:w="3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Gift credits / gift-back / occasion reminders</w:t>
            </w:r>
          </w:p>
        </w:tc>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Gifting</w:t>
            </w:r>
          </w:p>
        </w:tc>
        <w:tc>
          <w:tcPr>
            <w:tcW w:type="dxa" w:w="18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Repeat, new customers</w:t>
            </w:r>
          </w:p>
        </w:tc>
        <w:tc>
          <w:tcPr>
            <w:tcW w:type="dxa" w:w="301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P2</w:t>
            </w:r>
          </w:p>
        </w:tc>
      </w:tr>
      <w:tr>
        <w:tc>
          <w:tcPr>
            <w:tcW w:type="dxa" w:w="305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Tiers / badges / status</w:t>
            </w:r>
          </w:p>
        </w:tc>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Recognition</w:t>
            </w:r>
          </w:p>
        </w:tc>
        <w:tc>
          <w:tcPr>
            <w:tcW w:type="dxa" w:w="18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Aspiration, retention</w:t>
            </w:r>
          </w:p>
        </w:tc>
        <w:tc>
          <w:tcPr>
            <w:tcW w:type="dxa" w:w="301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P2</w:t>
            </w:r>
          </w:p>
        </w:tc>
      </w:tr>
      <w:tr>
        <w:tc>
          <w:tcPr>
            <w:tcW w:type="dxa" w:w="3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Priority customer service</w:t>
            </w:r>
          </w:p>
        </w:tc>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Utility</w:t>
            </w:r>
          </w:p>
        </w:tc>
        <w:tc>
          <w:tcPr>
            <w:tcW w:type="dxa" w:w="18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Satisfaction, retention</w:t>
            </w:r>
          </w:p>
        </w:tc>
        <w:tc>
          <w:tcPr>
            <w:tcW w:type="dxa" w:w="301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P3</w:t>
            </w:r>
          </w:p>
        </w:tc>
      </w:tr>
      <w:tr>
        <w:tc>
          <w:tcPr>
            <w:tcW w:type="dxa" w:w="305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Workshops / creator events (in-store)</w:t>
            </w:r>
          </w:p>
        </w:tc>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Experiences</w:t>
            </w:r>
          </w:p>
        </w:tc>
        <w:tc>
          <w:tcPr>
            <w:tcW w:type="dxa" w:w="18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Advocacy, community</w:t>
            </w:r>
          </w:p>
        </w:tc>
        <w:tc>
          <w:tcPr>
            <w:tcW w:type="dxa" w:w="301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P3</w:t>
            </w:r>
          </w:p>
        </w:tc>
      </w:tr>
      <w:tr>
        <w:tc>
          <w:tcPr>
            <w:tcW w:type="dxa" w:w="3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UGC / design challenges</w:t>
            </w:r>
          </w:p>
        </w:tc>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Community</w:t>
            </w:r>
          </w:p>
        </w:tc>
        <w:tc>
          <w:tcPr>
            <w:tcW w:type="dxa" w:w="18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Advocacy, content</w:t>
            </w:r>
          </w:p>
        </w:tc>
        <w:tc>
          <w:tcPr>
            <w:tcW w:type="dxa" w:w="301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P3</w:t>
            </w:r>
          </w:p>
        </w:tc>
      </w:tr>
      <w:tr>
        <w:tc>
          <w:tcPr>
            <w:tcW w:type="dxa" w:w="305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Trade-in old case (sustainability)</w:t>
            </w:r>
          </w:p>
        </w:tc>
        <w:tc>
          <w:tcPr>
            <w:tcW w:type="dxa" w:w="1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Utility/Access</w:t>
            </w:r>
          </w:p>
        </w:tc>
        <w:tc>
          <w:tcPr>
            <w:tcW w:type="dxa" w:w="18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Device-lifecycle, green</w:t>
            </w:r>
          </w:p>
        </w:tc>
        <w:tc>
          <w:tcPr>
            <w:tcW w:type="dxa" w:w="301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P3</w:t>
            </w:r>
          </w:p>
        </w:tc>
      </w:tr>
      <w:tr>
        <w:tc>
          <w:tcPr>
            <w:tcW w:type="dxa" w:w="305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Paid membership (DO+)</w:t>
            </w:r>
          </w:p>
        </w:tc>
        <w:tc>
          <w:tcPr>
            <w:tcW w:type="dxa" w:w="1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Membership</w:t>
            </w:r>
          </w:p>
        </w:tc>
        <w:tc>
          <w:tcPr>
            <w:tcW w:type="dxa" w:w="18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Lock-in, cash</w:t>
            </w:r>
          </w:p>
        </w:tc>
        <w:tc>
          <w:tcPr>
            <w:tcW w:type="dxa" w:w="301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P3 (later)</w:t>
            </w:r>
          </w:p>
        </w:tc>
      </w:tr>
    </w:tbl>
    <w:p>
      <w:pPr>
        <w:spacing w:after="60"/>
      </w:pPr>
    </w:p>
    <w:tbl>
      <w:tblPr>
        <w:tblW w:type="dxa" w:w="9360"/>
        <w:tblBorders>
          <w:top w:val="none"/>
          <w:left w:val="single" w:color="2C6E6B" w:sz="24"/>
          <w:bottom w:val="none"/>
          <w:right w:val="none"/>
          <w:insideH w:val="none"/>
          <w:insideV w:val="none"/>
        </w:tblBorders>
      </w:tblPr>
      <w:tblGrid>
        <w:gridCol w:w="9360"/>
      </w:tblGrid>
      <w:tr>
        <w:tc>
          <w:tcPr>
            <w:tcW w:type="dxa" w:w="9360"/>
            <w:shd w:fill="EAF0EF" w:color="auto" w:val="clear"/>
            <w:tcMar>
              <w:top w:type="dxa" w:w="120"/>
              <w:left w:type="dxa" w:w="180"/>
              <w:bottom w:type="dxa" w:w="120"/>
              <w:right w:type="dxa" w:w="160"/>
            </w:tcMar>
          </w:tcPr>
          <w:p>
            <w:pPr>
              <w:spacing w:after="40"/>
            </w:pPr>
            <w:r>
              <w:rPr>
                <w:rFonts w:ascii="Calibri" w:cs="Calibri" w:eastAsia="Calibri" w:hAnsi="Calibri"/>
                <w:b/>
                <w:bCs/>
                <w:color w:val="2C6E6B"/>
                <w:sz w:val="20"/>
                <w:szCs w:val="20"/>
              </w:rPr>
              <w:t xml:space="preserve">Test first — and why</w:t>
            </w:r>
          </w:p>
          <w:p>
            <w:pPr>
              <w:spacing w:after="40" w:line="264"/>
            </w:pPr>
            <w:r>
              <w:rPr>
                <w:rFonts w:ascii="Calibri" w:cs="Calibri" w:eastAsia="Calibri" w:hAnsi="Calibri"/>
                <w:color w:val="2B2B2B"/>
                <w:sz w:val="20"/>
                <w:szCs w:val="20"/>
              </w:rPr>
              <w:t xml:space="preserve">Welcome bonus + free shipping + early access + birthday + referral. They most directly attack the #1 problem — enrolment→activation and first→second purchase — are margin-safe or margin-neutral, on-brand, and fast to build. Hold paid membership and heavy experiences until the base proves incrementality.</w:t>
            </w:r>
          </w:p>
        </w:tc>
      </w:tr>
    </w:tbl>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18.  Experimentation Roadmap</w:t>
      </w:r>
    </w:p>
    <w:tbl>
      <w:tblPr>
        <w:tblW w:type="dxa" w:w="9360"/>
        <w:tblBorders>
          <w:top w:val="none"/>
          <w:left w:val="single" w:color="B45F3B" w:sz="24"/>
          <w:bottom w:val="none"/>
          <w:right w:val="none"/>
          <w:insideH w:val="none"/>
          <w:insideV w:val="none"/>
        </w:tblBorders>
      </w:tblPr>
      <w:tblGrid>
        <w:gridCol w:w="9360"/>
      </w:tblGrid>
      <w:tr>
        <w:tc>
          <w:tcPr>
            <w:tcW w:type="dxa" w:w="9360"/>
            <w:shd w:fill="EAF0EF" w:color="auto" w:val="clear"/>
            <w:tcMar>
              <w:top w:type="dxa" w:w="120"/>
              <w:left w:type="dxa" w:w="180"/>
              <w:bottom w:type="dxa" w:w="120"/>
              <w:right w:type="dxa" w:w="160"/>
            </w:tcMar>
          </w:tcPr>
          <w:p>
            <w:pPr>
              <w:spacing w:after="40"/>
            </w:pPr>
            <w:r>
              <w:rPr>
                <w:rFonts w:ascii="Calibri" w:cs="Calibri" w:eastAsia="Calibri" w:hAnsi="Calibri"/>
                <w:b/>
                <w:bCs/>
                <w:color w:val="B45F3B"/>
                <w:sz w:val="20"/>
                <w:szCs w:val="20"/>
              </w:rPr>
              <w:t xml:space="preserve">Golden rule</w:t>
            </w:r>
          </w:p>
          <w:p>
            <w:pPr>
              <w:spacing w:after="40" w:line="264"/>
            </w:pPr>
            <w:r>
              <w:rPr>
                <w:rFonts w:ascii="Calibri" w:cs="Calibri" w:eastAsia="Calibri" w:hAnsi="Calibri"/>
                <w:color w:val="2B2B2B"/>
                <w:sz w:val="20"/>
                <w:szCs w:val="20"/>
              </w:rPr>
              <w:t xml:space="preserve">Measure INCREMENTALITY, not correlation. Members always look better than non-members because of selection bias. A universal 5–10% holdout at launch is the single most important measurement decision — compare repeat rate, frequency, revenue/member and margin against a matched, withheld cohort over 6–12 months.</w:t>
            </w:r>
          </w:p>
        </w:tc>
      </w:tr>
    </w:tbl>
    <w:p>
      <w:pPr>
        <w:spacing w:after="60"/>
      </w:pPr>
    </w:p>
    <w:p>
      <w:pPr>
        <w:pStyle w:val="Heading2"/>
        <w:spacing w:after="90" w:before="240"/>
      </w:pPr>
      <w:r>
        <w:rPr>
          <w:rFonts w:ascii="Calibri" w:cs="Calibri" w:eastAsia="Calibri" w:hAnsi="Calibri"/>
          <w:b/>
          <w:bCs/>
          <w:color w:val="B45F3B"/>
          <w:sz w:val="26"/>
          <w:szCs w:val="26"/>
        </w:rPr>
        <w:t xml:space="preserve">Method</w:t>
      </w:r>
    </w:p>
    <w:p>
      <w:pPr>
        <w:pStyle w:val="ListParagraph"/>
        <w:numPr>
          <w:ilvl w:val="0"/>
          <w:numId w:val="2"/>
        </w:numPr>
        <w:spacing w:after="60" w:line="268"/>
      </w:pPr>
      <w:r>
        <w:rPr>
          <w:rFonts w:ascii="Calibri" w:cs="Calibri" w:eastAsia="Calibri" w:hAnsi="Calibri"/>
          <w:b/>
          <w:bCs/>
          <w:color w:val="2B2B2B"/>
          <w:sz w:val="21"/>
          <w:szCs w:val="21"/>
        </w:rPr>
        <w:t xml:space="preserve">Universal holdout (5–10%) </w:t>
      </w:r>
      <w:r>
        <w:rPr>
          <w:rFonts w:ascii="Calibri" w:cs="Calibri" w:eastAsia="Calibri" w:hAnsi="Calibri"/>
          <w:color w:val="2B2B2B"/>
          <w:sz w:val="21"/>
          <w:szCs w:val="21"/>
        </w:rPr>
        <w:t xml:space="preserve">— the backbone of all incrementality reads.</w:t>
      </w:r>
    </w:p>
    <w:p>
      <w:pPr>
        <w:pStyle w:val="ListParagraph"/>
        <w:numPr>
          <w:ilvl w:val="0"/>
          <w:numId w:val="2"/>
        </w:numPr>
        <w:spacing w:after="60" w:line="268"/>
      </w:pPr>
      <w:r>
        <w:rPr>
          <w:rFonts w:ascii="Calibri" w:cs="Calibri" w:eastAsia="Calibri" w:hAnsi="Calibri"/>
          <w:b/>
          <w:bCs/>
          <w:color w:val="2B2B2B"/>
          <w:sz w:val="21"/>
          <w:szCs w:val="21"/>
        </w:rPr>
        <w:t xml:space="preserve">A/B tests </w:t>
      </w:r>
      <w:r>
        <w:rPr>
          <w:rFonts w:ascii="Calibri" w:cs="Calibri" w:eastAsia="Calibri" w:hAnsi="Calibri"/>
          <w:color w:val="2B2B2B"/>
          <w:sz w:val="21"/>
          <w:szCs w:val="21"/>
        </w:rPr>
        <w:t xml:space="preserve">on benefit variants (value, thresholds, tier cutoffs, expiry, messaging).</w:t>
      </w:r>
    </w:p>
    <w:p>
      <w:pPr>
        <w:pStyle w:val="ListParagraph"/>
        <w:numPr>
          <w:ilvl w:val="0"/>
          <w:numId w:val="2"/>
        </w:numPr>
        <w:spacing w:after="60" w:line="268"/>
      </w:pPr>
      <w:r>
        <w:rPr>
          <w:rFonts w:ascii="Calibri" w:cs="Calibri" w:eastAsia="Calibri" w:hAnsi="Calibri"/>
          <w:b/>
          <w:bCs/>
          <w:color w:val="2B2B2B"/>
          <w:sz w:val="21"/>
          <w:szCs w:val="21"/>
        </w:rPr>
        <w:t xml:space="preserve">Geo / store experiments </w:t>
      </w:r>
      <w:r>
        <w:rPr>
          <w:rFonts w:ascii="Calibri" w:cs="Calibri" w:eastAsia="Calibri" w:hAnsi="Calibri"/>
          <w:color w:val="2B2B2B"/>
          <w:sz w:val="21"/>
          <w:szCs w:val="21"/>
        </w:rPr>
        <w:t xml:space="preserve">— roll a benefit to some EBO cities first.</w:t>
      </w:r>
    </w:p>
    <w:p>
      <w:pPr>
        <w:pStyle w:val="ListParagraph"/>
        <w:numPr>
          <w:ilvl w:val="0"/>
          <w:numId w:val="2"/>
        </w:numPr>
        <w:spacing w:after="60" w:line="268"/>
      </w:pPr>
      <w:r>
        <w:rPr>
          <w:rFonts w:ascii="Calibri" w:cs="Calibri" w:eastAsia="Calibri" w:hAnsi="Calibri"/>
          <w:b/>
          <w:bCs/>
          <w:color w:val="2B2B2B"/>
          <w:sz w:val="21"/>
          <w:szCs w:val="21"/>
        </w:rPr>
        <w:t xml:space="preserve">Segment experiments </w:t>
      </w:r>
      <w:r>
        <w:rPr>
          <w:rFonts w:ascii="Calibri" w:cs="Calibri" w:eastAsia="Calibri" w:hAnsi="Calibri"/>
          <w:color w:val="2B2B2B"/>
          <w:sz w:val="21"/>
          <w:szCs w:val="21"/>
        </w:rPr>
        <w:t xml:space="preserve">— different offers to one-time vs repeat vs dormant.</w:t>
      </w:r>
    </w:p>
    <w:p>
      <w:pPr>
        <w:pStyle w:val="ListParagraph"/>
        <w:numPr>
          <w:ilvl w:val="0"/>
          <w:numId w:val="2"/>
        </w:numPr>
        <w:spacing w:after="60" w:line="268"/>
      </w:pPr>
      <w:r>
        <w:rPr>
          <w:rFonts w:ascii="Calibri" w:cs="Calibri" w:eastAsia="Calibri" w:hAnsi="Calibri"/>
          <w:b/>
          <w:bCs/>
          <w:color w:val="2B2B2B"/>
          <w:sz w:val="21"/>
          <w:szCs w:val="21"/>
        </w:rPr>
        <w:t xml:space="preserve">Trigger/journey tests </w:t>
      </w:r>
      <w:r>
        <w:rPr>
          <w:rFonts w:ascii="Calibri" w:cs="Calibri" w:eastAsia="Calibri" w:hAnsi="Calibri"/>
          <w:color w:val="2B2B2B"/>
          <w:sz w:val="21"/>
          <w:szCs w:val="21"/>
        </w:rPr>
        <w:t xml:space="preserve">— timing &amp; channel of the 2nd-purchase nudge.</w:t>
      </w:r>
    </w:p>
    <w:p>
      <w:pPr>
        <w:pStyle w:val="Heading2"/>
        <w:spacing w:after="90" w:before="240"/>
      </w:pPr>
      <w:r>
        <w:rPr>
          <w:rFonts w:ascii="Calibri" w:cs="Calibri" w:eastAsia="Calibri" w:hAnsi="Calibri"/>
          <w:b/>
          <w:bCs/>
          <w:color w:val="B45F3B"/>
          <w:sz w:val="26"/>
          <w:szCs w:val="26"/>
        </w:rPr>
        <w:t xml:space="preserve">Example test cards</w:t>
      </w:r>
    </w:p>
    <w:tbl>
      <w:tblPr>
        <w:tblW w:type="dxa" w:w="9360"/>
        <w:tblBorders>
          <w:top w:val="single" w:color="C9C2BA" w:sz="2"/>
          <w:left w:val="none"/>
          <w:bottom w:val="single" w:color="C9C2BA" w:sz="2"/>
          <w:right w:val="none"/>
          <w:insideH w:val="single" w:color="D9D2CB" w:sz="2"/>
          <w:insideV w:val="none"/>
        </w:tblBorders>
      </w:tblPr>
      <w:tblGrid>
        <w:gridCol w:w="2500"/>
        <w:gridCol w:w="1900"/>
        <w:gridCol w:w="1900"/>
        <w:gridCol w:w="2100"/>
        <w:gridCol w:w="960"/>
      </w:tblGrid>
      <w:tr>
        <w:trPr>
          <w:tblHeader/>
        </w:trPr>
        <w:tc>
          <w:tcPr>
            <w:tcW w:type="dxa" w:w="25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Test</w:t>
            </w:r>
          </w:p>
        </w:tc>
        <w:tc>
          <w:tcPr>
            <w:tcW w:type="dxa" w:w="19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Control</w:t>
            </w:r>
          </w:p>
        </w:tc>
        <w:tc>
          <w:tcPr>
            <w:tcW w:type="dxa" w:w="19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Treatment</w:t>
            </w:r>
          </w:p>
        </w:tc>
        <w:tc>
          <w:tcPr>
            <w:tcW w:type="dxa" w:w="21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Primary KPI</w:t>
            </w:r>
          </w:p>
        </w:tc>
        <w:tc>
          <w:tcPr>
            <w:tcW w:type="dxa" w:w="96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Guardrail</w:t>
            </w:r>
          </w:p>
        </w:tc>
      </w:tr>
      <w:tr>
        <w:tc>
          <w:tcPr>
            <w:tcW w:type="dxa" w:w="2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Welcome bonus size</w:t>
            </w:r>
          </w:p>
        </w:tc>
        <w:tc>
          <w:tcPr>
            <w:tcW w:type="dxa" w:w="1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100 pts</w:t>
            </w:r>
          </w:p>
        </w:tc>
        <w:tc>
          <w:tcPr>
            <w:tcW w:type="dxa" w:w="1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250 pts</w:t>
            </w:r>
          </w:p>
        </w:tc>
        <w:tc>
          <w:tcPr>
            <w:tcW w:type="dxa" w:w="2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60-day 2nd-purchase rate</w:t>
            </w:r>
          </w:p>
        </w:tc>
        <w:tc>
          <w:tcPr>
            <w:tcW w:type="dxa" w:w="9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Discount %/order, margin</w:t>
            </w:r>
          </w:p>
        </w:tc>
      </w:tr>
      <w:tr>
        <w:tc>
          <w:tcPr>
            <w:tcW w:type="dxa" w:w="2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Free-ship threshold</w:t>
            </w:r>
          </w:p>
        </w:tc>
        <w:tc>
          <w:tcPr>
            <w:tcW w:type="dxa" w:w="1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₹999</w:t>
            </w:r>
          </w:p>
        </w:tc>
        <w:tc>
          <w:tcPr>
            <w:tcW w:type="dxa" w:w="1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₹1,499 vs none</w:t>
            </w:r>
          </w:p>
        </w:tc>
        <w:tc>
          <w:tcPr>
            <w:tcW w:type="dxa" w:w="21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AOV, conversion</w:t>
            </w:r>
          </w:p>
        </w:tc>
        <w:tc>
          <w:tcPr>
            <w:tcW w:type="dxa" w:w="9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Contribution/order</w:t>
            </w:r>
          </w:p>
        </w:tc>
      </w:tr>
      <w:tr>
        <w:tc>
          <w:tcPr>
            <w:tcW w:type="dxa" w:w="2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Early access</w:t>
            </w:r>
          </w:p>
        </w:tc>
        <w:tc>
          <w:tcPr>
            <w:tcW w:type="dxa" w:w="1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none</w:t>
            </w:r>
          </w:p>
        </w:tc>
        <w:tc>
          <w:tcPr>
            <w:tcW w:type="dxa" w:w="1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24h member early access</w:t>
            </w:r>
          </w:p>
        </w:tc>
        <w:tc>
          <w:tcPr>
            <w:tcW w:type="dxa" w:w="2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Drop sell-through, app opens</w:t>
            </w:r>
          </w:p>
        </w:tc>
        <w:tc>
          <w:tcPr>
            <w:tcW w:type="dxa" w:w="9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Full-price mix</w:t>
            </w:r>
          </w:p>
        </w:tc>
      </w:tr>
      <w:tr>
        <w:tc>
          <w:tcPr>
            <w:tcW w:type="dxa" w:w="2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Tier cutoff</w:t>
            </w:r>
          </w:p>
        </w:tc>
        <w:tc>
          <w:tcPr>
            <w:tcW w:type="dxa" w:w="1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₹X</w:t>
            </w:r>
          </w:p>
        </w:tc>
        <w:tc>
          <w:tcPr>
            <w:tcW w:type="dxa" w:w="1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0.8X vs 1.2X</w:t>
            </w:r>
          </w:p>
        </w:tc>
        <w:tc>
          <w:tcPr>
            <w:tcW w:type="dxa" w:w="21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 reaching tier, retention</w:t>
            </w:r>
          </w:p>
        </w:tc>
        <w:tc>
          <w:tcPr>
            <w:tcW w:type="dxa" w:w="9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Reward cost/member</w:t>
            </w:r>
          </w:p>
        </w:tc>
      </w:tr>
      <w:tr>
        <w:tc>
          <w:tcPr>
            <w:tcW w:type="dxa" w:w="2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Expiry window</w:t>
            </w:r>
          </w:p>
        </w:tc>
        <w:tc>
          <w:tcPr>
            <w:tcW w:type="dxa" w:w="1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12 mo</w:t>
            </w:r>
          </w:p>
        </w:tc>
        <w:tc>
          <w:tcPr>
            <w:tcW w:type="dxa" w:w="1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6 vs 18 mo</w:t>
            </w:r>
          </w:p>
        </w:tc>
        <w:tc>
          <w:tcPr>
            <w:tcW w:type="dxa" w:w="2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Redemption, reactivation</w:t>
            </w:r>
          </w:p>
        </w:tc>
        <w:tc>
          <w:tcPr>
            <w:tcW w:type="dxa" w:w="9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Liability, breakage</w:t>
            </w:r>
          </w:p>
        </w:tc>
      </w:tr>
      <w:tr>
        <w:tc>
          <w:tcPr>
            <w:tcW w:type="dxa" w:w="2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Reactivation offer</w:t>
            </w:r>
          </w:p>
        </w:tc>
        <w:tc>
          <w:tcPr>
            <w:tcW w:type="dxa" w:w="1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generic</w:t>
            </w:r>
          </w:p>
        </w:tc>
        <w:tc>
          <w:tcPr>
            <w:tcW w:type="dxa" w:w="1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personalised pts+category</w:t>
            </w:r>
          </w:p>
        </w:tc>
        <w:tc>
          <w:tcPr>
            <w:tcW w:type="dxa" w:w="21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Dormant win-back rate</w:t>
            </w:r>
          </w:p>
        </w:tc>
        <w:tc>
          <w:tcPr>
            <w:tcW w:type="dxa" w:w="9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Margin on won-back</w:t>
            </w:r>
          </w:p>
        </w:tc>
      </w:tr>
    </w:tbl>
    <w:p>
      <w:pPr>
        <w:spacing w:after="60"/>
      </w:pPr>
    </w:p>
    <w:p>
      <w:pPr>
        <w:spacing w:after="120" w:line="276"/>
        <w:jc w:val="both"/>
      </w:pPr>
      <w:r>
        <w:rPr>
          <w:rFonts w:ascii="Calibri" w:cs="Calibri" w:eastAsia="Calibri" w:hAnsi="Calibri"/>
          <w:color w:val="2B2B2B"/>
          <w:sz w:val="21"/>
          <w:szCs w:val="21"/>
        </w:rPr>
        <w:t xml:space="preserve">Each test defines: control, treatment, sample size (powered to detect ~2–3pp lift), duration (≥1 purchase cycle, 6–8 weeks minimum), primary KPI, secondary KPIs, and guardrails (margin, discount depth, breakage, NPS).</w:t>
      </w:r>
    </w:p>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19.  KPI Framework</w:t>
      </w:r>
    </w:p>
    <w:tbl>
      <w:tblPr>
        <w:tblW w:type="dxa" w:w="9360"/>
        <w:tblBorders>
          <w:top w:val="single" w:color="C9C2BA" w:sz="2"/>
          <w:left w:val="none"/>
          <w:bottom w:val="single" w:color="C9C2BA" w:sz="2"/>
          <w:right w:val="none"/>
          <w:insideH w:val="single" w:color="D9D2CB" w:sz="2"/>
          <w:insideV w:val="none"/>
        </w:tblBorders>
      </w:tblPr>
      <w:tblGrid>
        <w:gridCol w:w="1900"/>
        <w:gridCol w:w="7460"/>
      </w:tblGrid>
      <w:tr>
        <w:trPr>
          <w:tblHeader/>
        </w:trPr>
        <w:tc>
          <w:tcPr>
            <w:tcW w:type="dxa" w:w="19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Layer</w:t>
            </w:r>
          </w:p>
        </w:tc>
        <w:tc>
          <w:tcPr>
            <w:tcW w:type="dxa" w:w="746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Metrics</w:t>
            </w:r>
          </w:p>
        </w:tc>
      </w:tr>
      <w:tr>
        <w:tc>
          <w:tcPr>
            <w:tcW w:type="dxa" w:w="1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Acquisition</w:t>
            </w:r>
          </w:p>
        </w:tc>
        <w:tc>
          <w:tcPr>
            <w:tcW w:type="dxa" w:w="74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Enrolments; enrolment rate (% of buyers who join); % of checkouts identified; referral-driven signups; member CAC</w:t>
            </w:r>
          </w:p>
        </w:tc>
      </w:tr>
      <w:tr>
        <w:tc>
          <w:tcPr>
            <w:tcW w:type="dxa" w:w="1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Engagement</w:t>
            </w:r>
          </w:p>
        </w:tc>
        <w:tc>
          <w:tcPr>
            <w:tcW w:type="dxa" w:w="74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Active members (30/90-day); MAU; app adoption; reward-redemption rate; points earned vs burned; tier distribution; drop participation</w:t>
            </w:r>
          </w:p>
        </w:tc>
      </w:tr>
      <w:tr>
        <w:tc>
          <w:tcPr>
            <w:tcW w:type="dxa" w:w="1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Behaviour</w:t>
            </w:r>
          </w:p>
        </w:tc>
        <w:tc>
          <w:tcPr>
            <w:tcW w:type="dxa" w:w="74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Repeat rate; purchase frequency; time-to-2nd-purchase; inter-purchase interval; cross-category penetration; AOV; full-price mix</w:t>
            </w:r>
          </w:p>
        </w:tc>
      </w:tr>
      <w:tr>
        <w:tc>
          <w:tcPr>
            <w:tcW w:type="dxa" w:w="1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Economics</w:t>
            </w:r>
          </w:p>
        </w:tc>
        <w:tc>
          <w:tcPr>
            <w:tcW w:type="dxa" w:w="74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Revenue/member; contribution margin/member; INCREMENTAL revenue &amp; margin (vs holdout); reward cost/member; breakage; liability; CLV; CLV:CAC</w:t>
            </w:r>
          </w:p>
        </w:tc>
      </w:tr>
      <w:tr>
        <w:tc>
          <w:tcPr>
            <w:tcW w:type="dxa" w:w="1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Loyalty</w:t>
            </w:r>
          </w:p>
        </w:tc>
        <w:tc>
          <w:tcPr>
            <w:tcW w:type="dxa" w:w="74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Retention / churn; member tenure; tier migration (up/down); reactivation rate</w:t>
            </w:r>
          </w:p>
        </w:tc>
      </w:tr>
      <w:tr>
        <w:tc>
          <w:tcPr>
            <w:tcW w:type="dxa" w:w="1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Advocacy</w:t>
            </w:r>
          </w:p>
        </w:tc>
        <w:tc>
          <w:tcPr>
            <w:tcW w:type="dxa" w:w="74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Referral rate &amp; K-factor; UGC volume; reviews; NPS; social engagement</w:t>
            </w:r>
          </w:p>
        </w:tc>
      </w:tr>
    </w:tbl>
    <w:p>
      <w:pPr>
        <w:spacing w:after="60"/>
      </w:pPr>
    </w:p>
    <w:tbl>
      <w:tblPr>
        <w:tblW w:type="dxa" w:w="9360"/>
        <w:tblBorders>
          <w:top w:val="none"/>
          <w:left w:val="single" w:color="B45F3B" w:sz="24"/>
          <w:bottom w:val="none"/>
          <w:right w:val="none"/>
          <w:insideH w:val="none"/>
          <w:insideV w:val="none"/>
        </w:tblBorders>
      </w:tblPr>
      <w:tblGrid>
        <w:gridCol w:w="9360"/>
      </w:tblGrid>
      <w:tr>
        <w:tc>
          <w:tcPr>
            <w:tcW w:type="dxa" w:w="9360"/>
            <w:shd w:fill="EAF0EF" w:color="auto" w:val="clear"/>
            <w:tcMar>
              <w:top w:type="dxa" w:w="120"/>
              <w:left w:type="dxa" w:w="180"/>
              <w:bottom w:type="dxa" w:w="120"/>
              <w:right w:type="dxa" w:w="160"/>
            </w:tcMar>
          </w:tcPr>
          <w:p>
            <w:pPr>
              <w:spacing w:after="40"/>
            </w:pPr>
            <w:r>
              <w:rPr>
                <w:rFonts w:ascii="Calibri" w:cs="Calibri" w:eastAsia="Calibri" w:hAnsi="Calibri"/>
                <w:b/>
                <w:bCs/>
                <w:color w:val="B45F3B"/>
                <w:sz w:val="20"/>
                <w:szCs w:val="20"/>
              </w:rPr>
              <w:t xml:space="preserve">Correlation vs incrementality — the distinction that matters most</w:t>
            </w:r>
          </w:p>
          <w:p>
            <w:pPr>
              <w:spacing w:after="40" w:line="264"/>
            </w:pPr>
            <w:r>
              <w:rPr>
                <w:rFonts w:ascii="Calibri" w:cs="Calibri" w:eastAsia="Calibri" w:hAnsi="Calibri"/>
                <w:color w:val="2B2B2B"/>
                <w:sz w:val="20"/>
                <w:szCs w:val="20"/>
              </w:rPr>
              <w:t xml:space="preserve">Correlation (directional, do not over-trust): members spend more than non-members; higher tiers spend more. These are contaminated by selection bias.</w:t>
            </w:r>
          </w:p>
          <w:p>
            <w:pPr>
              <w:spacing w:after="40" w:line="264"/>
            </w:pPr>
            <w:r>
              <w:rPr>
                <w:rFonts w:ascii="Calibri" w:cs="Calibri" w:eastAsia="Calibri" w:hAnsi="Calibri"/>
                <w:color w:val="2B2B2B"/>
                <w:sz w:val="20"/>
                <w:szCs w:val="20"/>
              </w:rPr>
              <w:t xml:space="preserve">Incrementality (decision-grade, from holdouts/experiments): member vs holdout repeat-rate lift; incremental revenue/margin per member; win-back lift; AOV lift from a threshold test.</w:t>
            </w:r>
          </w:p>
          <w:p>
            <w:pPr>
              <w:spacing w:after="40" w:line="264"/>
            </w:pPr>
            <w:r>
              <w:rPr>
                <w:rFonts w:ascii="Calibri" w:cs="Calibri" w:eastAsia="Calibri" w:hAnsi="Calibri"/>
                <w:color w:val="2B2B2B"/>
                <w:sz w:val="20"/>
                <w:szCs w:val="20"/>
              </w:rPr>
              <w:t xml:space="preserve">North-star: incremental contribution margin per enrolled member vs holdout, plus 90-day repeat-rate lift.</w:t>
            </w:r>
          </w:p>
        </w:tc>
      </w:tr>
    </w:tbl>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20.  Customer Segmentation</w:t>
      </w:r>
    </w:p>
    <w:p>
      <w:pPr>
        <w:spacing w:after="120" w:line="276"/>
        <w:jc w:val="both"/>
      </w:pPr>
      <w:r>
        <w:rPr>
          <w:rFonts w:ascii="Calibri" w:cs="Calibri" w:eastAsia="Calibri" w:hAnsi="Calibri"/>
          <w:b/>
          <w:bCs/>
          <w:color w:val="2B2B2B"/>
          <w:sz w:val="21"/>
          <w:szCs w:val="21"/>
        </w:rPr>
        <w:t xml:space="preserve">Should every customer receive the same loyalty proposition? </w:t>
      </w:r>
      <w:r>
        <w:rPr>
          <w:rFonts w:ascii="Calibri" w:cs="Calibri" w:eastAsia="Calibri" w:hAnsi="Calibri"/>
          <w:color w:val="2B2B2B"/>
          <w:sz w:val="21"/>
          <w:szCs w:val="21"/>
        </w:rPr>
        <w:t xml:space="preserve">No. The architecture is one programme; the benefits and communications are differentiated by segment, powered by MoEngage journeys.</w:t>
      </w:r>
    </w:p>
    <w:tbl>
      <w:tblPr>
        <w:tblW w:type="dxa" w:w="9360"/>
        <w:tblBorders>
          <w:top w:val="single" w:color="C9C2BA" w:sz="2"/>
          <w:left w:val="none"/>
          <w:bottom w:val="single" w:color="C9C2BA" w:sz="2"/>
          <w:right w:val="none"/>
          <w:insideH w:val="single" w:color="D9D2CB" w:sz="2"/>
          <w:insideV w:val="none"/>
        </w:tblBorders>
      </w:tblPr>
      <w:tblGrid>
        <w:gridCol w:w="2500"/>
        <w:gridCol w:w="2400"/>
        <w:gridCol w:w="4460"/>
      </w:tblGrid>
      <w:tr>
        <w:trPr>
          <w:tblHeader/>
        </w:trPr>
        <w:tc>
          <w:tcPr>
            <w:tcW w:type="dxa" w:w="25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Segment</w:t>
            </w:r>
          </w:p>
        </w:tc>
        <w:tc>
          <w:tcPr>
            <w:tcW w:type="dxa" w:w="24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Loyalty job</w:t>
            </w:r>
          </w:p>
        </w:tc>
        <w:tc>
          <w:tcPr>
            <w:tcW w:type="dxa" w:w="446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Differentiated proposition</w:t>
            </w:r>
          </w:p>
        </w:tc>
      </w:tr>
      <w:tr>
        <w:tc>
          <w:tcPr>
            <w:tcW w:type="dxa" w:w="2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New / first-time (often gift or marketplace)</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Convert to 2nd purchase</w:t>
            </w:r>
          </w:p>
        </w:tc>
        <w:tc>
          <w:tcPr>
            <w:tcW w:type="dxa" w:w="44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Welcome bonus, fast reward, easy 2nd-purchase nudge + cross-category sampler</w:t>
            </w:r>
          </w:p>
        </w:tc>
      </w:tr>
      <w:tr>
        <w:tc>
          <w:tcPr>
            <w:tcW w:type="dxa" w:w="2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One-time buyers (lapse risk)</w:t>
            </w:r>
          </w:p>
        </w:tc>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Prevent lapse</w:t>
            </w:r>
          </w:p>
        </w:tc>
        <w:tc>
          <w:tcPr>
            <w:tcW w:type="dxa" w:w="44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Timed 2nd-order incentive, category recommendation, expiry nudge</w:t>
            </w:r>
          </w:p>
        </w:tc>
      </w:tr>
      <w:tr>
        <w:tc>
          <w:tcPr>
            <w:tcW w:type="dxa" w:w="2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Repeat buyers</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Increase frequency + cross-cat</w:t>
            </w:r>
          </w:p>
        </w:tc>
        <w:tc>
          <w:tcPr>
            <w:tcW w:type="dxa" w:w="44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Tier progress, “complete your Stack,” category unlocks</w:t>
            </w:r>
          </w:p>
        </w:tc>
      </w:tr>
      <w:tr>
        <w:tc>
          <w:tcPr>
            <w:tcW w:type="dxa" w:w="2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High-frequency</w:t>
            </w:r>
          </w:p>
        </w:tc>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Habit + advocacy</w:t>
            </w:r>
          </w:p>
        </w:tc>
        <w:tc>
          <w:tcPr>
            <w:tcW w:type="dxa" w:w="44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Early access, drops, streaks, referral</w:t>
            </w:r>
          </w:p>
        </w:tc>
      </w:tr>
      <w:tr>
        <w:tc>
          <w:tcPr>
            <w:tcW w:type="dxa" w:w="2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High-AOV</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Protect + upsell</w:t>
            </w:r>
          </w:p>
        </w:tc>
        <w:tc>
          <w:tcPr>
            <w:tcW w:type="dxa" w:w="44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Status recognition, premium perks, considered-category access (bags)</w:t>
            </w:r>
          </w:p>
        </w:tc>
      </w:tr>
      <w:tr>
        <w:tc>
          <w:tcPr>
            <w:tcW w:type="dxa" w:w="2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Discount-sensitive</w:t>
            </w:r>
          </w:p>
        </w:tc>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Migrate to value-not-price</w:t>
            </w:r>
          </w:p>
        </w:tc>
        <w:tc>
          <w:tcPr>
            <w:tcW w:type="dxa" w:w="44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Points + free shipping (not deep discounts)</w:t>
            </w:r>
          </w:p>
        </w:tc>
      </w:tr>
      <w:tr>
        <w:tc>
          <w:tcPr>
            <w:tcW w:type="dxa" w:w="2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Full-price loyalists</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Reward without discounting</w:t>
            </w:r>
          </w:p>
        </w:tc>
        <w:tc>
          <w:tcPr>
            <w:tcW w:type="dxa" w:w="44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Status, access, experiences, gifts — never undercut them</w:t>
            </w:r>
          </w:p>
        </w:tc>
      </w:tr>
      <w:tr>
        <w:tc>
          <w:tcPr>
            <w:tcW w:type="dxa" w:w="2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Category loyalists (only cases)</w:t>
            </w:r>
          </w:p>
        </w:tc>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Cross-sell</w:t>
            </w:r>
          </w:p>
        </w:tc>
        <w:tc>
          <w:tcPr>
            <w:tcW w:type="dxa" w:w="44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Sampler credits into charging / bags / desk</w:t>
            </w:r>
          </w:p>
        </w:tc>
      </w:tr>
      <w:tr>
        <w:tc>
          <w:tcPr>
            <w:tcW w:type="dxa" w:w="2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Cross-category</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Deepen + tier up</w:t>
            </w:r>
          </w:p>
        </w:tc>
        <w:tc>
          <w:tcPr>
            <w:tcW w:type="dxa" w:w="44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Recognise breadth; VIP path</w:t>
            </w:r>
          </w:p>
        </w:tc>
      </w:tr>
      <w:tr>
        <w:tc>
          <w:tcPr>
            <w:tcW w:type="dxa" w:w="2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Dormant</w:t>
            </w:r>
          </w:p>
        </w:tc>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Reactivate</w:t>
            </w:r>
          </w:p>
        </w:tc>
        <w:tc>
          <w:tcPr>
            <w:tcW w:type="dxa" w:w="44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Personalised win-back, birthday, new-phone trigger, points-expiry</w:t>
            </w:r>
          </w:p>
        </w:tc>
      </w:tr>
      <w:tr>
        <w:tc>
          <w:tcPr>
            <w:tcW w:type="dxa" w:w="2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VIP (top ~5%)</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Retain + delight</w:t>
            </w:r>
          </w:p>
        </w:tc>
        <w:tc>
          <w:tcPr>
            <w:tcW w:type="dxa" w:w="44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Concierge, custom design, invitations, protected status, human touch</w:t>
            </w:r>
          </w:p>
        </w:tc>
      </w:tr>
    </w:tbl>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21.  Data, Technology, CRM &amp; MoEngage</w:t>
      </w:r>
    </w:p>
    <w:p>
      <w:pPr>
        <w:spacing w:after="120" w:line="276"/>
        <w:jc w:val="both"/>
      </w:pPr>
      <w:r>
        <w:rPr>
          <w:rFonts w:ascii="Calibri" w:cs="Calibri" w:eastAsia="Calibri" w:hAnsi="Calibri"/>
          <w:color w:val="2B2B2B"/>
          <w:sz w:val="21"/>
          <w:szCs w:val="21"/>
        </w:rPr>
        <w:t xml:space="preserve">What DailyObjects needs to operationalise the programme — a conceptual architecture in seven layers.</w:t>
      </w:r>
    </w:p>
    <w:tbl>
      <w:tblPr>
        <w:tblW w:type="dxa" w:w="9360"/>
        <w:tblBorders>
          <w:top w:val="single" w:color="C9C2BA" w:sz="2"/>
          <w:left w:val="none"/>
          <w:bottom w:val="single" w:color="C9C2BA" w:sz="2"/>
          <w:right w:val="none"/>
          <w:insideH w:val="single" w:color="D9D2CB" w:sz="2"/>
          <w:insideV w:val="none"/>
        </w:tblBorders>
      </w:tblPr>
      <w:tblGrid>
        <w:gridCol w:w="2500"/>
        <w:gridCol w:w="6860"/>
      </w:tblGrid>
      <w:tr>
        <w:trPr>
          <w:tblHeader/>
        </w:trPr>
        <w:tc>
          <w:tcPr>
            <w:tcW w:type="dxa" w:w="25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Layer</w:t>
            </w:r>
          </w:p>
        </w:tc>
        <w:tc>
          <w:tcPr>
            <w:tcW w:type="dxa" w:w="686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What it holds / does</w:t>
            </w:r>
          </w:p>
        </w:tc>
      </w:tr>
      <w:tr>
        <w:tc>
          <w:tcPr>
            <w:tcW w:type="dxa" w:w="2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 Identity</w:t>
            </w:r>
          </w:p>
        </w:tc>
        <w:tc>
          <w:tcPr>
            <w:tcW w:type="dxa" w:w="68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Single customer ID keyed on phone number (online + offline + marketplace) + email; identity resolution/dedup. The omnichannel foundation.</w:t>
            </w:r>
          </w:p>
        </w:tc>
      </w:tr>
      <w:tr>
        <w:tc>
          <w:tcPr>
            <w:tcW w:type="dxa" w:w="2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2. CDP</w:t>
            </w:r>
          </w:p>
        </w:tc>
        <w:tc>
          <w:tcPr>
            <w:tcW w:type="dxa" w:w="68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Unifies web, app, EBO POS, marketplace, CRM into one profile. Attributes: demographics, device model(s), categories owned, Stack completeness, AOV, frequency, RFM, tier, points, channel mix, gifting behaviour, consent.</w:t>
            </w:r>
          </w:p>
        </w:tc>
      </w:tr>
      <w:tr>
        <w:tc>
          <w:tcPr>
            <w:tcW w:type="dxa" w:w="2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3. Loyalty engine</w:t>
            </w:r>
          </w:p>
        </w:tc>
        <w:tc>
          <w:tcPr>
            <w:tcW w:type="dxa" w:w="68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Ledger for points (earn/burn/expiry), tier status &amp; recalculation, entitlements, redemptions, liability accounting, referral tracking. Buy a loyalty SaaS/headless engine — don’t hand-roll.</w:t>
            </w:r>
          </w:p>
        </w:tc>
      </w:tr>
      <w:tr>
        <w:tc>
          <w:tcPr>
            <w:tcW w:type="dxa" w:w="2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4. CRM / engagement — MoEngage</w:t>
            </w:r>
          </w:p>
        </w:tc>
        <w:tc>
          <w:tcPr>
            <w:tcW w:type="dxa" w:w="68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The orchestration brain: segments, lifecycle journeys, triggers, channel arbitration across email, push, WhatsApp, SMS, in-app. Loyalty events (tier up, points near expiry, drop, birthday, cart, new-phone) → MoEngage journeys.</w:t>
            </w:r>
          </w:p>
        </w:tc>
      </w:tr>
      <w:tr>
        <w:tc>
          <w:tcPr>
            <w:tcW w:type="dxa" w:w="2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5. Commerce</w:t>
            </w:r>
          </w:p>
        </w:tc>
        <w:tc>
          <w:tcPr>
            <w:tcW w:type="dxa" w:w="68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Website + app + checkout show points/tier and apply benefits; OMS ties orders to profile.</w:t>
            </w:r>
          </w:p>
        </w:tc>
      </w:tr>
      <w:tr>
        <w:tc>
          <w:tcPr>
            <w:tcW w:type="dxa" w:w="25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6. Offline</w:t>
            </w:r>
          </w:p>
        </w:tc>
        <w:tc>
          <w:tcPr>
            <w:tcW w:type="dxa" w:w="68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EBO POS integration; identify at till by phone/QR/loyalty ID; earn + burn + recognition in-store; consistent balance web↔store.</w:t>
            </w:r>
          </w:p>
        </w:tc>
      </w:tr>
      <w:tr>
        <w:tc>
          <w:tcPr>
            <w:tcW w:type="dxa" w:w="25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7. Analytics</w:t>
            </w:r>
          </w:p>
        </w:tc>
        <w:tc>
          <w:tcPr>
            <w:tcW w:type="dxa" w:w="68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Holdout/experiment measurement, dashboards, CLV models, segmentation.</w:t>
            </w:r>
          </w:p>
        </w:tc>
      </w:tr>
    </w:tbl>
    <w:p>
      <w:pPr>
        <w:spacing w:after="80"/>
      </w:pPr>
    </w:p>
    <w:p>
      <w:pPr>
        <w:pStyle w:val="Heading2"/>
        <w:spacing w:after="90" w:before="240"/>
      </w:pPr>
      <w:r>
        <w:rPr>
          <w:rFonts w:ascii="Calibri" w:cs="Calibri" w:eastAsia="Calibri" w:hAnsi="Calibri"/>
          <w:b/>
          <w:bCs/>
          <w:color w:val="B45F3B"/>
          <w:sz w:val="26"/>
          <w:szCs w:val="26"/>
        </w:rPr>
        <w:t xml:space="preserve">MoEngage integration — how loyalty should drive CRM</w:t>
      </w:r>
    </w:p>
    <w:p>
      <w:pPr>
        <w:pStyle w:val="ListParagraph"/>
        <w:numPr>
          <w:ilvl w:val="0"/>
          <w:numId w:val="2"/>
        </w:numPr>
        <w:spacing w:after="60" w:line="268"/>
      </w:pPr>
      <w:r>
        <w:rPr>
          <w:rFonts w:ascii="Calibri" w:cs="Calibri" w:eastAsia="Calibri" w:hAnsi="Calibri"/>
          <w:b/>
          <w:bCs/>
          <w:color w:val="2B2B2B"/>
          <w:sz w:val="21"/>
          <w:szCs w:val="21"/>
        </w:rPr>
        <w:t xml:space="preserve">Event-driven journeys: </w:t>
      </w:r>
      <w:r>
        <w:rPr>
          <w:rFonts w:ascii="Calibri" w:cs="Calibri" w:eastAsia="Calibri" w:hAnsi="Calibri"/>
          <w:color w:val="2B2B2B"/>
          <w:sz w:val="21"/>
          <w:szCs w:val="21"/>
        </w:rPr>
        <w:t xml:space="preserve">enrol, welcome, 1st-order onboarding, 2nd-purchase nudge, tier-up celebration, points-expiry (60/30/7 days), birthday, new-phone-launch, cart, replenishment, win-back.</w:t>
      </w:r>
    </w:p>
    <w:p>
      <w:pPr>
        <w:pStyle w:val="ListParagraph"/>
        <w:numPr>
          <w:ilvl w:val="0"/>
          <w:numId w:val="2"/>
        </w:numPr>
        <w:spacing w:after="60" w:line="268"/>
      </w:pPr>
      <w:r>
        <w:rPr>
          <w:rFonts w:ascii="Calibri" w:cs="Calibri" w:eastAsia="Calibri" w:hAnsi="Calibri"/>
          <w:b/>
          <w:bCs/>
          <w:color w:val="2B2B2B"/>
          <w:sz w:val="21"/>
          <w:szCs w:val="21"/>
        </w:rPr>
        <w:t xml:space="preserve">Channel strategy (India): </w:t>
      </w:r>
      <w:r>
        <w:rPr>
          <w:rFonts w:ascii="Calibri" w:cs="Calibri" w:eastAsia="Calibri" w:hAnsi="Calibri"/>
          <w:color w:val="2B2B2B"/>
          <w:sz w:val="21"/>
          <w:szCs w:val="21"/>
        </w:rPr>
        <w:t xml:space="preserve">WhatsApp-led (highest engagement), push, email, SMS, in-app — with channel arbitration and strict consent.</w:t>
      </w:r>
    </w:p>
    <w:p>
      <w:pPr>
        <w:pStyle w:val="ListParagraph"/>
        <w:numPr>
          <w:ilvl w:val="0"/>
          <w:numId w:val="2"/>
        </w:numPr>
        <w:spacing w:after="60" w:line="268"/>
      </w:pPr>
      <w:r>
        <w:rPr>
          <w:rFonts w:ascii="Calibri" w:cs="Calibri" w:eastAsia="Calibri" w:hAnsi="Calibri"/>
          <w:b/>
          <w:bCs/>
          <w:color w:val="2B2B2B"/>
          <w:sz w:val="21"/>
          <w:szCs w:val="21"/>
        </w:rPr>
        <w:t xml:space="preserve">Segment-personalised content: </w:t>
      </w:r>
      <w:r>
        <w:rPr>
          <w:rFonts w:ascii="Calibri" w:cs="Calibri" w:eastAsia="Calibri" w:hAnsi="Calibri"/>
          <w:color w:val="2B2B2B"/>
          <w:sz w:val="21"/>
          <w:szCs w:val="21"/>
        </w:rPr>
        <w:t xml:space="preserve">next-best category, device-aware recommendations, tier-specific offers.</w:t>
      </w:r>
    </w:p>
    <w:p>
      <w:pPr>
        <w:pStyle w:val="Heading2"/>
        <w:spacing w:after="90" w:before="240"/>
      </w:pPr>
      <w:r>
        <w:rPr>
          <w:rFonts w:ascii="Calibri" w:cs="Calibri" w:eastAsia="Calibri" w:hAnsi="Calibri"/>
          <w:b/>
          <w:bCs/>
          <w:color w:val="B45F3B"/>
          <w:sz w:val="26"/>
          <w:szCs w:val="26"/>
        </w:rPr>
        <w:t xml:space="preserve">Minimum omnichannel capabilities (recap)</w:t>
      </w:r>
    </w:p>
    <w:p>
      <w:pPr>
        <w:spacing w:after="120" w:line="276"/>
        <w:jc w:val="both"/>
      </w:pPr>
      <w:r>
        <w:rPr>
          <w:rFonts w:ascii="Calibri" w:cs="Calibri" w:eastAsia="Calibri" w:hAnsi="Calibri"/>
          <w:color w:val="2B2B2B"/>
          <w:sz w:val="21"/>
          <w:szCs w:val="21"/>
        </w:rPr>
        <w:t xml:space="preserve">One identity · one wallet/points ledger · one membership · consistent benefits &amp; recognition · cross-channel purchase history · cross-channel earn AND redeem · near-real-time balance. Sequencing: Phase 1 nail online identity + loyalty engine + MoEngage; Phase 2 integrate EBO POS for true omnichannel; Phase 3 marketplace reconciliation + ML personalisation.</w:t>
      </w:r>
    </w:p>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22.  Membership &amp; Refresh Logic</w:t>
      </w:r>
    </w:p>
    <w:tbl>
      <w:tblPr>
        <w:tblW w:type="dxa" w:w="9360"/>
        <w:tblBorders>
          <w:top w:val="single" w:color="C9C2BA" w:sz="2"/>
          <w:left w:val="none"/>
          <w:bottom w:val="single" w:color="C9C2BA" w:sz="2"/>
          <w:right w:val="none"/>
          <w:insideH w:val="single" w:color="D9D2CB" w:sz="2"/>
          <w:insideV w:val="none"/>
        </w:tblBorders>
      </w:tblPr>
      <w:tblGrid>
        <w:gridCol w:w="3100"/>
        <w:gridCol w:w="6260"/>
      </w:tblGrid>
      <w:tr>
        <w:trPr>
          <w:tblHeader/>
        </w:trPr>
        <w:tc>
          <w:tcPr>
            <w:tcW w:type="dxa" w:w="31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Question</w:t>
            </w:r>
          </w:p>
        </w:tc>
        <w:tc>
          <w:tcPr>
            <w:tcW w:type="dxa" w:w="626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Recommendation</w:t>
            </w:r>
          </w:p>
        </w:tc>
      </w:tr>
      <w:tr>
        <w:tc>
          <w:tcPr>
            <w:tcW w:type="dxa" w:w="3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Tier basis</w:t>
            </w:r>
          </w:p>
        </w:tc>
        <w:tc>
          <w:tcPr>
            <w:tcW w:type="dxa" w:w="62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Rolling 12-month qualification (fairer for medium-frequency + gifting than calendar year; avoids a January cliff).</w:t>
            </w:r>
          </w:p>
        </w:tc>
      </w:tr>
      <w:tr>
        <w:tc>
          <w:tcPr>
            <w:tcW w:type="dxa" w:w="31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Recalculation cadence</w:t>
            </w:r>
          </w:p>
        </w:tc>
        <w:tc>
          <w:tcPr>
            <w:tcW w:type="dxa" w:w="62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Recalculate nightly; evaluate tier monthly (soft), with a formal review at the rolling window.</w:t>
            </w:r>
          </w:p>
        </w:tc>
      </w:tr>
      <w:tr>
        <w:tc>
          <w:tcPr>
            <w:tcW w:type="dxa" w:w="3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Earning</w:t>
            </w:r>
          </w:p>
        </w:tc>
        <w:tc>
          <w:tcPr>
            <w:tcW w:type="dxa" w:w="62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Points on net spend (post-discount, pre-tax/shipping) + bonus for 2nd purchase, cross-category, reviews, referrals, app actions, trade-in.</w:t>
            </w:r>
          </w:p>
        </w:tc>
      </w:tr>
      <w:tr>
        <w:tc>
          <w:tcPr>
            <w:tcW w:type="dxa" w:w="31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Points expiry</w:t>
            </w:r>
          </w:p>
        </w:tc>
        <w:tc>
          <w:tcPr>
            <w:tcW w:type="dxa" w:w="62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12 months rolling from earn; warn at 60/30/7 days (reactivation trigger). Balances breakage vs goodwill.</w:t>
            </w:r>
          </w:p>
        </w:tc>
      </w:tr>
      <w:tr>
        <w:tc>
          <w:tcPr>
            <w:tcW w:type="dxa" w:w="3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New customers</w:t>
            </w:r>
          </w:p>
        </w:tc>
        <w:tc>
          <w:tcPr>
            <w:tcW w:type="dxa" w:w="62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Auto-enrol at checkout via phone number (opt-in consent); instant welcome bonus; Insider tier from order #1.</w:t>
            </w:r>
          </w:p>
        </w:tc>
      </w:tr>
      <w:tr>
        <w:tc>
          <w:tcPr>
            <w:tcW w:type="dxa" w:w="31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Tier up</w:t>
            </w:r>
          </w:p>
        </w:tc>
        <w:tc>
          <w:tcPr>
            <w:tcW w:type="dxa" w:w="62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Immediate on threshold cross (delight).</w:t>
            </w:r>
          </w:p>
        </w:tc>
      </w:tr>
      <w:tr>
        <w:tc>
          <w:tcPr>
            <w:tcW w:type="dxa" w:w="3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Tier down</w:t>
            </w:r>
          </w:p>
        </w:tc>
        <w:tc>
          <w:tcPr>
            <w:tcW w:type="dxa" w:w="62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Soft landing — grace period + “keep your status” nudge; VIPs protected from abrupt demotion.</w:t>
            </w:r>
          </w:p>
        </w:tc>
      </w:tr>
      <w:tr>
        <w:tc>
          <w:tcPr>
            <w:tcW w:type="dxa" w:w="31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Historical behaviour</w:t>
            </w:r>
          </w:p>
        </w:tc>
        <w:tc>
          <w:tcPr>
            <w:tcW w:type="dxa" w:w="62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Count last 12 months at launch so existing loyal customers start recognised, not from zero — critical for goodwill.</w:t>
            </w:r>
          </w:p>
        </w:tc>
      </w:tr>
      <w:tr>
        <w:tc>
          <w:tcPr>
            <w:tcW w:type="dxa" w:w="31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Dormant handling</w:t>
            </w:r>
          </w:p>
        </w:tc>
        <w:tc>
          <w:tcPr>
            <w:tcW w:type="dxa" w:w="62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Flag after 2× median inter-purchase interval; enter win-back journey; preserve status through grace, then step down gracefully with a re-earn path.</w:t>
            </w:r>
          </w:p>
        </w:tc>
      </w:tr>
      <w:tr>
        <w:tc>
          <w:tcPr>
            <w:tcW w:type="dxa" w:w="31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VIP protection</w:t>
            </w:r>
          </w:p>
        </w:tc>
        <w:tc>
          <w:tcPr>
            <w:tcW w:type="dxa" w:w="62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Rules-based + manual safety net; top ~5% never silently demoted; concierge/human recovery on issues.</w:t>
            </w:r>
          </w:p>
        </w:tc>
      </w:tr>
    </w:tbl>
    <w:p>
      <w:pPr>
        <w:spacing w:after="60"/>
      </w:pPr>
    </w:p>
    <w:tbl>
      <w:tblPr>
        <w:tblW w:type="dxa" w:w="9360"/>
        <w:tblBorders>
          <w:top w:val="none"/>
          <w:left w:val="single" w:color="2C6E6B" w:sz="24"/>
          <w:bottom w:val="none"/>
          <w:right w:val="none"/>
          <w:insideH w:val="none"/>
          <w:insideV w:val="none"/>
        </w:tblBorders>
      </w:tblPr>
      <w:tblGrid>
        <w:gridCol w:w="9360"/>
      </w:tblGrid>
      <w:tr>
        <w:tc>
          <w:tcPr>
            <w:tcW w:type="dxa" w:w="9360"/>
            <w:shd w:fill="EAF0EF" w:color="auto" w:val="clear"/>
            <w:tcMar>
              <w:top w:type="dxa" w:w="120"/>
              <w:left w:type="dxa" w:w="180"/>
              <w:bottom w:type="dxa" w:w="120"/>
              <w:right w:type="dxa" w:w="160"/>
            </w:tcMar>
          </w:tcPr>
          <w:p>
            <w:pPr>
              <w:spacing w:after="40"/>
            </w:pPr>
            <w:r>
              <w:rPr>
                <w:rFonts w:ascii="Calibri" w:cs="Calibri" w:eastAsia="Calibri" w:hAnsi="Calibri"/>
                <w:b/>
                <w:bCs/>
                <w:color w:val="2C6E6B"/>
                <w:sz w:val="20"/>
                <w:szCs w:val="20"/>
              </w:rPr>
              <w:t xml:space="preserve">Governance rule (the anti-failure discipline)</w:t>
            </w:r>
          </w:p>
          <w:p>
            <w:pPr>
              <w:spacing w:after="40" w:line="264"/>
            </w:pPr>
            <w:r>
              <w:rPr>
                <w:rFonts w:ascii="Calibri" w:cs="Calibri" w:eastAsia="Calibri" w:hAnsi="Calibri"/>
                <w:color w:val="2B2B2B"/>
                <w:sz w:val="20"/>
                <w:szCs w:val="20"/>
              </w:rPr>
              <w:t xml:space="preserve">Never devalue or expire without a notice window and a value story; auto-migrate balances on any change; model every change by cohort first. This single discipline would have prevented the Delta, Tesco, Marriott, Air Miles and Walgreens outcomes.</w:t>
            </w:r>
          </w:p>
        </w:tc>
      </w:tr>
    </w:tbl>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23.  Customer Journey Design</w:t>
      </w:r>
    </w:p>
    <w:p>
      <w:pPr>
        <w:spacing w:after="120" w:line="276"/>
        <w:jc w:val="both"/>
      </w:pPr>
      <w:r>
        <w:rPr>
          <w:rFonts w:ascii="Calibri" w:cs="Calibri" w:eastAsia="Calibri" w:hAnsi="Calibri"/>
          <w:color w:val="2B2B2B"/>
          <w:sz w:val="21"/>
          <w:szCs w:val="21"/>
        </w:rPr>
        <w:t xml:space="preserve">Mapping </w:t>
      </w:r>
      <w:r>
        <w:rPr>
          <w:rFonts w:ascii="Calibri" w:cs="Calibri" w:eastAsia="Calibri" w:hAnsi="Calibri"/>
          <w:b/>
          <w:bCs/>
          <w:color w:val="2B2B2B"/>
          <w:sz w:val="21"/>
          <w:szCs w:val="21"/>
        </w:rPr>
        <w:t xml:space="preserve">Customer action → Loyalty response → CRM communication → Business objective</w:t>
      </w:r>
      <w:r>
        <w:rPr>
          <w:rFonts w:ascii="Calibri" w:cs="Calibri" w:eastAsia="Calibri" w:hAnsi="Calibri"/>
          <w:color w:val="2B2B2B"/>
          <w:sz w:val="21"/>
          <w:szCs w:val="21"/>
        </w:rPr>
        <w:t xml:space="preserve"> across the lifecycle.</w:t>
      </w:r>
    </w:p>
    <w:tbl>
      <w:tblPr>
        <w:tblW w:type="dxa" w:w="9360"/>
        <w:tblBorders>
          <w:top w:val="single" w:color="C9C2BA" w:sz="2"/>
          <w:left w:val="none"/>
          <w:bottom w:val="single" w:color="C9C2BA" w:sz="2"/>
          <w:right w:val="none"/>
          <w:insideH w:val="single" w:color="D9D2CB" w:sz="2"/>
          <w:insideV w:val="none"/>
        </w:tblBorders>
      </w:tblPr>
      <w:tblGrid>
        <w:gridCol w:w="1900"/>
        <w:gridCol w:w="2400"/>
        <w:gridCol w:w="2400"/>
        <w:gridCol w:w="2660"/>
      </w:tblGrid>
      <w:tr>
        <w:trPr>
          <w:tblHeader/>
        </w:trPr>
        <w:tc>
          <w:tcPr>
            <w:tcW w:type="dxa" w:w="19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Stage</w:t>
            </w:r>
          </w:p>
        </w:tc>
        <w:tc>
          <w:tcPr>
            <w:tcW w:type="dxa" w:w="24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Loyalty response</w:t>
            </w:r>
          </w:p>
        </w:tc>
        <w:tc>
          <w:tcPr>
            <w:tcW w:type="dxa" w:w="24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CRM communication</w:t>
            </w:r>
          </w:p>
        </w:tc>
        <w:tc>
          <w:tcPr>
            <w:tcW w:type="dxa" w:w="266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Objective</w:t>
            </w:r>
          </w:p>
        </w:tc>
      </w:tr>
      <w:tr>
        <w:tc>
          <w:tcPr>
            <w:tcW w:type="dxa" w:w="1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Before joining</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Value prop at PDP/checkout/store: “Join free, get X now + points on this order”</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Contextual prompt</w:t>
            </w:r>
          </w:p>
        </w:tc>
        <w:tc>
          <w:tcPr>
            <w:tcW w:type="dxa" w:w="26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Enrolment</w:t>
            </w:r>
          </w:p>
        </w:tc>
      </w:tr>
      <w:tr>
        <w:tc>
          <w:tcPr>
            <w:tcW w:type="dxa" w:w="1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Sign-up (phone)</w:t>
            </w:r>
          </w:p>
        </w:tc>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Instant welcome bonus + tier card + how-it-works</w:t>
            </w:r>
          </w:p>
        </w:tc>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Welcome series (WhatsApp/email)</w:t>
            </w:r>
          </w:p>
        </w:tc>
        <w:tc>
          <w:tcPr>
            <w:tcW w:type="dxa" w:w="26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Activation, identity captured</w:t>
            </w:r>
          </w:p>
        </w:tc>
      </w:tr>
      <w:tr>
        <w:tc>
          <w:tcPr>
            <w:tcW w:type="dxa" w:w="1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1st purchase</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Points credited visibly + premium unboxing + “next order = free shipping”</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Onboarding + cross-category sampler</w:t>
            </w:r>
          </w:p>
        </w:tc>
        <w:tc>
          <w:tcPr>
            <w:tcW w:type="dxa" w:w="26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2nd-purchase conversion (key)</w:t>
            </w:r>
          </w:p>
        </w:tc>
      </w:tr>
      <w:tr>
        <w:tc>
          <w:tcPr>
            <w:tcW w:type="dxa" w:w="1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2nd purchase</w:t>
            </w:r>
          </w:p>
        </w:tc>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Apply benefit, tier progress bar, recommend complementary category</w:t>
            </w:r>
          </w:p>
        </w:tc>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“You’re ₹X from Icon”</w:t>
            </w:r>
          </w:p>
        </w:tc>
        <w:tc>
          <w:tcPr>
            <w:tcW w:type="dxa" w:w="26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Frequency + cross-category</w:t>
            </w:r>
          </w:p>
        </w:tc>
      </w:tr>
      <w:tr>
        <w:tc>
          <w:tcPr>
            <w:tcW w:type="dxa" w:w="1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3rd purchase</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Tier up (celebrate), early-access invite, referral prompt</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Drop alerts, “complete your Stack”</w:t>
            </w:r>
          </w:p>
        </w:tc>
        <w:tc>
          <w:tcPr>
            <w:tcW w:type="dxa" w:w="26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Habit + advocacy</w:t>
            </w:r>
          </w:p>
        </w:tc>
      </w:tr>
      <w:tr>
        <w:tc>
          <w:tcPr>
            <w:tcW w:type="dxa" w:w="1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High-value</w:t>
            </w:r>
          </w:p>
        </w:tc>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Status recognition, birthday gift, priority support, exclusive colourway</w:t>
            </w:r>
          </w:p>
        </w:tc>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VIP stream, human touch</w:t>
            </w:r>
          </w:p>
        </w:tc>
        <w:tc>
          <w:tcPr>
            <w:tcW w:type="dxa" w:w="26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Retention + AOV</w:t>
            </w:r>
          </w:p>
        </w:tc>
      </w:tr>
      <w:tr>
        <w:tc>
          <w:tcPr>
            <w:tcW w:type="dxa" w:w="19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Dormant</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Points-expiry + birthday + new-phone triggers + personalised win-back</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Multi-channel win-back journey</w:t>
            </w:r>
          </w:p>
        </w:tc>
        <w:tc>
          <w:tcPr>
            <w:tcW w:type="dxa" w:w="26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Reactivation</w:t>
            </w:r>
          </w:p>
        </w:tc>
      </w:tr>
      <w:tr>
        <w:tc>
          <w:tcPr>
            <w:tcW w:type="dxa" w:w="19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VIP</w:t>
            </w:r>
          </w:p>
        </w:tc>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Concierge, custom-design experience, event invites, protected status</w:t>
            </w:r>
          </w:p>
        </w:tc>
        <w:tc>
          <w:tcPr>
            <w:tcW w:type="dxa" w:w="24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1:1, low-frequency high-value</w:t>
            </w:r>
          </w:p>
        </w:tc>
        <w:tc>
          <w:tcPr>
            <w:tcW w:type="dxa" w:w="26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Retention + advocacy + LTV</w:t>
            </w:r>
          </w:p>
        </w:tc>
      </w:tr>
    </w:tbl>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24.  Final Strategic Recommendation &amp; 24-Month Roadmap</w:t>
      </w:r>
    </w:p>
    <w:p>
      <w:pPr>
        <w:spacing w:after="120" w:line="276"/>
        <w:jc w:val="both"/>
      </w:pPr>
      <w:r>
        <w:rPr>
          <w:rFonts w:ascii="Calibri" w:cs="Calibri" w:eastAsia="Calibri" w:hAnsi="Calibri"/>
          <w:color w:val="2B2B2B"/>
          <w:sz w:val="21"/>
          <w:szCs w:val="21"/>
        </w:rPr>
        <w:t xml:space="preserve">If we were the Chief Growth Officer / CMO of DailyObjects, this is the programme we would launch.</w:t>
      </w:r>
    </w:p>
    <w:tbl>
      <w:tblPr>
        <w:tblW w:type="dxa" w:w="9360"/>
        <w:tblBorders>
          <w:top w:val="none"/>
          <w:left w:val="single" w:color="B45F3B" w:sz="24"/>
          <w:bottom w:val="none"/>
          <w:right w:val="none"/>
          <w:insideH w:val="none"/>
          <w:insideV w:val="none"/>
        </w:tblBorders>
      </w:tblPr>
      <w:tblGrid>
        <w:gridCol w:w="9360"/>
      </w:tblGrid>
      <w:tr>
        <w:tc>
          <w:tcPr>
            <w:tcW w:type="dxa" w:w="9360"/>
            <w:shd w:fill="EAF0EF" w:color="auto" w:val="clear"/>
            <w:tcMar>
              <w:top w:type="dxa" w:w="120"/>
              <w:left w:type="dxa" w:w="180"/>
              <w:bottom w:type="dxa" w:w="120"/>
              <w:right w:type="dxa" w:w="160"/>
            </w:tcMar>
          </w:tcPr>
          <w:p>
            <w:pPr>
              <w:spacing w:after="40"/>
            </w:pPr>
            <w:r>
              <w:rPr>
                <w:rFonts w:ascii="Calibri" w:cs="Calibri" w:eastAsia="Calibri" w:hAnsi="Calibri"/>
                <w:b/>
                <w:bCs/>
                <w:color w:val="B45F3B"/>
                <w:sz w:val="20"/>
                <w:szCs w:val="20"/>
              </w:rPr>
              <w:t xml:space="preserve">“DO Circle”</w:t>
            </w:r>
          </w:p>
          <w:p>
            <w:pPr>
              <w:spacing w:after="40" w:line="264"/>
            </w:pPr>
            <w:r>
              <w:rPr>
                <w:rFonts w:ascii="Calibri" w:cs="Calibri" w:eastAsia="Calibri" w:hAnsi="Calibri"/>
                <w:color w:val="2B2B2B"/>
                <w:sz w:val="20"/>
                <w:szCs w:val="20"/>
              </w:rPr>
              <w:t xml:space="preserve">A free, tiered, omnichannel membership built on design identity, ecosystem collection and recognition — not discounts. Optional paid “DO+” upgrade later. Customer promise: “The more you make DailyObjects part of your everyday, the more you’re recognised, rewarded and let in first.”</w:t>
            </w:r>
          </w:p>
        </w:tc>
      </w:tr>
    </w:tbl>
    <w:p>
      <w:pPr>
        <w:spacing w:after="60"/>
      </w:pPr>
    </w:p>
    <w:p>
      <w:pPr>
        <w:pStyle w:val="Heading2"/>
        <w:spacing w:after="90" w:before="240"/>
      </w:pPr>
      <w:r>
        <w:rPr>
          <w:rFonts w:ascii="Calibri" w:cs="Calibri" w:eastAsia="Calibri" w:hAnsi="Calibri"/>
          <w:b/>
          <w:bCs/>
          <w:color w:val="B45F3B"/>
          <w:sz w:val="26"/>
          <w:szCs w:val="26"/>
        </w:rPr>
        <w:t xml:space="preserve">The programme, defined</w:t>
      </w:r>
    </w:p>
    <w:tbl>
      <w:tblPr>
        <w:tblW w:type="dxa" w:w="9360"/>
        <w:tblBorders>
          <w:top w:val="single" w:color="C9C2BA" w:sz="2"/>
          <w:left w:val="none"/>
          <w:bottom w:val="single" w:color="C9C2BA" w:sz="2"/>
          <w:right w:val="none"/>
          <w:insideH w:val="single" w:color="D9D2CB" w:sz="2"/>
          <w:insideV w:val="none"/>
        </w:tblBorders>
      </w:tblPr>
      <w:tblGrid>
        <w:gridCol w:w="2300"/>
        <w:gridCol w:w="7060"/>
      </w:tblGrid>
      <w:tr>
        <w:trPr>
          <w:tblHeader/>
        </w:trPr>
        <w:tc>
          <w:tcPr>
            <w:tcW w:type="dxa" w:w="23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Element</w:t>
            </w:r>
          </w:p>
        </w:tc>
        <w:tc>
          <w:tcPr>
            <w:tcW w:type="dxa" w:w="706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Design</w:t>
            </w:r>
          </w:p>
        </w:tc>
      </w:tr>
      <w:tr>
        <w:tc>
          <w:tcPr>
            <w:tcW w:type="dxa" w:w="23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Business objectives</w:t>
            </w:r>
          </w:p>
        </w:tc>
        <w:tc>
          <w:tcPr>
            <w:tcW w:type="dxa" w:w="70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1) lift 1st→2nd purchase &amp; repeat; 2) grow cross-category &amp; AOV; 3) build first-party identity across channels; 4) reduce paid-acquisition dependence; 5) protect margin (status/access over discounts).</w:t>
            </w:r>
          </w:p>
        </w:tc>
      </w:tr>
      <w:tr>
        <w:tc>
          <w:tcPr>
            <w:tcW w:type="dxa" w:w="23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Structure</w:t>
            </w:r>
          </w:p>
        </w:tc>
        <w:tc>
          <w:tcPr>
            <w:tcW w:type="dxa" w:w="70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Three free tiers — Insider → Icon → Studio — on rolling-12-month qualification; one identity on phone number across web/app/marketplace/store.</w:t>
            </w:r>
          </w:p>
        </w:tc>
      </w:tr>
      <w:tr>
        <w:tc>
          <w:tcPr>
            <w:tcW w:type="dxa" w:w="23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Earning</w:t>
            </w:r>
          </w:p>
        </w:tc>
        <w:tc>
          <w:tcPr>
            <w:tcW w:type="dxa" w:w="70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Points/₹ (tier-multiplied) + bonus for 2nd purchase, cross-category, reviews, referrals, app actions, trade-in/sustainability.</w:t>
            </w:r>
          </w:p>
        </w:tc>
      </w:tr>
      <w:tr>
        <w:tc>
          <w:tcPr>
            <w:tcW w:type="dxa" w:w="23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Benefits ladder</w:t>
            </w:r>
          </w:p>
        </w:tc>
        <w:tc>
          <w:tcPr>
            <w:tcW w:type="dxa" w:w="70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Insider: welcome bonus, points, free shipping. Icon: early access, birthday gift, member colourways, points multiplier. Studio: custom-design credit, priority/concierge, invitations, protected status, experiences. Cross-cutting: referral give-get, gifting engine, “complete your Stack.”</w:t>
            </w:r>
          </w:p>
        </w:tc>
      </w:tr>
      <w:tr>
        <w:tc>
          <w:tcPr>
            <w:tcW w:type="dxa" w:w="23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Tiers (calibrate post-launch)</w:t>
            </w:r>
          </w:p>
        </w:tc>
        <w:tc>
          <w:tcPr>
            <w:tcW w:type="dxa" w:w="70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~top-40% (Icon) and ~top-5% (Studio) style thresholds on real distribution.</w:t>
            </w:r>
          </w:p>
        </w:tc>
      </w:tr>
      <w:tr>
        <w:tc>
          <w:tcPr>
            <w:tcW w:type="dxa" w:w="23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Experiences</w:t>
            </w:r>
          </w:p>
        </w:tc>
        <w:tc>
          <w:tcPr>
            <w:tcW w:type="dxa" w:w="70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Drops, in-store design/personalisation, workshops, creator collabs, member-designed products (Phase 2–3).</w:t>
            </w:r>
          </w:p>
        </w:tc>
      </w:tr>
      <w:tr>
        <w:tc>
          <w:tcPr>
            <w:tcW w:type="dxa" w:w="23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Omnichannel</w:t>
            </w:r>
          </w:p>
        </w:tc>
        <w:tc>
          <w:tcPr>
            <w:tcW w:type="dxa" w:w="70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Phone-number identity; earn + burn + recognise in EBOs; consistent balance &amp; benefits web↔app↔store; store-first pilots.</w:t>
            </w:r>
          </w:p>
        </w:tc>
      </w:tr>
      <w:tr>
        <w:tc>
          <w:tcPr>
            <w:tcW w:type="dxa" w:w="23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Personalisation</w:t>
            </w:r>
          </w:p>
        </w:tc>
        <w:tc>
          <w:tcPr>
            <w:tcW w:type="dxa" w:w="70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MoEngage journeys by segment/RFM/device/category: next-best-category, expiry, birthday, new-phone, win-back.</w:t>
            </w:r>
          </w:p>
        </w:tc>
      </w:tr>
      <w:tr>
        <w:tc>
          <w:tcPr>
            <w:tcW w:type="dxa" w:w="23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CRM strategy</w:t>
            </w:r>
          </w:p>
        </w:tc>
        <w:tc>
          <w:tcPr>
            <w:tcW w:type="dxa" w:w="70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WhatsApp-led, plus push/email/SMS/in-app; event-driven journeys; strict consent.</w:t>
            </w:r>
          </w:p>
        </w:tc>
      </w:tr>
      <w:tr>
        <w:tc>
          <w:tcPr>
            <w:tcW w:type="dxa" w:w="23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Technology</w:t>
            </w:r>
          </w:p>
        </w:tc>
        <w:tc>
          <w:tcPr>
            <w:tcW w:type="dxa" w:w="70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Identity layer + CDP + loyalty engine (buy) + MoEngage + commerce + POS + analytics/holdout.</w:t>
            </w:r>
          </w:p>
        </w:tc>
      </w:tr>
      <w:tr>
        <w:tc>
          <w:tcPr>
            <w:tcW w:type="dxa" w:w="23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Economics</w:t>
            </w:r>
          </w:p>
        </w:tc>
        <w:tc>
          <w:tcPr>
            <w:tcW w:type="dxa" w:w="70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Fund from incremental margin + breakage; keep monetary benefits margin-safe; target positive incremental contribution/member vs holdout within 2–3 cycles.</w:t>
            </w:r>
          </w:p>
        </w:tc>
      </w:tr>
      <w:tr>
        <w:tc>
          <w:tcPr>
            <w:tcW w:type="dxa" w:w="23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KPIs</w:t>
            </w:r>
          </w:p>
        </w:tc>
        <w:tc>
          <w:tcPr>
            <w:tcW w:type="dxa" w:w="70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North-star = incremental contribution margin/member vs holdout + 90-day repeat-rate lift; plus enrolment, cross-cat, AOV, tier migration, referral, NPS.</w:t>
            </w:r>
          </w:p>
        </w:tc>
      </w:tr>
      <w:tr>
        <w:tc>
          <w:tcPr>
            <w:tcW w:type="dxa" w:w="230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Testing</w:t>
            </w:r>
          </w:p>
        </w:tc>
        <w:tc>
          <w:tcPr>
            <w:tcW w:type="dxa" w:w="70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Launch with a 5–10% holdout; A/B welcome bonus, thresholds, early access, expiry, reactivation; geo/store pilots.</w:t>
            </w:r>
          </w:p>
        </w:tc>
      </w:tr>
    </w:tbl>
    <w:p>
      <w:pPr>
        <w:spacing w:after="80"/>
      </w:pPr>
    </w:p>
    <w:p>
      <w:pPr>
        <w:pStyle w:val="Heading2"/>
        <w:spacing w:after="90" w:before="240"/>
      </w:pPr>
      <w:r>
        <w:rPr>
          <w:rFonts w:ascii="Calibri" w:cs="Calibri" w:eastAsia="Calibri" w:hAnsi="Calibri"/>
          <w:b/>
          <w:bCs/>
          <w:color w:val="B45F3B"/>
          <w:sz w:val="26"/>
          <w:szCs w:val="26"/>
        </w:rPr>
        <w:t xml:space="preserve">12–24 month roadmap</w:t>
      </w:r>
    </w:p>
    <w:tbl>
      <w:tblPr>
        <w:tblW w:type="dxa" w:w="9360"/>
        <w:tblBorders>
          <w:top w:val="single" w:color="C9C2BA" w:sz="2"/>
          <w:left w:val="none"/>
          <w:bottom w:val="single" w:color="C9C2BA" w:sz="2"/>
          <w:right w:val="none"/>
          <w:insideH w:val="single" w:color="D9D2CB" w:sz="2"/>
          <w:insideV w:val="none"/>
        </w:tblBorders>
      </w:tblPr>
      <w:tblGrid>
        <w:gridCol w:w="1700"/>
        <w:gridCol w:w="7660"/>
      </w:tblGrid>
      <w:tr>
        <w:trPr>
          <w:tblHeader/>
        </w:trPr>
        <w:tc>
          <w:tcPr>
            <w:tcW w:type="dxa" w:w="170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Phase</w:t>
            </w:r>
          </w:p>
        </w:tc>
        <w:tc>
          <w:tcPr>
            <w:tcW w:type="dxa" w:w="7660"/>
            <w:shd w:fill="1A1D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8"/>
                <w:szCs w:val="18"/>
              </w:rPr>
              <w:t xml:space="preserve">What ships</w:t>
            </w:r>
          </w:p>
        </w:tc>
      </w:tr>
      <w:tr>
        <w:tc>
          <w:tcPr>
            <w:tcW w:type="dxa" w:w="17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0–3 months</w:t>
            </w:r>
          </w:p>
        </w:tc>
        <w:tc>
          <w:tcPr>
            <w:tcW w:type="dxa" w:w="76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Fix identity/data; relaunch DO Circle (base points + 3 tiers + welcome/birthday/referral/free-ship + early access); stand up MoEngage journeys; install the holdout.</w:t>
            </w:r>
          </w:p>
        </w:tc>
      </w:tr>
      <w:tr>
        <w:tc>
          <w:tcPr>
            <w:tcW w:type="dxa" w:w="1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3–9 months</w:t>
            </w:r>
          </w:p>
        </w:tc>
        <w:tc>
          <w:tcPr>
            <w:tcW w:type="dxa" w:w="76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Cross-category &amp; “Stack” mechanics; gifting engine; device-lifecycle triggers; EBO POS earn/burn pilot; first experiments read out.</w:t>
            </w:r>
          </w:p>
        </w:tc>
      </w:tr>
      <w:tr>
        <w:tc>
          <w:tcPr>
            <w:tcW w:type="dxa" w:w="1700"/>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9–18 months</w:t>
            </w:r>
          </w:p>
        </w:tc>
        <w:tc>
          <w:tcPr>
            <w:tcW w:type="dxa" w:w="7660"/>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Full omnichannel store recognition; community/UGC + drops; member colourways; deeper personalisation; expand experiments.</w:t>
            </w:r>
          </w:p>
        </w:tc>
      </w:tr>
      <w:tr>
        <w:tc>
          <w:tcPr>
            <w:tcW w:type="dxa" w:w="170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2B2B2B"/>
                <w:sz w:val="18"/>
                <w:szCs w:val="18"/>
              </w:rPr>
              <w:t xml:space="preserve">18–24 months</w:t>
            </w:r>
          </w:p>
        </w:tc>
        <w:tc>
          <w:tcPr>
            <w:tcW w:type="dxa" w:w="7660"/>
            <w:shd w:fill="F2ECE6" w:color="auto" w:val="clear"/>
            <w:tcMar>
              <w:top w:type="dxa" w:w="60"/>
              <w:left w:type="dxa" w:w="90"/>
              <w:bottom w:type="dxa" w:w="60"/>
              <w:right w:type="dxa" w:w="90"/>
            </w:tcMar>
            <w:vAlign w:val="center"/>
          </w:tcPr>
          <w:p>
            <w:pPr>
              <w:spacing w:after="0" w:line="250"/>
              <w:jc w:val="left"/>
            </w:pPr>
            <w:r>
              <w:rPr>
                <w:rFonts w:ascii="Calibri" w:cs="Calibri" w:eastAsia="Calibri" w:hAnsi="Calibri"/>
                <w:color w:val="2B2B2B"/>
                <w:sz w:val="18"/>
                <w:szCs w:val="18"/>
              </w:rPr>
              <w:t xml:space="preserve">Launch optional DO+ paid tier; creator/design society + member-designed products; sustainability/trade-in currency; partnerships. Loyalty is the first-party-data backbone across 150 stores.</w:t>
            </w:r>
          </w:p>
        </w:tc>
      </w:tr>
    </w:tbl>
    <w:p>
      <w:pPr>
        <w:spacing w:after="60"/>
      </w:pPr>
    </w:p>
    <w:tbl>
      <w:tblPr>
        <w:tblW w:type="dxa" w:w="9360"/>
        <w:tblBorders>
          <w:top w:val="none"/>
          <w:left w:val="single" w:color="B45F3B" w:sz="24"/>
          <w:bottom w:val="none"/>
          <w:right w:val="none"/>
          <w:insideH w:val="none"/>
          <w:insideV w:val="none"/>
        </w:tblBorders>
      </w:tblPr>
      <w:tblGrid>
        <w:gridCol w:w="9360"/>
      </w:tblGrid>
      <w:tr>
        <w:tc>
          <w:tcPr>
            <w:tcW w:type="dxa" w:w="9360"/>
            <w:shd w:fill="EAF0EF" w:color="auto" w:val="clear"/>
            <w:tcMar>
              <w:top w:type="dxa" w:w="120"/>
              <w:left w:type="dxa" w:w="180"/>
              <w:bottom w:type="dxa" w:w="120"/>
              <w:right w:type="dxa" w:w="160"/>
            </w:tcMar>
          </w:tcPr>
          <w:p>
            <w:pPr>
              <w:spacing w:after="40"/>
            </w:pPr>
            <w:r>
              <w:rPr>
                <w:rFonts w:ascii="Calibri" w:cs="Calibri" w:eastAsia="Calibri" w:hAnsi="Calibri"/>
                <w:b/>
                <w:bCs/>
                <w:color w:val="B45F3B"/>
                <w:sz w:val="20"/>
                <w:szCs w:val="20"/>
              </w:rPr>
              <w:t xml:space="preserve">The clear call</w:t>
            </w:r>
          </w:p>
          <w:p>
            <w:pPr>
              <w:spacing w:after="40" w:line="264"/>
            </w:pPr>
            <w:r>
              <w:rPr>
                <w:rFonts w:ascii="Calibri" w:cs="Calibri" w:eastAsia="Calibri" w:hAnsi="Calibri"/>
                <w:color w:val="2B2B2B"/>
                <w:sz w:val="20"/>
                <w:szCs w:val="20"/>
              </w:rPr>
              <w:t xml:space="preserve">Free tiered omnichannel membership now; paid upgrade and creator ecosystem later. Do not lead with discounts. Lead with recognition, access and design identity — that is what fits DailyObjects and what competitors cannot easily copy.</w:t>
            </w:r>
          </w:p>
        </w:tc>
      </w:tr>
    </w:tbl>
    <w:p>
      <w:r>
        <w:br w:type="page"/>
      </w:r>
    </w:p>
    <w:p>
      <w:pPr>
        <w:pStyle w:val="Heading1"/>
        <w:pBdr>
          <w:bottom w:val="single" w:color="B45F3B" w:sz="12" w:space="6"/>
        </w:pBdr>
        <w:spacing w:after="140" w:before="360"/>
      </w:pPr>
      <w:r>
        <w:rPr>
          <w:rFonts w:ascii="Calibri" w:cs="Calibri" w:eastAsia="Calibri" w:hAnsi="Calibri"/>
          <w:b/>
          <w:bCs/>
          <w:color w:val="1A1D2B"/>
          <w:sz w:val="34"/>
          <w:szCs w:val="34"/>
        </w:rPr>
        <w:t xml:space="preserve">25.  Appendix — Sources</w:t>
      </w:r>
    </w:p>
    <w:p>
      <w:pPr>
        <w:spacing w:after="120" w:line="276"/>
        <w:jc w:val="both"/>
      </w:pPr>
      <w:r>
        <w:rPr>
          <w:rFonts w:ascii="Calibri" w:cs="Calibri" w:eastAsia="Calibri" w:hAnsi="Calibri"/>
          <w:color w:val="2B2B2B"/>
          <w:sz w:val="21"/>
          <w:szCs w:val="21"/>
        </w:rPr>
        <w:t xml:space="preserve">Facts are drawn from official brand sources, T&amp;Cs, filings and reputable business press. Membership counts and breakage figures for some brands are secondary press and should be verified before external quotation; Starbucks and Amazon economics are from filings and are the most reliable. Fact vs interpretation vs inference is distinguished throughout the body text.</w:t>
      </w:r>
    </w:p>
    <w:p>
      <w:pPr>
        <w:pStyle w:val="Heading3"/>
        <w:spacing w:after="60" w:before="160"/>
      </w:pPr>
      <w:r>
        <w:rPr>
          <w:rFonts w:ascii="Calibri" w:cs="Calibri" w:eastAsia="Calibri" w:hAnsi="Calibri"/>
          <w:b/>
          <w:bCs/>
          <w:color w:val="2C6E6B"/>
          <w:sz w:val="22"/>
          <w:szCs w:val="22"/>
        </w:rPr>
        <w:t xml:space="preserve">DailyObjects</w:t>
      </w:r>
    </w:p>
    <w:p>
      <w:pPr>
        <w:pStyle w:val="ListParagraph"/>
        <w:numPr>
          <w:ilvl w:val="0"/>
          <w:numId w:val="2"/>
        </w:numPr>
        <w:spacing w:after="60" w:line="268"/>
      </w:pPr>
      <w:r>
        <w:rPr>
          <w:rFonts w:ascii="Calibri" w:cs="Calibri" w:eastAsia="Calibri" w:hAnsi="Calibri"/>
          <w:color w:val="2B2B2B"/>
          <w:sz w:val="21"/>
          <w:szCs w:val="21"/>
        </w:rPr>
        <w:t xml:space="preserve">Business Today — DailyObjects ₹500 Cr / Apple-partner stores; Inc42 / BW Disrupt — $10M Series B, scale &amp; manufacturing; Indian Retailer &amp; D2C Insider Pulse — FY26/FY27 targets, 150-store plan, omnichannel; company rewards page (dailyobjects.com/rewards); Play Store / App Store listings.</w:t>
      </w:r>
    </w:p>
    <w:p>
      <w:pPr>
        <w:pStyle w:val="Heading3"/>
        <w:spacing w:after="60" w:before="160"/>
      </w:pPr>
      <w:r>
        <w:rPr>
          <w:rFonts w:ascii="Calibri" w:cs="Calibri" w:eastAsia="Calibri" w:hAnsi="Calibri"/>
          <w:b/>
          <w:bCs/>
          <w:color w:val="2C6E6B"/>
          <w:sz w:val="22"/>
          <w:szCs w:val="22"/>
        </w:rPr>
        <w:t xml:space="preserve">Global benchmarks</w:t>
      </w:r>
    </w:p>
    <w:p>
      <w:pPr>
        <w:pStyle w:val="ListParagraph"/>
        <w:numPr>
          <w:ilvl w:val="0"/>
          <w:numId w:val="2"/>
        </w:numPr>
        <w:spacing w:after="60" w:line="268"/>
      </w:pPr>
      <w:r>
        <w:rPr>
          <w:rFonts w:ascii="Calibri" w:cs="Calibri" w:eastAsia="Calibri" w:hAnsi="Calibri"/>
          <w:color w:val="2B2B2B"/>
          <w:sz w:val="21"/>
          <w:szCs w:val="21"/>
        </w:rPr>
        <w:t xml:space="preserve">Sephora (sephora.com T&amp;Cs, rewards; openloyalty.io; modernretail.co); Starbucks (about.starbucks.com 2026 press; SEC filings; restaurantdive.com); Amazon (SEC 10-K FY2025; capitaloneshopping.com); Marriott (prnewswire; marriott.com; hoteldive.com); Amex (americanexpress.com; thepointsguy.com; upgradedpoints.com); Nike (nike.com/membership; consumergoods.com; fourweekmba.com); Lululemon (cnbc.com; loyaltyrewardco.com); MUJI (muji.us; muji.com; retaildive.com); Diptyque (diptyqueparis.com); H&amp;M (www2.hm.com; antavo.com); Ulta (ulta.com T&amp;Cs; thepointcalculator.com).</w:t>
      </w:r>
    </w:p>
    <w:p>
      <w:pPr>
        <w:pStyle w:val="Heading3"/>
        <w:spacing w:after="60" w:before="160"/>
      </w:pPr>
      <w:r>
        <w:rPr>
          <w:rFonts w:ascii="Calibri" w:cs="Calibri" w:eastAsia="Calibri" w:hAnsi="Calibri"/>
          <w:b/>
          <w:bCs/>
          <w:color w:val="2C6E6B"/>
          <w:sz w:val="22"/>
          <w:szCs w:val="22"/>
        </w:rPr>
        <w:t xml:space="preserve">Indian programmes</w:t>
      </w:r>
    </w:p>
    <w:p>
      <w:pPr>
        <w:pStyle w:val="ListParagraph"/>
        <w:numPr>
          <w:ilvl w:val="0"/>
          <w:numId w:val="2"/>
        </w:numPr>
        <w:spacing w:after="60" w:line="268"/>
      </w:pPr>
      <w:r>
        <w:rPr>
          <w:rFonts w:ascii="Calibri" w:cs="Calibri" w:eastAsia="Calibri" w:hAnsi="Calibri"/>
          <w:color w:val="2B2B2B"/>
          <w:sz w:val="21"/>
          <w:szCs w:val="21"/>
        </w:rPr>
        <w:t xml:space="preserve">Tata Neu (smartspends.in; tanishq.co.in); Reliance/Tira (jio.com; ajio.com; tirabeauty.com); Myntra (getxeno.com; grabon.in); Flipkart (stories.flipkart.com); Nykaa (grabon.in; onenykaa.zendesk.com); Shoppers Stop (shoppersstop.com/firstcitizen); Croma (croma.com); Titan (titanencircle.com; tanishqgoldenharvest.co.in); Zomato/District (inc42.com; Wikipedia); Swiggy (swiggy.com press); Decathlon (decathlon.in).</w:t>
      </w:r>
    </w:p>
    <w:p>
      <w:pPr>
        <w:pStyle w:val="Heading3"/>
        <w:spacing w:after="60" w:before="160"/>
      </w:pPr>
      <w:r>
        <w:rPr>
          <w:rFonts w:ascii="Calibri" w:cs="Calibri" w:eastAsia="Calibri" w:hAnsi="Calibri"/>
          <w:b/>
          <w:bCs/>
          <w:color w:val="2C6E6B"/>
          <w:sz w:val="22"/>
          <w:szCs w:val="22"/>
        </w:rPr>
        <w:t xml:space="preserve">Comparable accessory brands</w:t>
      </w:r>
    </w:p>
    <w:p>
      <w:pPr>
        <w:pStyle w:val="ListParagraph"/>
        <w:numPr>
          <w:ilvl w:val="0"/>
          <w:numId w:val="2"/>
        </w:numPr>
        <w:spacing w:after="60" w:line="268"/>
      </w:pPr>
      <w:r>
        <w:rPr>
          <w:rFonts w:ascii="Calibri" w:cs="Calibri" w:eastAsia="Calibri" w:hAnsi="Calibri"/>
          <w:color w:val="2B2B2B"/>
          <w:sz w:val="21"/>
          <w:szCs w:val="21"/>
        </w:rPr>
        <w:t xml:space="preserve">Casetify (casetify.com/casetify-club; zendesk); Mokobara (shopify.com/case-studies/mokobara; brandstrendingnow.com); Bewakoof (offerscouponsdeals.in); Anker (anker.com/ankercredits, /anker-plus-membership); The Souled Store (thesouledstore.com); Zouk (zouk.co.in); Wildcraft/VIP (vipbags.com); MOFT (moft.us); boAt (boat-lifestyle.com); Bellroy/Peak Design/Nomad/Native Union (official + Knoji loyalty pages).</w:t>
      </w:r>
    </w:p>
    <w:p>
      <w:pPr>
        <w:pStyle w:val="Heading3"/>
        <w:spacing w:after="60" w:before="160"/>
      </w:pPr>
      <w:r>
        <w:rPr>
          <w:rFonts w:ascii="Calibri" w:cs="Calibri" w:eastAsia="Calibri" w:hAnsi="Calibri"/>
          <w:b/>
          <w:bCs/>
          <w:color w:val="2C6E6B"/>
          <w:sz w:val="22"/>
          <w:szCs w:val="22"/>
        </w:rPr>
        <w:t xml:space="preserve">Failures, psychology &amp; omnichannel</w:t>
      </w:r>
    </w:p>
    <w:p>
      <w:pPr>
        <w:pStyle w:val="ListParagraph"/>
        <w:numPr>
          <w:ilvl w:val="0"/>
          <w:numId w:val="2"/>
        </w:numPr>
        <w:spacing w:after="60" w:line="268"/>
      </w:pPr>
      <w:r>
        <w:rPr>
          <w:rFonts w:ascii="Calibri" w:cs="Calibri" w:eastAsia="Calibri" w:hAnsi="Calibri"/>
          <w:color w:val="2B2B2B"/>
          <w:sz w:val="21"/>
          <w:szCs w:val="21"/>
        </w:rPr>
        <w:t xml:space="preserve">Delta (NBC News; Thrifty Traveler; One Mile at a Time); Starbucks 2016 (Forbes/Dooley; PYMNTS; CBS); Plenti (Coleman Insights; Forbes; PYMNTS); Air Miles (CBC; Global News; Globe and Mail); Marriott/SPG (One Mile at a Time; LoyaltyLobby); Subway (Loyalty &amp; Reward Co; NBC; Snopes); Best Buy (CNN; Doctor of Credit); Tesco (MoneySavingExpert); Walgreens (WRAL; Walgreens notice); JCPenney (Forbes/Denning); Shoppers Optimum (Macleans; Global News).</w:t>
      </w:r>
    </w:p>
    <w:p>
      <w:pPr>
        <w:pStyle w:val="ListParagraph"/>
        <w:numPr>
          <w:ilvl w:val="0"/>
          <w:numId w:val="2"/>
        </w:numPr>
        <w:spacing w:after="60" w:line="268"/>
      </w:pPr>
      <w:r>
        <w:rPr>
          <w:rFonts w:ascii="Calibri" w:cs="Calibri" w:eastAsia="Calibri" w:hAnsi="Calibri"/>
          <w:color w:val="2B2B2B"/>
          <w:sz w:val="21"/>
          <w:szCs w:val="21"/>
        </w:rPr>
        <w:t xml:space="preserve">Psychology: Kivetz/Urminsky/Zheng 2006 (goal gradient); Nunes &amp; Drèze 2006 (endowed progress); Kahneman &amp; Tversky (loss aversion); Kivetz &amp; Simonson 2002/2003 (earning the right to indulge; idiosyncratic fit); PwC ASC 606 (breakage); Bain/HBR &amp; McKinsey (retention economics).</w:t>
      </w:r>
    </w:p>
    <w:p>
      <w:pPr>
        <w:pStyle w:val="ListParagraph"/>
        <w:numPr>
          <w:ilvl w:val="0"/>
          <w:numId w:val="2"/>
        </w:numPr>
        <w:spacing w:after="60" w:line="268"/>
      </w:pPr>
      <w:r>
        <w:rPr>
          <w:rFonts w:ascii="Calibri" w:cs="Calibri" w:eastAsia="Calibri" w:hAnsi="Calibri"/>
          <w:color w:val="2B2B2B"/>
          <w:sz w:val="21"/>
          <w:szCs w:val="21"/>
        </w:rPr>
        <w:t xml:space="preserve">Omnichannel: Sephora (g-co.agency; ngrow.ai); Nike &amp; Starbucks (simpleloyalty; trueloyal); Decathlon (loyal.guru); Tata Neu (IRE Journals; Founding Fuel); capability stack (Capillary; Bloomreach; Talon.One; Wapping).</w:t>
      </w:r>
    </w:p>
    <w:p>
      <w:pPr>
        <w:spacing w:after="80"/>
      </w:pPr>
    </w:p>
    <w:p>
      <w:pPr>
        <w:spacing w:after="120" w:line="276"/>
        <w:jc w:val="both"/>
      </w:pPr>
      <w:r>
        <w:rPr>
          <w:rFonts w:ascii="Calibri" w:cs="Calibri" w:eastAsia="Calibri" w:hAnsi="Calibri"/>
          <w:i/>
          <w:iCs/>
          <w:color w:val="5A5F6E"/>
          <w:sz w:val="21"/>
          <w:szCs w:val="21"/>
        </w:rPr>
        <w:t xml:space="preserve">End of document.</w:t>
      </w:r>
    </w:p>
    <w:sectPr>
      <w:headerReference w:type="default" r:id="rId7"/>
      <w:footerReference w:type="default" r:id="rId8"/>
      <w:pgSz w:w="12240" w:h="15840" w:orient="portrait"/>
      <w:pgMar w:top="118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F6E"/>
        <w:sz w:val="15"/>
        <w:szCs w:val="15"/>
      </w:rPr>
      <w:t xml:space="preserve">Confidential  ·  August 2026  ·  </w:t>
    </w:r>
    <w:r>
      <w:rPr>
        <w:rFonts w:ascii="Calibri" w:cs="Calibri" w:eastAsia="Calibri" w:hAnsi="Calibri"/>
        <w:color w:val="5A5F6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B" w:sz="4" w:space="4"/>
      </w:pBdr>
      <w:jc w:val="right"/>
    </w:pPr>
    <w:r>
      <w:rPr>
        <w:rFonts w:ascii="Calibri" w:cs="Calibri" w:eastAsia="Calibri" w:hAnsi="Calibri"/>
        <w:color w:val="5A5F6E"/>
        <w:sz w:val="15"/>
        <w:szCs w:val="15"/>
      </w:rPr>
      <w:t xml:space="preserve">The DailyObjects Loyalty Programme  ·  Strategy &amp;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B45F3B"/>
      </w:r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60"/>
      </w:pPr>
      <w:rPr>
        <w:b/>
        <w:bCs/>
        <w:color w:val="B45F3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DailyObjects Loyalty Programme — Strategy &amp; Research</dc:title>
  <dc:creator>DailyObjects Loyalty Strategy</dc:creator>
  <dc:description>Comprehensive loyalty research, benchmarking and programme design for DailyObjects</dc:description>
  <cp:lastModifiedBy>Un-named</cp:lastModifiedBy>
  <cp:revision>1</cp:revision>
  <dcterms:created xsi:type="dcterms:W3CDTF">2026-08-17T12:53:34.089Z</dcterms:created>
  <dcterms:modified xsi:type="dcterms:W3CDTF">2026-08-17T12:53:34.089Z</dcterms:modified>
</cp:coreProperties>
</file>

<file path=docProps/custom.xml><?xml version="1.0" encoding="utf-8"?>
<Properties xmlns="http://schemas.openxmlformats.org/officeDocument/2006/custom-properties" xmlns:vt="http://schemas.openxmlformats.org/officeDocument/2006/docPropsVTypes"/>
</file>