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rPr>
          <w:rFonts w:ascii="Arial" w:cs="Arial" w:eastAsia="Arial" w:hAnsi="Arial"/>
          <w:b/>
          <w:bCs/>
          <w:color w:val="1A1A1A"/>
          <w:spacing w:val="60"/>
          <w:sz w:val="30"/>
          <w:szCs w:val="30"/>
        </w:rPr>
        <w:t xml:space="preserve">DAILYOBJECTS</w:t>
      </w:r>
    </w:p>
    <w:p>
      <w:pPr>
        <w:pBdr>
          <w:bottom w:val="single" w:color="A9744F" w:sz="18" w:space="8"/>
        </w:pBdr>
        <w:spacing w:after="500"/>
      </w:pPr>
      <w:r>
        <w:rPr>
          <w:rFonts w:ascii="Arial" w:cs="Arial" w:eastAsia="Arial" w:hAnsi="Arial"/>
          <w:b/>
          <w:bCs/>
          <w:color w:val="A9744F"/>
          <w:spacing w:val="40"/>
          <w:sz w:val="18"/>
          <w:szCs w:val="18"/>
        </w:rPr>
        <w:t xml:space="preserve">CATEGORY: DESKS &amp; DESK ACCESSORIES</w:t>
      </w:r>
    </w:p>
    <w:p>
      <w:pPr>
        <w:spacing w:after="60" w:before="300"/>
      </w:pPr>
      <w:r>
        <w:rPr>
          <w:rFonts w:ascii="Arial" w:cs="Arial" w:eastAsia="Arial" w:hAnsi="Arial"/>
          <w:b/>
          <w:bCs/>
          <w:color w:val="1A1A1A"/>
          <w:sz w:val="52"/>
          <w:szCs w:val="52"/>
        </w:rPr>
        <w:t xml:space="preserve">New Product Development (NPD) Briefing</w:t>
      </w:r>
    </w:p>
    <w:p>
      <w:pPr>
        <w:spacing w:after="400"/>
      </w:pPr>
      <w:r>
        <w:rPr>
          <w:rFonts w:ascii="Arial" w:cs="Arial" w:eastAsia="Arial" w:hAnsi="Arial"/>
          <w:color w:val="7C5236"/>
          <w:sz w:val="30"/>
          <w:szCs w:val="30"/>
        </w:rPr>
        <w:t xml:space="preserve">Hero-Extension Product Pipeline · FY27</w:t>
      </w:r>
    </w:p>
    <w:p>
      <w:pPr>
        <w:spacing w:after="40"/>
      </w:pPr>
      <w:r>
        <w:rPr>
          <w:rFonts w:ascii="Arial" w:cs="Arial" w:eastAsia="Arial" w:hAnsi="Arial"/>
          <w:i/>
          <w:iCs/>
          <w:color w:val="6B6B6B"/>
          <w:sz w:val="22"/>
          <w:szCs w:val="22"/>
        </w:rPr>
        <w:t xml:space="preserve">A briefing to build a prioritised pipeline of new products that extends DailyObjects’ proven desk winners into a coordinated, margin-positive desk system — the engine behind the ₹26 Cr (FY27) → ₹55 Cr (FY29) category plan.</w:t>
      </w:r>
    </w:p>
    <w:p>
      <w:pPr>
        <w:spacing w:after="500"/>
      </w:pPr>
    </w:p>
    <w:tbl>
      <w:tblPr>
        <w:tblW w:type="dxa" w:w="8600"/>
        <w:tblBorders>
          <w:top w:val="single" w:color="D8D2CA" w:sz="2"/>
          <w:left w:val="none"/>
          <w:bottom w:val="single" w:color="D8D2CA" w:sz="2"/>
          <w:right w:val="none"/>
          <w:insideH w:val="single" w:color="D8D2CA" w:sz="2"/>
          <w:insideV w:val="none"/>
        </w:tblBorders>
      </w:tblPr>
      <w:tblGrid>
        <w:gridCol w:w="2200"/>
        <w:gridCol w:w="6400"/>
      </w:tblGrid>
      <w:tr>
        <w:trPr>
          <w:tblHeader/>
        </w:trPr>
        <w:tc>
          <w:tcPr>
            <w:tcW w:type="dxa" w:w="22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Field</w:t>
            </w:r>
          </w:p>
        </w:tc>
        <w:tc>
          <w:tcPr>
            <w:tcW w:type="dxa" w:w="64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Detail</w:t>
            </w:r>
          </w:p>
        </w:tc>
      </w:tr>
      <w:tr>
        <w:tc>
          <w:tcPr>
            <w:tcW w:type="dxa" w:w="22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Prepared for</w:t>
            </w:r>
          </w:p>
        </w:tc>
        <w:tc>
          <w:tcPr>
            <w:tcW w:type="dxa" w:w="64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DailyObjects — Desks category / NPD &amp; Merchandising</w:t>
            </w:r>
          </w:p>
        </w:tc>
      </w:tr>
      <w:tr>
        <w:tc>
          <w:tcPr>
            <w:tcW w:type="dxa" w:w="22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Category owner</w:t>
            </w:r>
          </w:p>
        </w:tc>
        <w:tc>
          <w:tcPr>
            <w:tcW w:type="dxa" w:w="64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ankit.sethi@dailyobjects.com</w:t>
            </w:r>
          </w:p>
        </w:tc>
      </w:tr>
      <w:tr>
        <w:tc>
          <w:tcPr>
            <w:tcW w:type="dxa" w:w="22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Briefing date</w:t>
            </w:r>
          </w:p>
        </w:tc>
        <w:tc>
          <w:tcPr>
            <w:tcW w:type="dxa" w:w="64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5 August 2026</w:t>
            </w:r>
          </w:p>
        </w:tc>
      </w:tr>
      <w:tr>
        <w:tc>
          <w:tcPr>
            <w:tcW w:type="dxa" w:w="22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Planning horizon</w:t>
            </w:r>
          </w:p>
        </w:tc>
        <w:tc>
          <w:tcPr>
            <w:tcW w:type="dxa" w:w="64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FY27 (with FY28–FY29 line of sight)</w:t>
            </w:r>
          </w:p>
        </w:tc>
      </w:tr>
      <w:tr>
        <w:tc>
          <w:tcPr>
            <w:tcW w:type="dxa" w:w="22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Pipeline scope</w:t>
            </w:r>
          </w:p>
        </w:tc>
        <w:tc>
          <w:tcPr>
            <w:tcW w:type="dxa" w:w="64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Focused hero extensions — 8 concepts extending proven winners</w:t>
            </w:r>
          </w:p>
        </w:tc>
      </w:tr>
      <w:tr>
        <w:tc>
          <w:tcPr>
            <w:tcW w:type="dxa" w:w="22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Evidence base</w:t>
            </w:r>
          </w:p>
        </w:tc>
        <w:tc>
          <w:tcPr>
            <w:tcW w:type="dxa" w:w="64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July 2026 Desks P&amp;L (4,230 lines) · Desks 3-Year category workbook · live catalogue</w:t>
            </w:r>
          </w:p>
        </w:tc>
      </w:tr>
    </w:tbl>
    <w:p>
      <w:r>
        <w:br w:type="page"/>
      </w:r>
    </w:p>
    <w:p>
      <w:pPr>
        <w:spacing w:after="40"/>
      </w:pPr>
      <w:r>
        <w:rPr>
          <w:rFonts w:ascii="Arial" w:cs="Arial" w:eastAsia="Arial" w:hAnsi="Arial"/>
          <w:b/>
          <w:bCs/>
          <w:color w:val="A9744F"/>
          <w:spacing w:val="30"/>
          <w:sz w:val="16"/>
          <w:szCs w:val="16"/>
        </w:rPr>
        <w:t xml:space="preserve">EXECUTIVE SUMMARY</w:t>
      </w:r>
    </w:p>
    <w:p>
      <w:pPr>
        <w:pStyle w:val="Heading1"/>
        <w:pBdr>
          <w:bottom w:val="single" w:color="A9744F" w:sz="12" w:space="6"/>
        </w:pBdr>
        <w:spacing w:after="140" w:before="320"/>
      </w:pPr>
      <w:r>
        <w:rPr>
          <w:rFonts w:ascii="Arial" w:cs="Arial" w:eastAsia="Arial" w:hAnsi="Arial"/>
          <w:b/>
          <w:bCs/>
          <w:color w:val="1A1A1A"/>
          <w:sz w:val="26"/>
          <w:szCs w:val="26"/>
        </w:rPr>
        <w:t xml:space="preserve">Why this pipeline, and why now</w:t>
      </w:r>
    </w:p>
    <w:p>
      <w:pPr>
        <w:spacing w:after="120" w:line="264"/>
      </w:pPr>
      <w:r>
        <w:rPr>
          <w:rFonts w:ascii="Arial" w:cs="Arial" w:eastAsia="Arial" w:hAnsi="Arial"/>
          <w:color w:val="1A1A1A"/>
          <w:sz w:val="21"/>
          <w:szCs w:val="21"/>
        </w:rPr>
        <w:t xml:space="preserve">DailyObjects has proven demand in Desks: July 2026 delivered ₹1.10 Cr of gross revenue and 11,629 units at a blended ~4.0x ROAS — an annualised run-rate of roughly ₹13 Cr, exactly the FY26 base in the category plan. But two structural facts define the NPD job:</w:t>
      </w:r>
    </w:p>
    <w:p>
      <w:pPr>
        <w:pStyle w:val="ListParagraph"/>
        <w:numPr>
          <w:ilvl w:val="0"/>
          <w:numId w:val="2"/>
        </w:numPr>
        <w:spacing w:after="60" w:line="260"/>
      </w:pPr>
      <w:r>
        <w:rPr>
          <w:rFonts w:ascii="Arial" w:cs="Arial" w:eastAsia="Arial" w:hAnsi="Arial"/>
          <w:b/>
          <w:bCs/>
          <w:color w:val="1A1A1A"/>
          <w:sz w:val="21"/>
          <w:szCs w:val="21"/>
        </w:rPr>
        <w:t xml:space="preserve">The range is dangerously narrow. </w:t>
      </w:r>
      <w:r>
        <w:rPr>
          <w:rFonts w:ascii="Arial" w:cs="Arial" w:eastAsia="Arial" w:hAnsi="Arial"/>
          <w:color w:val="1A1A1A"/>
          <w:sz w:val="21"/>
          <w:szCs w:val="21"/>
        </w:rPr>
        <w:t xml:space="preserve">~93% of category revenue is Desk Mats. The “coordinated desk system” the strategy is built on — trays, stands, cable/charging, storage, coasters — is barely monetised. Growth to ₹26 Cr cannot come from mats alone.</w:t>
      </w:r>
    </w:p>
    <w:p>
      <w:pPr>
        <w:pStyle w:val="ListParagraph"/>
        <w:numPr>
          <w:ilvl w:val="0"/>
          <w:numId w:val="2"/>
        </w:numPr>
        <w:spacing w:after="60" w:line="260"/>
      </w:pPr>
      <w:r>
        <w:rPr>
          <w:rFonts w:ascii="Arial" w:cs="Arial" w:eastAsia="Arial" w:hAnsi="Arial"/>
          <w:b/>
          <w:bCs/>
          <w:color w:val="1A1A1A"/>
          <w:sz w:val="21"/>
          <w:szCs w:val="21"/>
        </w:rPr>
        <w:t xml:space="preserve">Contribution margin is thin and, in places, negative. </w:t>
      </w:r>
      <w:r>
        <w:rPr>
          <w:rFonts w:ascii="Arial" w:cs="Arial" w:eastAsia="Arial" w:hAnsi="Arial"/>
          <w:color w:val="1A1A1A"/>
          <w:sz w:val="21"/>
          <w:szCs w:val="21"/>
        </w:rPr>
        <w:t xml:space="preserve">Category CM2 is just 7.7% of net revenue, with several high-volume SKUs margin-negative — the Desk Trio bundles (−28% to −33%), the Felt mat (−24%) and the Morph laptop-stand mat (−20%). Adding SKUs without fixing this scales a loss.</w:t>
      </w:r>
    </w:p>
    <w:p>
      <w:pPr>
        <w:spacing w:after="120" w:line="264"/>
      </w:pPr>
      <w:r>
        <w:rPr>
          <w:rFonts w:ascii="Arial" w:cs="Arial" w:eastAsia="Arial" w:hAnsi="Arial"/>
          <w:color w:val="1A1A1A"/>
          <w:sz w:val="21"/>
          <w:szCs w:val="21"/>
        </w:rPr>
        <w:t xml:space="preserve">So this briefing does not chase breadth. It defines a focused set of eight hero extensions that (a) build out from products already proven to sell, (b) are designed to a hard margin floor, and (c) assemble into the coordinated desk system that is DailyObjects’ competitive moat. Each concept below is a decision-ready brief with a target price, a target margin, the segment it serves, and its role in the system.</w:t>
      </w:r>
    </w:p>
    <w:p>
      <w:pPr>
        <w:pStyle w:val="Heading1"/>
        <w:pBdr>
          <w:bottom w:val="single" w:color="A9744F" w:sz="12" w:space="6"/>
        </w:pBdr>
        <w:spacing w:after="140" w:before="320"/>
      </w:pPr>
      <w:r>
        <w:rPr>
          <w:rFonts w:ascii="Arial" w:cs="Arial" w:eastAsia="Arial" w:hAnsi="Arial"/>
          <w:b/>
          <w:bCs/>
          <w:color w:val="A9744F"/>
          <w:sz w:val="26"/>
          <w:szCs w:val="26"/>
        </w:rPr>
        <w:t xml:space="preserve">1  </w:t>
      </w:r>
      <w:r>
        <w:rPr>
          <w:rFonts w:ascii="Arial" w:cs="Arial" w:eastAsia="Arial" w:hAnsi="Arial"/>
          <w:b/>
          <w:bCs/>
          <w:color w:val="1A1A1A"/>
          <w:sz w:val="26"/>
          <w:szCs w:val="26"/>
        </w:rPr>
        <w:t xml:space="preserve">The category today — July 2026 read</w:t>
      </w:r>
    </w:p>
    <w:p>
      <w:pPr>
        <w:spacing w:after="120" w:line="264"/>
      </w:pPr>
      <w:r>
        <w:rPr>
          <w:rFonts w:ascii="Arial" w:cs="Arial" w:eastAsia="Arial" w:hAnsi="Arial"/>
          <w:color w:val="1A1A1A"/>
          <w:sz w:val="21"/>
          <w:szCs w:val="21"/>
        </w:rPr>
        <w:t xml:space="preserve">The numbers below are the factual base every concept in this briefing is built on. They come from the corrected July P&amp;L.</w:t>
      </w:r>
    </w:p>
    <w:p>
      <w:pPr>
        <w:pStyle w:val="Heading2"/>
        <w:spacing w:after="80" w:before="200"/>
      </w:pPr>
      <w:r>
        <w:rPr>
          <w:rFonts w:ascii="Arial" w:cs="Arial" w:eastAsia="Arial" w:hAnsi="Arial"/>
          <w:b/>
          <w:bCs/>
          <w:color w:val="7C5236"/>
          <w:sz w:val="22"/>
          <w:szCs w:val="22"/>
        </w:rPr>
        <w:t xml:space="preserve">1.1  Category at a glance</w:t>
      </w:r>
    </w:p>
    <w:tbl>
      <w:tblPr>
        <w:tblW w:type="dxa" w:w="8600"/>
        <w:tblBorders>
          <w:top w:val="single" w:color="D8D2CA" w:sz="2"/>
          <w:left w:val="none"/>
          <w:bottom w:val="single" w:color="D8D2CA" w:sz="2"/>
          <w:right w:val="none"/>
          <w:insideH w:val="single" w:color="D8D2CA" w:sz="2"/>
          <w:insideV w:val="none"/>
        </w:tblBorders>
      </w:tblPr>
      <w:tblGrid>
        <w:gridCol w:w="3400"/>
        <w:gridCol w:w="2600"/>
        <w:gridCol w:w="2600"/>
      </w:tblGrid>
      <w:tr>
        <w:trPr>
          <w:tblHeader/>
        </w:trPr>
        <w:tc>
          <w:tcPr>
            <w:tcW w:type="dxa" w:w="34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Metric</w:t>
            </w:r>
          </w:p>
        </w:tc>
        <w:tc>
          <w:tcPr>
            <w:tcW w:type="dxa" w:w="2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July 2026</w:t>
            </w:r>
          </w:p>
        </w:tc>
        <w:tc>
          <w:tcPr>
            <w:tcW w:type="dxa" w:w="2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Read</w:t>
            </w:r>
          </w:p>
        </w:tc>
      </w:tr>
      <w:tr>
        <w:tc>
          <w:tcPr>
            <w:tcW w:type="dxa" w:w="3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Gross revenue</w:t>
            </w:r>
          </w:p>
        </w:tc>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₹1.10 Cr</w:t>
            </w:r>
          </w:p>
        </w:tc>
        <w:tc>
          <w:tcPr>
            <w:tcW w:type="dxa" w:w="26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~₹13 Cr annualised = FY26 base</w:t>
            </w:r>
          </w:p>
        </w:tc>
      </w:tr>
      <w:tr>
        <w:tc>
          <w:tcPr>
            <w:tcW w:type="dxa" w:w="34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Units sold</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11,629</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Mat-led volume</w:t>
            </w:r>
          </w:p>
        </w:tc>
      </w:tr>
      <w:tr>
        <w:tc>
          <w:tcPr>
            <w:tcW w:type="dxa" w:w="3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Blended AOV</w:t>
            </w:r>
          </w:p>
        </w:tc>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~₹945</w:t>
            </w:r>
          </w:p>
        </w:tc>
        <w:tc>
          <w:tcPr>
            <w:tcW w:type="dxa" w:w="26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Pulled down by low-price mats</w:t>
            </w:r>
          </w:p>
        </w:tc>
      </w:tr>
      <w:tr>
        <w:tc>
          <w:tcPr>
            <w:tcW w:type="dxa" w:w="34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Ad spend</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₹21.9 L</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
            </w:r>
          </w:p>
        </w:tc>
      </w:tr>
      <w:tr>
        <w:tc>
          <w:tcPr>
            <w:tcW w:type="dxa" w:w="3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Blended ROAS</w:t>
            </w:r>
          </w:p>
        </w:tc>
        <w:tc>
          <w:tcPr>
            <w:tcW w:type="dxa" w:w="2600"/>
            <w:tcMar>
              <w:top w:type="dxa" w:w="60"/>
              <w:left w:type="dxa" w:w="110"/>
              <w:bottom w:type="dxa" w:w="60"/>
              <w:right w:type="dxa" w:w="110"/>
            </w:tcMar>
          </w:tcPr>
          <w:p>
            <w:pPr>
              <w:spacing w:after="20" w:line="240"/>
              <w:jc w:val="left"/>
            </w:pPr>
            <w:r>
              <w:rPr>
                <w:rFonts w:ascii="Arial" w:cs="Arial" w:eastAsia="Arial" w:hAnsi="Arial"/>
                <w:b/>
                <w:bCs/>
                <w:color w:val="2E7D32"/>
                <w:sz w:val="19"/>
                <w:szCs w:val="19"/>
              </w:rPr>
              <w:t xml:space="preserve">~4.0x</w:t>
            </w:r>
          </w:p>
        </w:tc>
        <w:tc>
          <w:tcPr>
            <w:tcW w:type="dxa" w:w="26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Healthy — room to scale spend</w:t>
            </w:r>
          </w:p>
        </w:tc>
      </w:tr>
      <w:tr>
        <w:tc>
          <w:tcPr>
            <w:tcW w:type="dxa" w:w="34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CM1 (% net rev)</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35.3%</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Product margin is sound…</w:t>
            </w:r>
          </w:p>
        </w:tc>
      </w:tr>
      <w:tr>
        <w:tc>
          <w:tcPr>
            <w:tcW w:type="dxa" w:w="3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CM2 (% net rev)</w:t>
            </w:r>
          </w:p>
        </w:tc>
        <w:tc>
          <w:tcPr>
            <w:tcW w:type="dxa" w:w="2600"/>
            <w:tcMar>
              <w:top w:type="dxa" w:w="60"/>
              <w:left w:type="dxa" w:w="110"/>
              <w:bottom w:type="dxa" w:w="60"/>
              <w:right w:type="dxa" w:w="110"/>
            </w:tcMar>
          </w:tcPr>
          <w:p>
            <w:pPr>
              <w:spacing w:after="20" w:line="240"/>
              <w:jc w:val="left"/>
            </w:pPr>
            <w:r>
              <w:rPr>
                <w:rFonts w:ascii="Arial" w:cs="Arial" w:eastAsia="Arial" w:hAnsi="Arial"/>
                <w:b/>
                <w:bCs/>
                <w:color w:val="C0392B"/>
                <w:sz w:val="19"/>
                <w:szCs w:val="19"/>
              </w:rPr>
              <w:t xml:space="preserve">7.7%</w:t>
            </w:r>
          </w:p>
        </w:tc>
        <w:tc>
          <w:tcPr>
            <w:tcW w:type="dxa" w:w="26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…but post-marketing margin is thin</w:t>
            </w:r>
          </w:p>
        </w:tc>
      </w:tr>
    </w:tbl>
    <w:p>
      <w:pPr>
        <w:spacing w:after="60"/>
      </w:pPr>
    </w:p>
    <w:p>
      <w:pPr>
        <w:pStyle w:val="Heading2"/>
        <w:spacing w:after="80" w:before="200"/>
      </w:pPr>
      <w:r>
        <w:rPr>
          <w:rFonts w:ascii="Arial" w:cs="Arial" w:eastAsia="Arial" w:hAnsi="Arial"/>
          <w:b/>
          <w:bCs/>
          <w:color w:val="7C5236"/>
          <w:sz w:val="22"/>
          <w:szCs w:val="22"/>
        </w:rPr>
        <w:t xml:space="preserve">1.2  Where the revenue and margin actually sit</w:t>
      </w:r>
    </w:p>
    <w:tbl>
      <w:tblPr>
        <w:tblW w:type="dxa" w:w="8600"/>
        <w:tblBorders>
          <w:top w:val="single" w:color="D8D2CA" w:sz="2"/>
          <w:left w:val="none"/>
          <w:bottom w:val="single" w:color="D8D2CA" w:sz="2"/>
          <w:right w:val="none"/>
          <w:insideH w:val="single" w:color="D8D2CA" w:sz="2"/>
          <w:insideV w:val="none"/>
        </w:tblBorders>
      </w:tblPr>
      <w:tblGrid>
        <w:gridCol w:w="2500"/>
        <w:gridCol w:w="1500"/>
        <w:gridCol w:w="1500"/>
        <w:gridCol w:w="1500"/>
        <w:gridCol w:w="1600"/>
      </w:tblGrid>
      <w:tr>
        <w:trPr>
          <w:tblHeader/>
        </w:trPr>
        <w:tc>
          <w:tcPr>
            <w:tcW w:type="dxa" w:w="25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Sub-category</w:t>
            </w:r>
          </w:p>
        </w:tc>
        <w:tc>
          <w:tcPr>
            <w:tcW w:type="dxa" w:w="15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Rev share</w:t>
            </w:r>
          </w:p>
        </w:tc>
        <w:tc>
          <w:tcPr>
            <w:tcW w:type="dxa" w:w="15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AOV</w:t>
            </w:r>
          </w:p>
        </w:tc>
        <w:tc>
          <w:tcPr>
            <w:tcW w:type="dxa" w:w="15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CM2 %</w:t>
            </w:r>
          </w:p>
        </w:tc>
        <w:tc>
          <w:tcPr>
            <w:tcW w:type="dxa" w:w="1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NPD signal</w:t>
            </w:r>
          </w:p>
        </w:tc>
      </w:tr>
      <w:tr>
        <w:tc>
          <w:tcPr>
            <w:tcW w:type="dxa" w:w="25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Desk Mats (all)</w:t>
            </w:r>
          </w:p>
        </w:tc>
        <w:tc>
          <w:tcPr>
            <w:tcW w:type="dxa" w:w="15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~93%</w:t>
            </w:r>
          </w:p>
        </w:tc>
        <w:tc>
          <w:tcPr>
            <w:tcW w:type="dxa" w:w="15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₹890</w:t>
            </w:r>
          </w:p>
        </w:tc>
        <w:tc>
          <w:tcPr>
            <w:tcW w:type="dxa" w:w="1500"/>
            <w:tcMar>
              <w:top w:type="dxa" w:w="60"/>
              <w:left w:type="dxa" w:w="110"/>
              <w:bottom w:type="dxa" w:w="60"/>
              <w:right w:type="dxa" w:w="110"/>
            </w:tcMar>
          </w:tcPr>
          <w:p>
            <w:pPr>
              <w:spacing w:after="20" w:line="240"/>
              <w:jc w:val="left"/>
            </w:pPr>
            <w:r>
              <w:rPr>
                <w:rFonts w:ascii="Arial" w:cs="Arial" w:eastAsia="Arial" w:hAnsi="Arial"/>
                <w:b w:val="false"/>
                <w:bCs w:val="false"/>
                <w:color w:val="C0392B"/>
                <w:sz w:val="19"/>
                <w:szCs w:val="19"/>
              </w:rPr>
              <w:t xml:space="preserve">7.3%</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Proven, but low-margin &amp; over-concentrated</w:t>
            </w:r>
          </w:p>
        </w:tc>
      </w:tr>
      <w:tr>
        <w:tc>
          <w:tcPr>
            <w:tcW w:type="dxa" w:w="25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Bar Desk Organiser</w:t>
            </w:r>
          </w:p>
        </w:tc>
        <w:tc>
          <w:tcPr>
            <w:tcW w:type="dxa" w:w="15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~7%</w:t>
            </w:r>
          </w:p>
        </w:tc>
        <w:tc>
          <w:tcPr>
            <w:tcW w:type="dxa" w:w="15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₹3,986</w:t>
            </w:r>
          </w:p>
        </w:tc>
        <w:tc>
          <w:tcPr>
            <w:tcW w:type="dxa" w:w="15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11.3%</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Hero: top AOV &amp; best margin — under-scaled</w:t>
            </w:r>
          </w:p>
        </w:tc>
      </w:tr>
      <w:tr>
        <w:tc>
          <w:tcPr>
            <w:tcW w:type="dxa" w:w="25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Mouse pads (Orbit)</w:t>
            </w:r>
          </w:p>
        </w:tc>
        <w:tc>
          <w:tcPr>
            <w:tcW w:type="dxa" w:w="15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within mats</w:t>
            </w:r>
          </w:p>
        </w:tc>
        <w:tc>
          <w:tcPr>
            <w:tcW w:type="dxa" w:w="15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₹390</w:t>
            </w:r>
          </w:p>
        </w:tc>
        <w:tc>
          <w:tcPr>
            <w:tcW w:type="dxa" w:w="1500"/>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39%</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Highest-margin line — extend hard</w:t>
            </w:r>
          </w:p>
        </w:tc>
      </w:tr>
      <w:tr>
        <w:tc>
          <w:tcPr>
            <w:tcW w:type="dxa" w:w="25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Desk Trio bundles</w:t>
            </w:r>
          </w:p>
        </w:tc>
        <w:tc>
          <w:tcPr>
            <w:tcW w:type="dxa" w:w="15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within mats</w:t>
            </w:r>
          </w:p>
        </w:tc>
        <w:tc>
          <w:tcPr>
            <w:tcW w:type="dxa" w:w="15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₹1,800</w:t>
            </w:r>
          </w:p>
        </w:tc>
        <w:tc>
          <w:tcPr>
            <w:tcW w:type="dxa" w:w="15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C0392B"/>
                <w:sz w:val="19"/>
                <w:szCs w:val="19"/>
              </w:rPr>
              <w:t xml:space="preserve">−28%</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Margin-negative — re-engineer, don’t scale</w:t>
            </w:r>
          </w:p>
        </w:tc>
      </w:tr>
    </w:tbl>
    <w:p>
      <w:pPr>
        <w:spacing w:after="120" w:before="60"/>
      </w:pPr>
      <w:r>
        <w:rPr>
          <w:rFonts w:ascii="Arial" w:cs="Arial" w:eastAsia="Arial" w:hAnsi="Arial"/>
          <w:i/>
          <w:iCs/>
          <w:color w:val="6B6B6B"/>
          <w:sz w:val="16"/>
          <w:szCs w:val="16"/>
        </w:rPr>
        <w:t xml:space="preserve">Source: July 2026 Desks P&amp;L, corrected. CM2 = contribution after product cost, GST, fulfilment and marketing.</w:t>
      </w:r>
    </w:p>
    <w:p>
      <w:pPr>
        <w:pStyle w:val="Heading2"/>
        <w:spacing w:after="80" w:before="200"/>
      </w:pPr>
      <w:r>
        <w:rPr>
          <w:rFonts w:ascii="Arial" w:cs="Arial" w:eastAsia="Arial" w:hAnsi="Arial"/>
          <w:b/>
          <w:bCs/>
          <w:color w:val="7C5236"/>
          <w:sz w:val="22"/>
          <w:szCs w:val="22"/>
        </w:rPr>
        <w:t xml:space="preserve">1.3  The channel signal NPD must design for</w:t>
      </w:r>
    </w:p>
    <w:p>
      <w:pPr>
        <w:pStyle w:val="ListParagraph"/>
        <w:numPr>
          <w:ilvl w:val="0"/>
          <w:numId w:val="2"/>
        </w:numPr>
        <w:spacing w:after="60" w:line="260"/>
      </w:pPr>
      <w:r>
        <w:rPr>
          <w:rFonts w:ascii="Arial" w:cs="Arial" w:eastAsia="Arial" w:hAnsi="Arial"/>
          <w:b/>
          <w:bCs/>
          <w:sz w:val="21"/>
          <w:szCs w:val="21"/>
        </w:rPr>
        <w:t xml:space="preserve">Amazon Vendor (AZ VC) is the profit engine </w:t>
      </w:r>
      <w:r>
        <w:rPr>
          <w:rFonts w:ascii="Arial" w:cs="Arial" w:eastAsia="Arial" w:hAnsi="Arial"/>
          <w:sz w:val="21"/>
          <w:szCs w:val="21"/>
        </w:rPr>
        <w:t xml:space="preserve">— ₹61.9 L revenue at 33.6% CM2. Marketplace-ready, well-packaged hero SKUs win here.</w:t>
      </w:r>
    </w:p>
    <w:p>
      <w:pPr>
        <w:pStyle w:val="ListParagraph"/>
        <w:numPr>
          <w:ilvl w:val="0"/>
          <w:numId w:val="2"/>
        </w:numPr>
        <w:spacing w:after="60" w:line="260"/>
      </w:pPr>
      <w:r>
        <w:rPr>
          <w:rFonts w:ascii="Arial" w:cs="Arial" w:eastAsia="Arial" w:hAnsi="Arial"/>
          <w:b/>
          <w:bCs/>
          <w:sz w:val="21"/>
          <w:szCs w:val="21"/>
        </w:rPr>
        <w:t xml:space="preserve">Website &amp; Amazon Seller are ad-heavy </w:t>
      </w:r>
      <w:r>
        <w:rPr>
          <w:rFonts w:ascii="Arial" w:cs="Arial" w:eastAsia="Arial" w:hAnsi="Arial"/>
          <w:sz w:val="21"/>
          <w:szCs w:val="21"/>
        </w:rPr>
        <w:t xml:space="preserve">— Website CM2 −13%, AZ SC −79%, because ad spend sits on lower-ticket mats. NPD that raises AOV and attach directly repairs these.</w:t>
      </w:r>
    </w:p>
    <w:p>
      <w:pPr>
        <w:pStyle w:val="ListParagraph"/>
        <w:numPr>
          <w:ilvl w:val="0"/>
          <w:numId w:val="2"/>
        </w:numPr>
        <w:spacing w:after="60" w:line="260"/>
      </w:pPr>
      <w:r>
        <w:rPr>
          <w:rFonts w:ascii="Arial" w:cs="Arial" w:eastAsia="Arial" w:hAnsi="Arial"/>
          <w:b/>
          <w:bCs/>
          <w:sz w:val="21"/>
          <w:szCs w:val="21"/>
        </w:rPr>
        <w:t xml:space="preserve">Higher-AOV, system-led baskets are the lever </w:t>
      </w:r>
      <w:r>
        <w:rPr>
          <w:rFonts w:ascii="Arial" w:cs="Arial" w:eastAsia="Arial" w:hAnsi="Arial"/>
          <w:sz w:val="21"/>
          <w:szCs w:val="21"/>
        </w:rPr>
        <w:t xml:space="preserve">— the Bar Organiser proves customers will pay ~₹4,000 at a healthy margin. The pipeline pushes basket value up the price ladder.</w:t>
      </w:r>
    </w:p>
    <w:p>
      <w:pPr>
        <w:pStyle w:val="Heading1"/>
        <w:pBdr>
          <w:bottom w:val="single" w:color="A9744F" w:sz="12" w:space="6"/>
        </w:pBdr>
        <w:spacing w:after="140" w:before="320"/>
      </w:pPr>
      <w:r>
        <w:rPr>
          <w:rFonts w:ascii="Arial" w:cs="Arial" w:eastAsia="Arial" w:hAnsi="Arial"/>
          <w:b/>
          <w:bCs/>
          <w:color w:val="A9744F"/>
          <w:sz w:val="26"/>
          <w:szCs w:val="26"/>
        </w:rPr>
        <w:t xml:space="preserve">2  </w:t>
      </w:r>
      <w:r>
        <w:rPr>
          <w:rFonts w:ascii="Arial" w:cs="Arial" w:eastAsia="Arial" w:hAnsi="Arial"/>
          <w:b/>
          <w:bCs/>
          <w:color w:val="1A1A1A"/>
          <w:sz w:val="26"/>
          <w:szCs w:val="26"/>
        </w:rPr>
        <w:t xml:space="preserve">The NPD thesis — extend heroes into a system</w:t>
      </w:r>
    </w:p>
    <w:p>
      <w:pPr>
        <w:spacing w:after="120" w:line="264"/>
      </w:pPr>
      <w:r>
        <w:rPr>
          <w:rFonts w:ascii="Arial" w:cs="Arial" w:eastAsia="Arial" w:hAnsi="Arial"/>
          <w:color w:val="1A1A1A"/>
          <w:sz w:val="21"/>
          <w:szCs w:val="21"/>
        </w:rPr>
        <w:t xml:space="preserve">DailyObjects’ white space, per the category workbook, is the coordinated premium desk SYSTEM at India prices — a look you build (mat + organiser + stand + storage + charging) rather than a single item. No competitor owns it: Grovemade/Orbitkey are priced out (₹8k–₹30k), furniture brands sell furniture, and the long tail sells mass plastic. This pipeline turns that thesis into products by doing three things at once:</w:t>
      </w:r>
    </w:p>
    <w:tbl>
      <w:tblPr>
        <w:tblW w:type="dxa" w:w="8600"/>
        <w:tblBorders>
          <w:top w:val="single" w:color="D8D2CA" w:sz="2"/>
          <w:left w:val="none"/>
          <w:bottom w:val="single" w:color="D8D2CA" w:sz="2"/>
          <w:right w:val="none"/>
          <w:insideH w:val="single" w:color="D8D2CA" w:sz="2"/>
          <w:insideV w:val="none"/>
        </w:tblBorders>
      </w:tblPr>
      <w:tblGrid>
        <w:gridCol w:w="2600"/>
        <w:gridCol w:w="3200"/>
        <w:gridCol w:w="2800"/>
      </w:tblGrid>
      <w:tr>
        <w:trPr>
          <w:tblHeader/>
        </w:trPr>
        <w:tc>
          <w:tcPr>
            <w:tcW w:type="dxa" w:w="2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Move</w:t>
            </w:r>
          </w:p>
        </w:tc>
        <w:tc>
          <w:tcPr>
            <w:tcW w:type="dxa" w:w="32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What it means for NPD</w:t>
            </w:r>
          </w:p>
        </w:tc>
        <w:tc>
          <w:tcPr>
            <w:tcW w:type="dxa" w:w="28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Proof it works</w:t>
            </w:r>
          </w:p>
        </w:tc>
      </w:tr>
      <w:tr>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Extend proven winners</w:t>
            </w:r>
          </w:p>
        </w:tc>
        <w:tc>
          <w:tcPr>
            <w:tcW w:type="dxa" w:w="32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New variants, sizes, materials &amp; colourways of SKUs already selling — lowest-risk revenue.</w:t>
            </w:r>
          </w:p>
        </w:tc>
        <w:tc>
          <w:tcPr>
            <w:tcW w:type="dxa" w:w="28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Turf Leather mat &amp; Bar Organiser already carry the category.</w:t>
            </w:r>
          </w:p>
        </w:tc>
      </w:tr>
      <w:tr>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Design for margin</w:t>
            </w:r>
          </w:p>
        </w:tc>
        <w:tc>
          <w:tcPr>
            <w:tcW w:type="dxa" w:w="32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Every concept ships against a hard CM2 floor; premium tiers &amp; high-margin add-ons lift the blend.</w:t>
            </w:r>
          </w:p>
        </w:tc>
        <w:tc>
          <w:tcPr>
            <w:tcW w:type="dxa" w:w="28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Orbit mouse pad = 39% CM2; Bar Organiser = 11%.</w:t>
            </w:r>
          </w:p>
        </w:tc>
      </w:tr>
      <w:tr>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Complete the system</w:t>
            </w:r>
          </w:p>
        </w:tc>
        <w:tc>
          <w:tcPr>
            <w:tcW w:type="dxa" w:w="32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Fill the trays / stands / storage / charging gaps so baskets carry 2–3 coordinated items.</w:t>
            </w:r>
          </w:p>
        </w:tc>
        <w:tc>
          <w:tcPr>
            <w:tcW w:type="dxa" w:w="28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Attach &amp; AOV are the plan’s core levers to ₹2,800 AOV.</w:t>
            </w:r>
          </w:p>
        </w:tc>
      </w:tr>
    </w:tbl>
    <w:p>
      <w:pPr>
        <w:spacing w:after="60"/>
      </w:pPr>
    </w:p>
    <w:p>
      <w:pPr>
        <w:pStyle w:val="Heading2"/>
        <w:spacing w:after="80" w:before="200"/>
      </w:pPr>
      <w:r>
        <w:rPr>
          <w:rFonts w:ascii="Arial" w:cs="Arial" w:eastAsia="Arial" w:hAnsi="Arial"/>
          <w:b/>
          <w:bCs/>
          <w:color w:val="7C5236"/>
          <w:sz w:val="22"/>
          <w:szCs w:val="22"/>
        </w:rPr>
        <w:t xml:space="preserve">The five NPD design mandates</w:t>
      </w:r>
    </w:p>
    <w:p>
      <w:pPr>
        <w:pStyle w:val="ListParagraph"/>
        <w:numPr>
          <w:ilvl w:val="0"/>
          <w:numId w:val="2"/>
        </w:numPr>
        <w:spacing w:after="60" w:line="260"/>
      </w:pPr>
      <w:r>
        <w:rPr>
          <w:rFonts w:ascii="Arial" w:cs="Arial" w:eastAsia="Arial" w:hAnsi="Arial"/>
          <w:b/>
          <w:bCs/>
          <w:color w:val="7C5236"/>
          <w:sz w:val="21"/>
          <w:szCs w:val="21"/>
        </w:rPr>
        <w:t xml:space="preserve">Margin floor is non-negotiable. </w:t>
      </w:r>
      <w:r>
        <w:rPr>
          <w:rFonts w:ascii="Arial" w:cs="Arial" w:eastAsia="Arial" w:hAnsi="Arial"/>
          <w:sz w:val="21"/>
          <w:szCs w:val="21"/>
        </w:rPr>
        <w:t xml:space="preserve">Small add-ons must clear ≥30% CM2; mats &amp; hero items ≥20%; any bundle ≥15%. No concept ships below its floor.</w:t>
      </w:r>
    </w:p>
    <w:p>
      <w:pPr>
        <w:pStyle w:val="ListParagraph"/>
        <w:numPr>
          <w:ilvl w:val="0"/>
          <w:numId w:val="2"/>
        </w:numPr>
        <w:spacing w:after="60" w:line="260"/>
      </w:pPr>
      <w:r>
        <w:rPr>
          <w:rFonts w:ascii="Arial" w:cs="Arial" w:eastAsia="Arial" w:hAnsi="Arial"/>
          <w:b/>
          <w:bCs/>
          <w:color w:val="7C5236"/>
          <w:sz w:val="21"/>
          <w:szCs w:val="21"/>
        </w:rPr>
        <w:t xml:space="preserve">Design-led, or don’t make it. </w:t>
      </w:r>
      <w:r>
        <w:rPr>
          <w:rFonts w:ascii="Arial" w:cs="Arial" w:eastAsia="Arial" w:hAnsi="Arial"/>
          <w:sz w:val="21"/>
          <w:szCs w:val="21"/>
        </w:rPr>
        <w:t xml:space="preserve">Every SKU must be visibly premium vs mass plastic — material, finish, coordination. That is the moat.</w:t>
      </w:r>
    </w:p>
    <w:p>
      <w:pPr>
        <w:pStyle w:val="ListParagraph"/>
        <w:numPr>
          <w:ilvl w:val="0"/>
          <w:numId w:val="2"/>
        </w:numPr>
        <w:spacing w:after="60" w:line="260"/>
      </w:pPr>
      <w:r>
        <w:rPr>
          <w:rFonts w:ascii="Arial" w:cs="Arial" w:eastAsia="Arial" w:hAnsi="Arial"/>
          <w:b/>
          <w:bCs/>
          <w:color w:val="7C5236"/>
          <w:sz w:val="21"/>
          <w:szCs w:val="21"/>
        </w:rPr>
        <w:t xml:space="preserve">Built to coordinate. </w:t>
      </w:r>
      <w:r>
        <w:rPr>
          <w:rFonts w:ascii="Arial" w:cs="Arial" w:eastAsia="Arial" w:hAnsi="Arial"/>
          <w:sz w:val="21"/>
          <w:szCs w:val="21"/>
        </w:rPr>
        <w:t xml:space="preserve">Shared colourways/materials across the range so any two products look designed together — that is what drives attach.</w:t>
      </w:r>
    </w:p>
    <w:p>
      <w:pPr>
        <w:pStyle w:val="ListParagraph"/>
        <w:numPr>
          <w:ilvl w:val="0"/>
          <w:numId w:val="2"/>
        </w:numPr>
        <w:spacing w:after="60" w:line="260"/>
      </w:pPr>
      <w:r>
        <w:rPr>
          <w:rFonts w:ascii="Arial" w:cs="Arial" w:eastAsia="Arial" w:hAnsi="Arial"/>
          <w:b/>
          <w:bCs/>
          <w:color w:val="7C5236"/>
          <w:sz w:val="21"/>
          <w:szCs w:val="21"/>
        </w:rPr>
        <w:t xml:space="preserve">Marketplace-ready by design. </w:t>
      </w:r>
      <w:r>
        <w:rPr>
          <w:rFonts w:ascii="Arial" w:cs="Arial" w:eastAsia="Arial" w:hAnsi="Arial"/>
          <w:sz w:val="21"/>
          <w:szCs w:val="21"/>
        </w:rPr>
        <w:t xml:space="preserve">Packaging, weight and content built for the AZ VC margin engine, not just D2C.</w:t>
      </w:r>
    </w:p>
    <w:p>
      <w:pPr>
        <w:pStyle w:val="ListParagraph"/>
        <w:numPr>
          <w:ilvl w:val="0"/>
          <w:numId w:val="2"/>
        </w:numPr>
        <w:spacing w:after="60" w:line="260"/>
      </w:pPr>
      <w:r>
        <w:rPr>
          <w:rFonts w:ascii="Arial" w:cs="Arial" w:eastAsia="Arial" w:hAnsi="Arial"/>
          <w:b/>
          <w:bCs/>
          <w:color w:val="7C5236"/>
          <w:sz w:val="21"/>
          <w:szCs w:val="21"/>
        </w:rPr>
        <w:t xml:space="preserve">Anchored to a moment. </w:t>
      </w:r>
      <w:r>
        <w:rPr>
          <w:rFonts w:ascii="Arial" w:cs="Arial" w:eastAsia="Arial" w:hAnsi="Arial"/>
          <w:sz w:val="21"/>
          <w:szCs w:val="21"/>
        </w:rPr>
        <w:t xml:space="preserve">Each concept maps to a purchase trigger — New-Year reset, new-job/WFH setup, gifting — so launch timing is deliberate.</w:t>
      </w:r>
    </w:p>
    <w:p>
      <w:r>
        <w:br w:type="page"/>
      </w:r>
    </w:p>
    <w:p>
      <w:pPr>
        <w:pStyle w:val="Heading1"/>
        <w:pBdr>
          <w:bottom w:val="single" w:color="A9744F" w:sz="12" w:space="6"/>
        </w:pBdr>
        <w:spacing w:after="140" w:before="320"/>
      </w:pPr>
      <w:r>
        <w:rPr>
          <w:rFonts w:ascii="Arial" w:cs="Arial" w:eastAsia="Arial" w:hAnsi="Arial"/>
          <w:b/>
          <w:bCs/>
          <w:color w:val="A9744F"/>
          <w:sz w:val="26"/>
          <w:szCs w:val="26"/>
        </w:rPr>
        <w:t xml:space="preserve">3  </w:t>
      </w:r>
      <w:r>
        <w:rPr>
          <w:rFonts w:ascii="Arial" w:cs="Arial" w:eastAsia="Arial" w:hAnsi="Arial"/>
          <w:b/>
          <w:bCs/>
          <w:color w:val="1A1A1A"/>
          <w:sz w:val="26"/>
          <w:szCs w:val="26"/>
        </w:rPr>
        <w:t xml:space="preserve">The hero-extension pipeline — 8 concepts</w:t>
      </w:r>
    </w:p>
    <w:p>
      <w:pPr>
        <w:spacing w:after="120" w:line="264"/>
      </w:pPr>
      <w:r>
        <w:rPr>
          <w:rFonts w:ascii="Arial" w:cs="Arial" w:eastAsia="Arial" w:hAnsi="Arial"/>
          <w:color w:val="1A1A1A"/>
          <w:sz w:val="21"/>
          <w:szCs w:val="21"/>
        </w:rPr>
        <w:t xml:space="preserve">Each concept is a decision-ready brief. “Role” states its job in the system; “Margin floor” is the CM2 gate it must clear to ship. Concepts are numbered, not yet sequenced — sequencing is in Section 4.</w:t>
      </w:r>
    </w:p>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C1   </w:t>
      </w:r>
      <w:r>
        <w:rPr>
          <w:rFonts w:ascii="Arial" w:cs="Arial" w:eastAsia="Arial" w:hAnsi="Arial"/>
          <w:b/>
          <w:bCs/>
          <w:color w:val="1A1A1A"/>
          <w:sz w:val="24"/>
          <w:szCs w:val="24"/>
        </w:rPr>
        <w:t xml:space="preserve">Bar Desk Organiser — Premium &amp; Modular line</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AOV anchor / premiumisation</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H2</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Extend the proven hero into a family: new colourways plus a premium material tier (walnut/wood-accent and full-grain leather), and clip-in modular widgets (charging dock, pen slot, tray) so one organiser becomes a configurable centrepiece.</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The Bar Organiser is already the highest-AOV (₹3,986) and best-margin (11.3%) line, yet it is a single hero. A premium/modular tier lifts AOV and margin simultaneously and gives the 35–44 professional — the plan’s core headroom segment — a reason to trade up.</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35–44 senior professionals, corporate gifting, high-AOV buyers</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₹3,499 – ₹5,999</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≥25% CM2</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New-job setup · corporate gifting · Diwali</w:t>
            </w:r>
          </w:p>
        </w:tc>
      </w:tr>
    </w:tbl>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C2   </w:t>
      </w:r>
      <w:r>
        <w:rPr>
          <w:rFonts w:ascii="Arial" w:cs="Arial" w:eastAsia="Arial" w:hAnsi="Arial"/>
          <w:b/>
          <w:bCs/>
          <w:color w:val="1A1A1A"/>
          <w:sz w:val="24"/>
          <w:szCs w:val="24"/>
        </w:rPr>
        <w:t xml:space="preserve">Premium Leather Deskpad — size &amp; material extension</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Acquisition hero + margin repair</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H2</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Extend the #1 SKU (Turf Leather mat, ₹40L+ across Tan/Black) with new colourways, an XL / dual-desk size, and a premium stitched-edge, full-grain tier priced above the current mat to lift its thin margin.</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The hero mat sells in volume but its Tan variant runs at just 9.8% CM2. A premium tier and larger sizes capture more value per acquisition without new demand risk — the safest margin repair available.</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Core 25–34 professionals + 35–44 premiumisers</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₹1,799 – ₹2,999 (premium tier)</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≥20% CM2</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New-Year reset · aesthetic desk makeover</w:t>
            </w:r>
          </w:p>
        </w:tc>
      </w:tr>
    </w:tbl>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C3   </w:t>
      </w:r>
      <w:r>
        <w:rPr>
          <w:rFonts w:ascii="Arial" w:cs="Arial" w:eastAsia="Arial" w:hAnsi="Arial"/>
          <w:b/>
          <w:bCs/>
          <w:color w:val="1A1A1A"/>
          <w:sz w:val="24"/>
          <w:szCs w:val="24"/>
        </w:rPr>
        <w:t xml:space="preserve">Modular Snap-On desk system — magnetic add-on family</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Attach / flywheel / repeat</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H3</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Build a family of magnetic widgets on the existing Snap-On mat platform: cable holder, phone/watch charging dock, pen tray, note holder and coaster — each sold standalone and as a “build your board” configurator.</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The coordinated system is the moat. Small, high-margin add-ons on an installed mat base lift attach rate, AOV and repeat purchase — the flywheel the plan needs to hit ₹2,800 AOV.</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All professionals; the attach &amp; repeat engine</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Add-ons ₹399 – ₹999; system ₹2,999+</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≥30% CM2 (add-ons)</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Post-purchase attach · New-Year reset</w:t>
            </w:r>
          </w:p>
        </w:tc>
      </w:tr>
    </w:tbl>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C4   </w:t>
      </w:r>
      <w:r>
        <w:rPr>
          <w:rFonts w:ascii="Arial" w:cs="Arial" w:eastAsia="Arial" w:hAnsi="Arial"/>
          <w:b/>
          <w:bCs/>
          <w:color w:val="1A1A1A"/>
          <w:sz w:val="24"/>
          <w:szCs w:val="24"/>
        </w:rPr>
        <w:t xml:space="preserve">High-margin mouse pad range extension</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Margin + entry + attach</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H1</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Extend the Orbit leather mouse pad (best margin in the category) with new colourways and a coordinated mat + mousepad set; add an entry price point for students.</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The Orbit mouse pad runs at 39% CM2 and the Turf 2.0 at ~21% — the richest margins in the range. Extending the highest-margin line is a fast, low-risk way to lift the category blend and create a low-price entry into the system.</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18–24 entry buyers + attach to every mat sale</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₹390 – ₹899</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≥30% CM2</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Always-on attach · student / early-career</w:t>
            </w:r>
          </w:p>
        </w:tc>
      </w:tr>
    </w:tbl>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C5   </w:t>
      </w:r>
      <w:r>
        <w:rPr>
          <w:rFonts w:ascii="Arial" w:cs="Arial" w:eastAsia="Arial" w:hAnsi="Arial"/>
          <w:b/>
          <w:bCs/>
          <w:color w:val="1A1A1A"/>
          <w:sz w:val="24"/>
          <w:szCs w:val="24"/>
        </w:rPr>
        <w:t xml:space="preserve">Desk valet &amp; catch-all tray</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System completion + gifting</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H2</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A premium leatherette/felt valet tray and coaster set in the shared colour palette — the first true “storage” piece, filling a called-out gap in the coordinated system.</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Trays are an explicit gap in the workbook’s system definition. Small, high-margin, and highly giftable — a natural second item in any desk basket and a strong fit for the women-expansion program.</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Gifting, 35–44 professionals, women (growth segment)</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₹799 – ₹1,499</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≥30% CM2</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Festive &amp; New-Year gifting</w:t>
            </w:r>
          </w:p>
        </w:tc>
      </w:tr>
    </w:tbl>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C6   </w:t>
      </w:r>
      <w:r>
        <w:rPr>
          <w:rFonts w:ascii="Arial" w:cs="Arial" w:eastAsia="Arial" w:hAnsi="Arial"/>
          <w:b/>
          <w:bCs/>
          <w:color w:val="1A1A1A"/>
          <w:sz w:val="24"/>
          <w:szCs w:val="24"/>
        </w:rPr>
        <w:t xml:space="preserve">Stands, brought into the desk system</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AOV + system completion (fastest)</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H1</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Merchandise the existing Arete laptop stand, Mesa monitor stand and phone stands into the Desks system with coordinated colourways and “complete your desk” bundling — and bring them into the Desks P&amp;L.</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These products already exist but sit outside the Desks category and merchandising. Structural (aluminium) items carry AOV and decent margin, and completing the setup is the fastest revenue in the pipeline — no new development, just coordination and placement.</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25–44 professionals; ergonomics &amp; full-setup buyers</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₹399 – ₹3,299</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≥25% CM2</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New-job / WFH setup · ergonomics</w:t>
            </w:r>
          </w:p>
        </w:tc>
      </w:tr>
    </w:tbl>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C7   </w:t>
      </w:r>
      <w:r>
        <w:rPr>
          <w:rFonts w:ascii="Arial" w:cs="Arial" w:eastAsia="Arial" w:hAnsi="Arial"/>
          <w:b/>
          <w:bCs/>
          <w:color w:val="1A1A1A"/>
          <w:sz w:val="24"/>
          <w:szCs w:val="24"/>
        </w:rPr>
        <w:t xml:space="preserve">Bundle re-engineering — margin-positive “Build-Your-Desk” sets</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Margin repair + AOV</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H1</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Re-architect the current Desk Trio bundles (mat + mousepad + add-on) around a CM2 floor: swap loss-making components for high-margin ones (e.g. Orbit mousepad, tray), retire the Felt trio, and relaunch as a curated “Build-Your-Desk” set.</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The Trio bundles are the biggest margin leak in the category (−28% to −33% CM2) yet sell well — they are destroying value at scale. Re-engineering converts a proven-selling loss-maker into an AOV and gifting driver. This is a fix, not a net-new SKU.</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Gifting, New-Year reset, core professionals</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₹1,799 – ₹2,999</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≥15% CM2 (hard floor)</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New-Year reset · gifting</w:t>
            </w:r>
          </w:p>
        </w:tc>
      </w:tr>
    </w:tbl>
    <w:p>
      <w:pPr>
        <w:keepNext/>
        <w:pBdr>
          <w:left w:val="single" w:color="A9744F" w:sz="24" w:space="8"/>
        </w:pBdr>
        <w:shd w:fill="F3F0EC" w:color="auto" w:val="clear"/>
        <w:spacing w:after="60" w:before="240"/>
      </w:pPr>
      <w:r>
        <w:rPr>
          <w:rFonts w:ascii="Arial" w:cs="Arial" w:eastAsia="Arial" w:hAnsi="Arial"/>
          <w:b/>
          <w:bCs/>
          <w:color w:val="A9744F"/>
          <w:sz w:val="24"/>
          <w:szCs w:val="24"/>
        </w:rPr>
        <w:t xml:space="preserve">C8   </w:t>
      </w:r>
      <w:r>
        <w:rPr>
          <w:rFonts w:ascii="Arial" w:cs="Arial" w:eastAsia="Arial" w:hAnsi="Arial"/>
          <w:b/>
          <w:bCs/>
          <w:color w:val="1A1A1A"/>
          <w:sz w:val="24"/>
          <w:szCs w:val="24"/>
        </w:rPr>
        <w:t xml:space="preserve">Cable &amp; charging management line</w:t>
      </w:r>
    </w:p>
    <w:p>
      <w:pPr>
        <w:keepNext/>
        <w:spacing w:after="100"/>
      </w:pPr>
      <w:r>
        <w:rPr>
          <w:rFonts w:ascii="Arial" w:cs="Arial" w:eastAsia="Arial" w:hAnsi="Arial"/>
          <w:b/>
          <w:bCs/>
          <w:color w:val="6B6B6B"/>
          <w:sz w:val="18"/>
          <w:szCs w:val="18"/>
        </w:rPr>
        <w:t xml:space="preserve">Role: </w:t>
      </w:r>
      <w:r>
        <w:rPr>
          <w:rFonts w:ascii="Arial" w:cs="Arial" w:eastAsia="Arial" w:hAnsi="Arial"/>
          <w:color w:val="1A1A1A"/>
          <w:sz w:val="18"/>
          <w:szCs w:val="18"/>
        </w:rPr>
        <w:t xml:space="preserve">Attach + margin</w:t>
      </w:r>
      <w:r>
        <w:rPr>
          <w:rFonts w:ascii="Arial" w:cs="Arial" w:eastAsia="Arial" w:hAnsi="Arial"/>
          <w:b/>
          <w:bCs/>
          <w:color w:val="6B6B6B"/>
          <w:sz w:val="18"/>
          <w:szCs w:val="18"/>
        </w:rPr>
        <w:t xml:space="preserve">     ·     Horizon: </w:t>
      </w:r>
      <w:r>
        <w:rPr>
          <w:rFonts w:ascii="Arial" w:cs="Arial" w:eastAsia="Arial" w:hAnsi="Arial"/>
          <w:color w:val="1A1A1A"/>
          <w:sz w:val="18"/>
          <w:szCs w:val="18"/>
        </w:rPr>
        <w:t xml:space="preserve">H3</w:t>
      </w:r>
    </w:p>
    <w:p>
      <w:pPr>
        <w:spacing w:after="60"/>
      </w:pPr>
      <w:r>
        <w:rPr>
          <w:rFonts w:ascii="Arial" w:cs="Arial" w:eastAsia="Arial" w:hAnsi="Arial"/>
          <w:b/>
          <w:bCs/>
          <w:color w:val="7C5236"/>
          <w:sz w:val="20"/>
          <w:szCs w:val="20"/>
        </w:rPr>
        <w:t xml:space="preserve">What it is.  </w:t>
      </w:r>
      <w:r>
        <w:rPr>
          <w:rFonts w:ascii="Arial" w:cs="Arial" w:eastAsia="Arial" w:hAnsi="Arial"/>
          <w:color w:val="1A1A1A"/>
          <w:sz w:val="20"/>
          <w:szCs w:val="20"/>
        </w:rPr>
        <w:t xml:space="preserve">A small, coordinated line: cable holder/clips, a magnetic charging dock/pad and a cable sleeve — in the shared material palette, designed to pair with every mat.</w:t>
      </w:r>
    </w:p>
    <w:p>
      <w:pPr>
        <w:spacing w:after="100"/>
      </w:pPr>
      <w:r>
        <w:rPr>
          <w:rFonts w:ascii="Arial" w:cs="Arial" w:eastAsia="Arial" w:hAnsi="Arial"/>
          <w:b/>
          <w:bCs/>
          <w:color w:val="7C5236"/>
          <w:sz w:val="20"/>
          <w:szCs w:val="20"/>
        </w:rPr>
        <w:t xml:space="preserve">Why it wins.  </w:t>
      </w:r>
      <w:r>
        <w:rPr>
          <w:rFonts w:ascii="Arial" w:cs="Arial" w:eastAsia="Arial" w:hAnsi="Arial"/>
          <w:color w:val="1A1A1A"/>
          <w:sz w:val="20"/>
          <w:szCs w:val="20"/>
        </w:rPr>
        <w:t xml:space="preserve">Cable clutter is a universal desk pain and a high-frequency, high-margin add-on. It attaches to the entire mat base and rounds out the system’s “functional” layer alongside storage and stands.</w:t>
      </w:r>
    </w:p>
    <w:tbl>
      <w:tblPr>
        <w:tblW w:type="dxa" w:w="8600"/>
        <w:tblBorders>
          <w:top w:val="single" w:color="D8D2CA" w:sz="2"/>
          <w:left w:val="none"/>
          <w:bottom w:val="single" w:color="D8D2CA" w:sz="2"/>
          <w:right w:val="none"/>
          <w:insideH w:val="single" w:color="D8D2CA" w:sz="2"/>
          <w:insideV w:val="none"/>
        </w:tblBorders>
      </w:tblPr>
      <w:tblGrid>
        <w:gridCol w:w="2050"/>
        <w:gridCol w:w="2350"/>
        <w:gridCol w:w="1850"/>
        <w:gridCol w:w="2350"/>
      </w:tblGrid>
      <w:tr>
        <w:trPr>
          <w:tblHeader/>
        </w:trPr>
        <w:tc>
          <w:tcPr>
            <w:tcW w:type="dxa" w:w="20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Target segment</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Price band</w:t>
            </w:r>
          </w:p>
        </w:tc>
        <w:tc>
          <w:tcPr>
            <w:tcW w:type="dxa" w:w="18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Margin floor</w:t>
            </w:r>
          </w:p>
        </w:tc>
        <w:tc>
          <w:tcPr>
            <w:tcW w:type="dxa" w:w="235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Purchase trigger</w:t>
            </w:r>
          </w:p>
        </w:tc>
      </w:tr>
      <w:tr>
        <w:tc>
          <w:tcPr>
            <w:tcW w:type="dxa" w:w="20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All desk professionals; tech-forward buyers</w:t>
            </w:r>
          </w:p>
        </w:tc>
        <w:tc>
          <w:tcPr>
            <w:tcW w:type="dxa" w:w="235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₹399 – ₹1,299</w:t>
            </w:r>
          </w:p>
        </w:tc>
        <w:tc>
          <w:tcPr>
            <w:tcW w:type="dxa" w:w="1850"/>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≥30% CM2</w:t>
            </w:r>
          </w:p>
        </w:tc>
        <w:tc>
          <w:tcPr>
            <w:tcW w:type="dxa" w:w="235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Always-on attach · WFH setup</w:t>
            </w:r>
          </w:p>
        </w:tc>
      </w:tr>
    </w:tbl>
    <w:p>
      <w:r>
        <w:br w:type="page"/>
      </w:r>
    </w:p>
    <w:p>
      <w:pPr>
        <w:pStyle w:val="Heading1"/>
        <w:pBdr>
          <w:bottom w:val="single" w:color="A9744F" w:sz="12" w:space="6"/>
        </w:pBdr>
        <w:spacing w:after="140" w:before="320"/>
      </w:pPr>
      <w:r>
        <w:rPr>
          <w:rFonts w:ascii="Arial" w:cs="Arial" w:eastAsia="Arial" w:hAnsi="Arial"/>
          <w:b/>
          <w:bCs/>
          <w:color w:val="A9744F"/>
          <w:sz w:val="26"/>
          <w:szCs w:val="26"/>
        </w:rPr>
        <w:t xml:space="preserve">4  </w:t>
      </w:r>
      <w:r>
        <w:rPr>
          <w:rFonts w:ascii="Arial" w:cs="Arial" w:eastAsia="Arial" w:hAnsi="Arial"/>
          <w:b/>
          <w:bCs/>
          <w:color w:val="1A1A1A"/>
          <w:sz w:val="26"/>
          <w:szCs w:val="26"/>
        </w:rPr>
        <w:t xml:space="preserve">Prioritisation &amp; sequencing</w:t>
      </w:r>
    </w:p>
    <w:p>
      <w:pPr>
        <w:spacing w:after="120" w:line="264"/>
      </w:pPr>
      <w:r>
        <w:rPr>
          <w:rFonts w:ascii="Arial" w:cs="Arial" w:eastAsia="Arial" w:hAnsi="Arial"/>
          <w:color w:val="1A1A1A"/>
          <w:sz w:val="21"/>
          <w:szCs w:val="21"/>
        </w:rPr>
        <w:t xml:space="preserve">Sequenced by speed-to-revenue and risk. H1 concepts are the fastest, safest wins — they fix margin and use products that already exist. H2 premiumises the heroes. H3 builds the compounding attach system.</w:t>
      </w:r>
    </w:p>
    <w:p>
      <w:pPr>
        <w:pStyle w:val="Heading2"/>
        <w:spacing w:after="80" w:before="200"/>
      </w:pPr>
      <w:r>
        <w:rPr>
          <w:rFonts w:ascii="Arial" w:cs="Arial" w:eastAsia="Arial" w:hAnsi="Arial"/>
          <w:b/>
          <w:bCs/>
          <w:color w:val="7C5236"/>
          <w:sz w:val="22"/>
          <w:szCs w:val="22"/>
        </w:rPr>
        <w:t xml:space="preserve">4.1  Roadmap</w:t>
      </w:r>
    </w:p>
    <w:tbl>
      <w:tblPr>
        <w:tblW w:type="dxa" w:w="8700"/>
        <w:tblBorders>
          <w:top w:val="single" w:color="D8D2CA" w:sz="2"/>
          <w:left w:val="none"/>
          <w:bottom w:val="single" w:color="D8D2CA" w:sz="2"/>
          <w:right w:val="none"/>
          <w:insideH w:val="single" w:color="D8D2CA" w:sz="2"/>
          <w:insideV w:val="none"/>
        </w:tblBorders>
      </w:tblPr>
      <w:tblGrid>
        <w:gridCol w:w="1500"/>
        <w:gridCol w:w="3000"/>
        <w:gridCol w:w="2200"/>
        <w:gridCol w:w="2000"/>
      </w:tblGrid>
      <w:tr>
        <w:trPr>
          <w:tblHeader/>
        </w:trPr>
        <w:tc>
          <w:tcPr>
            <w:tcW w:type="dxa" w:w="15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Horizon</w:t>
            </w:r>
          </w:p>
        </w:tc>
        <w:tc>
          <w:tcPr>
            <w:tcW w:type="dxa" w:w="30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Concepts</w:t>
            </w:r>
          </w:p>
        </w:tc>
        <w:tc>
          <w:tcPr>
            <w:tcW w:type="dxa" w:w="22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Objective</w:t>
            </w:r>
          </w:p>
        </w:tc>
        <w:tc>
          <w:tcPr>
            <w:tcW w:type="dxa" w:w="20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Primary KPI</w:t>
            </w:r>
          </w:p>
        </w:tc>
      </w:tr>
      <w:tr>
        <w:tc>
          <w:tcPr>
            <w:tcW w:type="dxa" w:w="1500"/>
            <w:tcMar>
              <w:top w:type="dxa" w:w="60"/>
              <w:left w:type="dxa" w:w="110"/>
              <w:bottom w:type="dxa" w:w="60"/>
              <w:right w:type="dxa" w:w="110"/>
            </w:tcMar>
          </w:tcPr>
          <w:p>
            <w:pPr>
              <w:spacing w:after="20" w:line="240"/>
              <w:jc w:val="left"/>
            </w:pPr>
            <w:r>
              <w:rPr>
                <w:rFonts w:ascii="Arial" w:cs="Arial" w:eastAsia="Arial" w:hAnsi="Arial"/>
                <w:b/>
                <w:bCs/>
                <w:color w:val="2E7D32"/>
                <w:sz w:val="19"/>
                <w:szCs w:val="19"/>
              </w:rPr>
              <w:t xml:space="preserve">H1 · 0–3 mo</w:t>
            </w:r>
          </w:p>
        </w:tc>
        <w:tc>
          <w:tcPr>
            <w:tcW w:type="dxa" w:w="30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C6 Stands · C7 Bundle re-engineering · C4 Mouse pads</w:t>
            </w:r>
          </w:p>
        </w:tc>
        <w:tc>
          <w:tcPr>
            <w:tcW w:type="dxa" w:w="22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Stop the margin bleed; bank fast AOV with no new development</w:t>
            </w:r>
          </w:p>
        </w:tc>
        <w:tc>
          <w:tcPr>
            <w:tcW w:type="dxa" w:w="20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CM2 %, AOV</w:t>
            </w:r>
          </w:p>
        </w:tc>
      </w:tr>
      <w:tr>
        <w:tc>
          <w:tcPr>
            <w:tcW w:type="dxa" w:w="15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7C5236"/>
                <w:sz w:val="19"/>
                <w:szCs w:val="19"/>
              </w:rPr>
              <w:t xml:space="preserve">H2 · 3–6 mo</w:t>
            </w:r>
          </w:p>
        </w:tc>
        <w:tc>
          <w:tcPr>
            <w:tcW w:type="dxa" w:w="30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C2 Premium deskpad · C1 Bar Organiser premium/modular · C5 Valet tray</w:t>
            </w:r>
          </w:p>
        </w:tc>
        <w:tc>
          <w:tcPr>
            <w:tcW w:type="dxa" w:w="22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Premiumise heroes; complete storage gap</w:t>
            </w:r>
          </w:p>
        </w:tc>
        <w:tc>
          <w:tcPr>
            <w:tcW w:type="dxa" w:w="20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AOV, premium mix %</w:t>
            </w:r>
          </w:p>
        </w:tc>
      </w:tr>
      <w:tr>
        <w:tc>
          <w:tcPr>
            <w:tcW w:type="dxa" w:w="15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H3 · 6–12 mo</w:t>
            </w:r>
          </w:p>
        </w:tc>
        <w:tc>
          <w:tcPr>
            <w:tcW w:type="dxa" w:w="30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C3 Snap-On modular system · C8 Cable &amp; charging</w:t>
            </w:r>
          </w:p>
        </w:tc>
        <w:tc>
          <w:tcPr>
            <w:tcW w:type="dxa" w:w="22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Build the compounding attach flywheel</w:t>
            </w:r>
          </w:p>
        </w:tc>
        <w:tc>
          <w:tcPr>
            <w:tcW w:type="dxa" w:w="20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Attach rate, repeat, LTV</w:t>
            </w:r>
          </w:p>
        </w:tc>
      </w:tr>
    </w:tbl>
    <w:p>
      <w:pPr>
        <w:spacing w:after="80"/>
      </w:pPr>
    </w:p>
    <w:p>
      <w:pPr>
        <w:pStyle w:val="Heading2"/>
        <w:spacing w:after="80" w:before="200"/>
      </w:pPr>
      <w:r>
        <w:rPr>
          <w:rFonts w:ascii="Arial" w:cs="Arial" w:eastAsia="Arial" w:hAnsi="Arial"/>
          <w:b/>
          <w:bCs/>
          <w:color w:val="7C5236"/>
          <w:sz w:val="22"/>
          <w:szCs w:val="22"/>
        </w:rPr>
        <w:t xml:space="preserve">4.2  Impact vs. effort</w:t>
      </w:r>
    </w:p>
    <w:tbl>
      <w:tblPr>
        <w:tblW w:type="dxa" w:w="8600"/>
        <w:tblBorders>
          <w:top w:val="single" w:color="D8D2CA" w:sz="2"/>
          <w:left w:val="none"/>
          <w:bottom w:val="single" w:color="D8D2CA" w:sz="2"/>
          <w:right w:val="none"/>
          <w:insideH w:val="single" w:color="D8D2CA" w:sz="2"/>
          <w:insideV w:val="none"/>
        </w:tblBorders>
      </w:tblPr>
      <w:tblGrid>
        <w:gridCol w:w="1400"/>
        <w:gridCol w:w="2400"/>
        <w:gridCol w:w="1600"/>
        <w:gridCol w:w="1600"/>
        <w:gridCol w:w="1600"/>
      </w:tblGrid>
      <w:tr>
        <w:trPr>
          <w:tblHeader/>
        </w:trPr>
        <w:tc>
          <w:tcPr>
            <w:tcW w:type="dxa" w:w="14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Concept</w:t>
            </w:r>
          </w:p>
        </w:tc>
        <w:tc>
          <w:tcPr>
            <w:tcW w:type="dxa" w:w="24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Role</w:t>
            </w:r>
          </w:p>
        </w:tc>
        <w:tc>
          <w:tcPr>
            <w:tcW w:type="dxa" w:w="1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Revenue impact</w:t>
            </w:r>
          </w:p>
        </w:tc>
        <w:tc>
          <w:tcPr>
            <w:tcW w:type="dxa" w:w="1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Dev effort</w:t>
            </w:r>
          </w:p>
        </w:tc>
        <w:tc>
          <w:tcPr>
            <w:tcW w:type="dxa" w:w="1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Priority</w:t>
            </w:r>
          </w:p>
        </w:tc>
      </w:tr>
      <w:tr>
        <w:tc>
          <w:tcPr>
            <w:tcW w:type="dxa" w:w="1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C6 Stands</w:t>
            </w:r>
          </w:p>
        </w:tc>
        <w:tc>
          <w:tcPr>
            <w:tcW w:type="dxa" w:w="24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AOV + completion</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High</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Very low</w:t>
            </w:r>
          </w:p>
        </w:tc>
        <w:tc>
          <w:tcPr>
            <w:tcW w:type="dxa" w:w="1600"/>
            <w:tcMar>
              <w:top w:type="dxa" w:w="60"/>
              <w:left w:type="dxa" w:w="110"/>
              <w:bottom w:type="dxa" w:w="60"/>
              <w:right w:type="dxa" w:w="110"/>
            </w:tcMar>
          </w:tcPr>
          <w:p>
            <w:pPr>
              <w:spacing w:after="20" w:line="240"/>
              <w:jc w:val="left"/>
            </w:pPr>
            <w:r>
              <w:rPr>
                <w:rFonts w:ascii="Arial" w:cs="Arial" w:eastAsia="Arial" w:hAnsi="Arial"/>
                <w:b/>
                <w:bCs/>
                <w:color w:val="2E7D32"/>
                <w:sz w:val="19"/>
                <w:szCs w:val="19"/>
              </w:rPr>
              <w:t xml:space="preserve">DO FIRST</w:t>
            </w:r>
          </w:p>
        </w:tc>
      </w:tr>
      <w:tr>
        <w:tc>
          <w:tcPr>
            <w:tcW w:type="dxa" w:w="14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C7 Bundles</w:t>
            </w:r>
          </w:p>
        </w:tc>
        <w:tc>
          <w:tcPr>
            <w:tcW w:type="dxa" w:w="24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Margin repair</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High</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Low</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2E7D32"/>
                <w:sz w:val="19"/>
                <w:szCs w:val="19"/>
              </w:rPr>
              <w:t xml:space="preserve">DO FIRST</w:t>
            </w:r>
          </w:p>
        </w:tc>
      </w:tr>
      <w:tr>
        <w:tc>
          <w:tcPr>
            <w:tcW w:type="dxa" w:w="1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C4 Mouse pads</w:t>
            </w:r>
          </w:p>
        </w:tc>
        <w:tc>
          <w:tcPr>
            <w:tcW w:type="dxa" w:w="24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Margin + entry</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7C5236"/>
                <w:sz w:val="19"/>
                <w:szCs w:val="19"/>
              </w:rPr>
              <w:t xml:space="preserve">Medium</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Low</w:t>
            </w:r>
          </w:p>
        </w:tc>
        <w:tc>
          <w:tcPr>
            <w:tcW w:type="dxa" w:w="1600"/>
            <w:tcMar>
              <w:top w:type="dxa" w:w="60"/>
              <w:left w:type="dxa" w:w="110"/>
              <w:bottom w:type="dxa" w:w="60"/>
              <w:right w:type="dxa" w:w="110"/>
            </w:tcMar>
          </w:tcPr>
          <w:p>
            <w:pPr>
              <w:spacing w:after="20" w:line="240"/>
              <w:jc w:val="left"/>
            </w:pPr>
            <w:r>
              <w:rPr>
                <w:rFonts w:ascii="Arial" w:cs="Arial" w:eastAsia="Arial" w:hAnsi="Arial"/>
                <w:b/>
                <w:bCs/>
                <w:color w:val="2E7D32"/>
                <w:sz w:val="19"/>
                <w:szCs w:val="19"/>
              </w:rPr>
              <w:t xml:space="preserve">DO FIRST</w:t>
            </w:r>
          </w:p>
        </w:tc>
      </w:tr>
      <w:tr>
        <w:tc>
          <w:tcPr>
            <w:tcW w:type="dxa" w:w="14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C2 Premium deskpad</w:t>
            </w:r>
          </w:p>
        </w:tc>
        <w:tc>
          <w:tcPr>
            <w:tcW w:type="dxa" w:w="24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Acq + margin</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High</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7C5236"/>
                <w:sz w:val="19"/>
                <w:szCs w:val="19"/>
              </w:rPr>
              <w:t xml:space="preserve">Medium</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Next</w:t>
            </w:r>
          </w:p>
        </w:tc>
      </w:tr>
      <w:tr>
        <w:tc>
          <w:tcPr>
            <w:tcW w:type="dxa" w:w="1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C1 Bar Organiser</w:t>
            </w:r>
          </w:p>
        </w:tc>
        <w:tc>
          <w:tcPr>
            <w:tcW w:type="dxa" w:w="24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AOV anchor</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High</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7C5236"/>
                <w:sz w:val="19"/>
                <w:szCs w:val="19"/>
              </w:rPr>
              <w:t xml:space="preserve">Medium</w:t>
            </w:r>
          </w:p>
        </w:tc>
        <w:tc>
          <w:tcPr>
            <w:tcW w:type="dxa" w:w="1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Next</w:t>
            </w:r>
          </w:p>
        </w:tc>
      </w:tr>
      <w:tr>
        <w:tc>
          <w:tcPr>
            <w:tcW w:type="dxa" w:w="14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C5 Valet tray</w:t>
            </w:r>
          </w:p>
        </w:tc>
        <w:tc>
          <w:tcPr>
            <w:tcW w:type="dxa" w:w="24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Completion + gift</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7C5236"/>
                <w:sz w:val="19"/>
                <w:szCs w:val="19"/>
              </w:rPr>
              <w:t xml:space="preserve">Medium</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7C5236"/>
                <w:sz w:val="19"/>
                <w:szCs w:val="19"/>
              </w:rPr>
              <w:t xml:space="preserve">Medium</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Next</w:t>
            </w:r>
          </w:p>
        </w:tc>
      </w:tr>
      <w:tr>
        <w:tc>
          <w:tcPr>
            <w:tcW w:type="dxa" w:w="14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C3 Snap-On system</w:t>
            </w:r>
          </w:p>
        </w:tc>
        <w:tc>
          <w:tcPr>
            <w:tcW w:type="dxa" w:w="24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Attach flywheel</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2E7D32"/>
                <w:sz w:val="19"/>
                <w:szCs w:val="19"/>
              </w:rPr>
              <w:t xml:space="preserve">High (compounding)</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C0392B"/>
                <w:sz w:val="19"/>
                <w:szCs w:val="19"/>
              </w:rPr>
              <w:t xml:space="preserve">High</w:t>
            </w:r>
          </w:p>
        </w:tc>
        <w:tc>
          <w:tcPr>
            <w:tcW w:type="dxa" w:w="16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Build</w:t>
            </w:r>
          </w:p>
        </w:tc>
      </w:tr>
      <w:tr>
        <w:tc>
          <w:tcPr>
            <w:tcW w:type="dxa" w:w="14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C8 Cable &amp; charging</w:t>
            </w:r>
          </w:p>
        </w:tc>
        <w:tc>
          <w:tcPr>
            <w:tcW w:type="dxa" w:w="24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Attach + margin</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7C5236"/>
                <w:sz w:val="19"/>
                <w:szCs w:val="19"/>
              </w:rPr>
              <w:t xml:space="preserve">Medium</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7C5236"/>
                <w:sz w:val="19"/>
                <w:szCs w:val="19"/>
              </w:rPr>
              <w:t xml:space="preserve">Medium</w:t>
            </w:r>
          </w:p>
        </w:tc>
        <w:tc>
          <w:tcPr>
            <w:tcW w:type="dxa" w:w="16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Build</w:t>
            </w:r>
          </w:p>
        </w:tc>
      </w:tr>
    </w:tbl>
    <w:p>
      <w:pPr>
        <w:pStyle w:val="Heading1"/>
        <w:pBdr>
          <w:bottom w:val="single" w:color="A9744F" w:sz="12" w:space="6"/>
        </w:pBdr>
        <w:spacing w:after="140" w:before="320"/>
      </w:pPr>
      <w:r>
        <w:rPr>
          <w:rFonts w:ascii="Arial" w:cs="Arial" w:eastAsia="Arial" w:hAnsi="Arial"/>
          <w:b/>
          <w:bCs/>
          <w:color w:val="A9744F"/>
          <w:sz w:val="26"/>
          <w:szCs w:val="26"/>
        </w:rPr>
        <w:t xml:space="preserve">5  </w:t>
      </w:r>
      <w:r>
        <w:rPr>
          <w:rFonts w:ascii="Arial" w:cs="Arial" w:eastAsia="Arial" w:hAnsi="Arial"/>
          <w:b/>
          <w:bCs/>
          <w:color w:val="1A1A1A"/>
          <w:sz w:val="26"/>
          <w:szCs w:val="26"/>
        </w:rPr>
        <w:t xml:space="preserve">How the pipeline earns the target</w:t>
      </w:r>
    </w:p>
    <w:p>
      <w:pPr>
        <w:spacing w:after="120" w:line="264"/>
      </w:pPr>
      <w:r>
        <w:rPr>
          <w:rFonts w:ascii="Arial" w:cs="Arial" w:eastAsia="Arial" w:hAnsi="Arial"/>
          <w:color w:val="1A1A1A"/>
          <w:sz w:val="21"/>
          <w:szCs w:val="21"/>
        </w:rPr>
        <w:t xml:space="preserve">The category plan steps FY26’s ~₹13 Cr base to ₹26 Cr in FY27 — roughly ₹13 Cr of net-new. The pipeline earns that not by inventing demand, but by moving three levers the July data proves are movable. The split below is illustrative, to show where the growth is engineered to come from; refine against actuals as concepts launch.</w:t>
      </w:r>
    </w:p>
    <w:tbl>
      <w:tblPr>
        <w:tblW w:type="dxa" w:w="8600"/>
        <w:tblBorders>
          <w:top w:val="single" w:color="D8D2CA" w:sz="2"/>
          <w:left w:val="none"/>
          <w:bottom w:val="single" w:color="D8D2CA" w:sz="2"/>
          <w:right w:val="none"/>
          <w:insideH w:val="single" w:color="D8D2CA" w:sz="2"/>
          <w:insideV w:val="none"/>
        </w:tblBorders>
      </w:tblPr>
      <w:tblGrid>
        <w:gridCol w:w="2600"/>
        <w:gridCol w:w="2100"/>
        <w:gridCol w:w="3900"/>
      </w:tblGrid>
      <w:tr>
        <w:trPr>
          <w:tblHeader/>
        </w:trPr>
        <w:tc>
          <w:tcPr>
            <w:tcW w:type="dxa" w:w="2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Lever</w:t>
            </w:r>
          </w:p>
        </w:tc>
        <w:tc>
          <w:tcPr>
            <w:tcW w:type="dxa" w:w="21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Illustrative share of the ₹~13 Cr uplift</w:t>
            </w:r>
          </w:p>
        </w:tc>
        <w:tc>
          <w:tcPr>
            <w:tcW w:type="dxa" w:w="39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Concepts that drive it</w:t>
            </w:r>
          </w:p>
        </w:tc>
      </w:tr>
      <w:tr>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Higher AOV / basket</w:t>
            </w:r>
          </w:p>
        </w:tc>
        <w:tc>
          <w:tcPr>
            <w:tcW w:type="dxa" w:w="21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~45%</w:t>
            </w:r>
          </w:p>
        </w:tc>
        <w:tc>
          <w:tcPr>
            <w:tcW w:type="dxa" w:w="39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C1 Bar Organiser, C2 premium deskpad, C6 stands — trade the ~₹945 AOV up the ladder</w:t>
            </w:r>
          </w:p>
        </w:tc>
      </w:tr>
      <w:tr>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Attach &amp; repeat</w:t>
            </w:r>
          </w:p>
        </w:tc>
        <w:tc>
          <w:tcPr>
            <w:tcW w:type="dxa" w:w="21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~30%</w:t>
            </w:r>
          </w:p>
        </w:tc>
        <w:tc>
          <w:tcPr>
            <w:tcW w:type="dxa" w:w="39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C3 Snap-On system, C4 mouse pads, C8 cable — 2–3 coordinated items per basket</w:t>
            </w:r>
          </w:p>
        </w:tc>
      </w:tr>
      <w:tr>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Margin recovery (reinvested)</w:t>
            </w:r>
          </w:p>
        </w:tc>
        <w:tc>
          <w:tcPr>
            <w:tcW w:type="dxa" w:w="21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~15%</w:t>
            </w:r>
          </w:p>
        </w:tc>
        <w:tc>
          <w:tcPr>
            <w:tcW w:type="dxa" w:w="39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C7 bundle fix, C2/C4 margin tiers — lift CM2 from 7.7% so spend can scale profitably</w:t>
            </w:r>
          </w:p>
        </w:tc>
      </w:tr>
      <w:tr>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System completion / new lines</w:t>
            </w:r>
          </w:p>
        </w:tc>
        <w:tc>
          <w:tcPr>
            <w:tcW w:type="dxa" w:w="21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~10%</w:t>
            </w:r>
          </w:p>
        </w:tc>
        <w:tc>
          <w:tcPr>
            <w:tcW w:type="dxa" w:w="39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C5 valet &amp; storage — net-new occasions and gifting</w:t>
            </w:r>
          </w:p>
        </w:tc>
      </w:tr>
    </w:tbl>
    <w:p>
      <w:pPr>
        <w:spacing w:after="120" w:before="60"/>
      </w:pPr>
      <w:r>
        <w:rPr>
          <w:rFonts w:ascii="Arial" w:cs="Arial" w:eastAsia="Arial" w:hAnsi="Arial"/>
          <w:i/>
          <w:iCs/>
          <w:color w:val="6B6B6B"/>
          <w:sz w:val="16"/>
          <w:szCs w:val="16"/>
        </w:rPr>
        <w:t xml:space="preserve">Illustrative allocation for planning only — not a forecast. Anchored to the FY26→FY27 step in the Desks category workbook.</w:t>
      </w:r>
    </w:p>
    <w:p>
      <w:pPr>
        <w:pStyle w:val="Heading1"/>
        <w:pBdr>
          <w:bottom w:val="single" w:color="A9744F" w:sz="12" w:space="6"/>
        </w:pBdr>
        <w:spacing w:after="140" w:before="320"/>
      </w:pPr>
      <w:r>
        <w:rPr>
          <w:rFonts w:ascii="Arial" w:cs="Arial" w:eastAsia="Arial" w:hAnsi="Arial"/>
          <w:b/>
          <w:bCs/>
          <w:color w:val="A9744F"/>
          <w:sz w:val="26"/>
          <w:szCs w:val="26"/>
        </w:rPr>
        <w:t xml:space="preserve">6  </w:t>
      </w:r>
      <w:r>
        <w:rPr>
          <w:rFonts w:ascii="Arial" w:cs="Arial" w:eastAsia="Arial" w:hAnsi="Arial"/>
          <w:b/>
          <w:bCs/>
          <w:color w:val="1A1A1A"/>
          <w:sz w:val="26"/>
          <w:szCs w:val="26"/>
        </w:rPr>
        <w:t xml:space="preserve">Go / No-Go gate for every concept</w:t>
      </w:r>
    </w:p>
    <w:p>
      <w:pPr>
        <w:spacing w:after="120" w:line="264"/>
      </w:pPr>
      <w:r>
        <w:rPr>
          <w:rFonts w:ascii="Arial" w:cs="Arial" w:eastAsia="Arial" w:hAnsi="Arial"/>
          <w:color w:val="1A1A1A"/>
          <w:sz w:val="21"/>
          <w:szCs w:val="21"/>
        </w:rPr>
        <w:t xml:space="preserve">No concept moves from brief to development until it clears all five gates. This is how the pipeline avoids repeating the thin-margin, over-concentration problem it exists to fix.</w:t>
      </w:r>
    </w:p>
    <w:tbl>
      <w:tblPr>
        <w:tblW w:type="dxa" w:w="8300"/>
        <w:tblBorders>
          <w:top w:val="single" w:color="D8D2CA" w:sz="2"/>
          <w:left w:val="none"/>
          <w:bottom w:val="single" w:color="D8D2CA" w:sz="2"/>
          <w:right w:val="none"/>
          <w:insideH w:val="single" w:color="D8D2CA" w:sz="2"/>
          <w:insideV w:val="none"/>
        </w:tblBorders>
      </w:tblPr>
      <w:tblGrid>
        <w:gridCol w:w="700"/>
        <w:gridCol w:w="2600"/>
        <w:gridCol w:w="5000"/>
      </w:tblGrid>
      <w:tr>
        <w:trPr>
          <w:tblHeader/>
        </w:trPr>
        <w:tc>
          <w:tcPr>
            <w:tcW w:type="dxa" w:w="7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w:t>
            </w:r>
          </w:p>
        </w:tc>
        <w:tc>
          <w:tcPr>
            <w:tcW w:type="dxa" w:w="26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Gate</w:t>
            </w:r>
          </w:p>
        </w:tc>
        <w:tc>
          <w:tcPr>
            <w:tcW w:type="dxa" w:w="5000"/>
            <w:shd w:fill="1A1A1A" w:color="auto" w:val="clear"/>
            <w:tcMar>
              <w:top w:type="dxa" w:w="60"/>
              <w:left w:type="dxa" w:w="110"/>
              <w:bottom w:type="dxa" w:w="60"/>
              <w:right w:type="dxa" w:w="110"/>
            </w:tcMar>
          </w:tcPr>
          <w:p>
            <w:pPr>
              <w:spacing w:after="20" w:line="240"/>
              <w:jc w:val="left"/>
            </w:pPr>
            <w:r>
              <w:rPr>
                <w:rFonts w:ascii="Arial" w:cs="Arial" w:eastAsia="Arial" w:hAnsi="Arial"/>
                <w:b/>
                <w:bCs/>
                <w:color w:val="FFFFFF"/>
                <w:sz w:val="18"/>
                <w:szCs w:val="18"/>
              </w:rPr>
              <w:t xml:space="preserve">Pass condition</w:t>
            </w:r>
          </w:p>
        </w:tc>
      </w:tr>
      <w:tr>
        <w:tc>
          <w:tcPr>
            <w:tcW w:type="dxa" w:w="7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1</w:t>
            </w:r>
          </w:p>
        </w:tc>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Margin floor</w:t>
            </w:r>
          </w:p>
        </w:tc>
        <w:tc>
          <w:tcPr>
            <w:tcW w:type="dxa" w:w="50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Modelled CM2 clears the concept’s floor (≥30% add-ons / ≥20% mats &amp; heroes / ≥15% bundles) at target price and realistic ad load.</w:t>
            </w:r>
          </w:p>
        </w:tc>
      </w:tr>
      <w:tr>
        <w:tc>
          <w:tcPr>
            <w:tcW w:type="dxa" w:w="7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2</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Design differentiation</w:t>
            </w:r>
          </w:p>
        </w:tc>
        <w:tc>
          <w:tcPr>
            <w:tcW w:type="dxa" w:w="50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Visibly premium vs mass plastic on material &amp; finish; passes a side-by-side with the mass tier.</w:t>
            </w:r>
          </w:p>
        </w:tc>
      </w:tr>
      <w:tr>
        <w:tc>
          <w:tcPr>
            <w:tcW w:type="dxa" w:w="7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3</w:t>
            </w:r>
          </w:p>
        </w:tc>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System coordination</w:t>
            </w:r>
          </w:p>
        </w:tc>
        <w:tc>
          <w:tcPr>
            <w:tcW w:type="dxa" w:w="50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Uses the shared colour/material palette and pairs with ≥1 existing hero to drive attach.</w:t>
            </w:r>
          </w:p>
        </w:tc>
      </w:tr>
      <w:tr>
        <w:tc>
          <w:tcPr>
            <w:tcW w:type="dxa" w:w="7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4</w:t>
            </w:r>
          </w:p>
        </w:tc>
        <w:tc>
          <w:tcPr>
            <w:tcW w:type="dxa" w:w="2600"/>
            <w:shd w:fill="F3F0EC" w:color="auto" w:val="clear"/>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Channel readiness</w:t>
            </w:r>
          </w:p>
        </w:tc>
        <w:tc>
          <w:tcPr>
            <w:tcW w:type="dxa" w:w="5000"/>
            <w:shd w:fill="F3F0EC" w:color="auto" w:val="clear"/>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Packaging, weight &amp; content viable for the AZ VC margin engine, not D2C-only.</w:t>
            </w:r>
          </w:p>
        </w:tc>
      </w:tr>
      <w:tr>
        <w:tc>
          <w:tcPr>
            <w:tcW w:type="dxa" w:w="7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5</w:t>
            </w:r>
          </w:p>
        </w:tc>
        <w:tc>
          <w:tcPr>
            <w:tcW w:type="dxa" w:w="2600"/>
            <w:tcMar>
              <w:top w:type="dxa" w:w="60"/>
              <w:left w:type="dxa" w:w="110"/>
              <w:bottom w:type="dxa" w:w="60"/>
              <w:right w:type="dxa" w:w="110"/>
            </w:tcMar>
          </w:tcPr>
          <w:p>
            <w:pPr>
              <w:spacing w:after="20" w:line="240"/>
              <w:jc w:val="left"/>
            </w:pPr>
            <w:r>
              <w:rPr>
                <w:rFonts w:ascii="Arial" w:cs="Arial" w:eastAsia="Arial" w:hAnsi="Arial"/>
                <w:b/>
                <w:bCs/>
                <w:color w:val="1A1A1A"/>
                <w:sz w:val="19"/>
                <w:szCs w:val="19"/>
              </w:rPr>
              <w:t xml:space="preserve">Trigger &amp; moment</w:t>
            </w:r>
          </w:p>
        </w:tc>
        <w:tc>
          <w:tcPr>
            <w:tcW w:type="dxa" w:w="5000"/>
            <w:tcMar>
              <w:top w:type="dxa" w:w="60"/>
              <w:left w:type="dxa" w:w="110"/>
              <w:bottom w:type="dxa" w:w="60"/>
              <w:right w:type="dxa" w:w="110"/>
            </w:tcMar>
          </w:tcPr>
          <w:p>
            <w:pPr>
              <w:spacing w:after="20" w:line="240"/>
              <w:jc w:val="left"/>
            </w:pPr>
            <w:r>
              <w:rPr>
                <w:rFonts w:ascii="Arial" w:cs="Arial" w:eastAsia="Arial" w:hAnsi="Arial"/>
                <w:b w:val="false"/>
                <w:bCs w:val="false"/>
                <w:color w:val="1A1A1A"/>
                <w:sz w:val="19"/>
                <w:szCs w:val="19"/>
              </w:rPr>
              <w:t xml:space="preserve">Mapped to a purchase trigger with a deliberate launch window (New-Year reset / setup / gifting).</w:t>
            </w:r>
          </w:p>
        </w:tc>
      </w:tr>
    </w:tbl>
    <w:p>
      <w:pPr>
        <w:pStyle w:val="Heading1"/>
        <w:pBdr>
          <w:bottom w:val="single" w:color="A9744F" w:sz="12" w:space="6"/>
        </w:pBdr>
        <w:spacing w:after="140" w:before="320"/>
      </w:pPr>
      <w:r>
        <w:rPr>
          <w:rFonts w:ascii="Arial" w:cs="Arial" w:eastAsia="Arial" w:hAnsi="Arial"/>
          <w:b/>
          <w:bCs/>
          <w:color w:val="A9744F"/>
          <w:sz w:val="26"/>
          <w:szCs w:val="26"/>
        </w:rPr>
        <w:t xml:space="preserve">7  </w:t>
      </w:r>
      <w:r>
        <w:rPr>
          <w:rFonts w:ascii="Arial" w:cs="Arial" w:eastAsia="Arial" w:hAnsi="Arial"/>
          <w:b/>
          <w:bCs/>
          <w:color w:val="1A1A1A"/>
          <w:sz w:val="26"/>
          <w:szCs w:val="26"/>
        </w:rPr>
        <w:t xml:space="preserve">Governance &amp; next steps</w:t>
      </w:r>
    </w:p>
    <w:p>
      <w:pPr>
        <w:pStyle w:val="ListParagraph"/>
        <w:numPr>
          <w:ilvl w:val="0"/>
          <w:numId w:val="2"/>
        </w:numPr>
        <w:spacing w:after="60" w:line="260"/>
      </w:pPr>
      <w:r>
        <w:rPr>
          <w:rFonts w:ascii="Arial" w:cs="Arial" w:eastAsia="Arial" w:hAnsi="Arial"/>
          <w:b/>
          <w:bCs/>
          <w:sz w:val="21"/>
          <w:szCs w:val="21"/>
        </w:rPr>
        <w:t xml:space="preserve">Lock H1 now. </w:t>
      </w:r>
      <w:r>
        <w:rPr>
          <w:rFonts w:ascii="Arial" w:cs="Arial" w:eastAsia="Arial" w:hAnsi="Arial"/>
          <w:sz w:val="21"/>
          <w:szCs w:val="21"/>
        </w:rPr>
        <w:t xml:space="preserve">Approve C6 (stands), C7 (bundle re-engineering) and C4 (mouse pads) for immediate execution — they need coordination and re-costing, not new development, and directly repair the CM2 problem.</w:t>
      </w:r>
    </w:p>
    <w:p>
      <w:pPr>
        <w:pStyle w:val="ListParagraph"/>
        <w:numPr>
          <w:ilvl w:val="0"/>
          <w:numId w:val="2"/>
        </w:numPr>
        <w:spacing w:after="60" w:line="260"/>
      </w:pPr>
      <w:r>
        <w:rPr>
          <w:rFonts w:ascii="Arial" w:cs="Arial" w:eastAsia="Arial" w:hAnsi="Arial"/>
          <w:b/>
          <w:bCs/>
          <w:sz w:val="21"/>
          <w:szCs w:val="21"/>
        </w:rPr>
        <w:t xml:space="preserve">Cost &amp; gate H2. </w:t>
      </w:r>
      <w:r>
        <w:rPr>
          <w:rFonts w:ascii="Arial" w:cs="Arial" w:eastAsia="Arial" w:hAnsi="Arial"/>
          <w:sz w:val="21"/>
          <w:szCs w:val="21"/>
        </w:rPr>
        <w:t xml:space="preserve">Brief sourcing on C1, C2 and C5 against their margin floors; only concepts that pass all five gates enter development.</w:t>
      </w:r>
    </w:p>
    <w:p>
      <w:pPr>
        <w:pStyle w:val="ListParagraph"/>
        <w:numPr>
          <w:ilvl w:val="0"/>
          <w:numId w:val="2"/>
        </w:numPr>
        <w:spacing w:after="60" w:line="260"/>
      </w:pPr>
      <w:r>
        <w:rPr>
          <w:rFonts w:ascii="Arial" w:cs="Arial" w:eastAsia="Arial" w:hAnsi="Arial"/>
          <w:b/>
          <w:bCs/>
          <w:sz w:val="21"/>
          <w:szCs w:val="21"/>
        </w:rPr>
        <w:t xml:space="preserve">Prototype H3. </w:t>
      </w:r>
      <w:r>
        <w:rPr>
          <w:rFonts w:ascii="Arial" w:cs="Arial" w:eastAsia="Arial" w:hAnsi="Arial"/>
          <w:sz w:val="21"/>
          <w:szCs w:val="21"/>
        </w:rPr>
        <w:t xml:space="preserve">Begin design on the Snap-On modular platform (C3) — the highest-effort, highest-compounding play — so it is launch-ready for the next New-Year reset.</w:t>
      </w:r>
    </w:p>
    <w:p>
      <w:pPr>
        <w:pStyle w:val="ListParagraph"/>
        <w:numPr>
          <w:ilvl w:val="0"/>
          <w:numId w:val="2"/>
        </w:numPr>
        <w:spacing w:after="60" w:line="260"/>
      </w:pPr>
      <w:r>
        <w:rPr>
          <w:rFonts w:ascii="Arial" w:cs="Arial" w:eastAsia="Arial" w:hAnsi="Arial"/>
          <w:b/>
          <w:bCs/>
          <w:sz w:val="21"/>
          <w:szCs w:val="21"/>
        </w:rPr>
        <w:t xml:space="preserve">Instrument margin. </w:t>
      </w:r>
      <w:r>
        <w:rPr>
          <w:rFonts w:ascii="Arial" w:cs="Arial" w:eastAsia="Arial" w:hAnsi="Arial"/>
          <w:sz w:val="21"/>
          <w:szCs w:val="21"/>
        </w:rPr>
        <w:t xml:space="preserve">Bring stands into the Desks P&amp;L and track CM2 and attach rate per concept from launch, so the illustrative revenue split in Section 5 becomes measured.</w:t>
      </w:r>
    </w:p>
    <w:p>
      <w:pPr>
        <w:spacing w:after="120"/>
      </w:pPr>
    </w:p>
    <w:p>
      <w:pPr>
        <w:pBdr>
          <w:top w:val="single" w:color="D8D2CA" w:sz="8" w:space="8"/>
        </w:pBdr>
        <w:spacing w:after="60" w:before="200"/>
      </w:pPr>
      <w:r>
        <w:rPr>
          <w:rFonts w:ascii="Arial" w:cs="Arial" w:eastAsia="Arial" w:hAnsi="Arial"/>
          <w:b/>
          <w:bCs/>
          <w:color w:val="6B6B6B"/>
          <w:sz w:val="18"/>
          <w:szCs w:val="18"/>
        </w:rPr>
        <w:t xml:space="preserve">Sources &amp; evidence</w:t>
      </w:r>
    </w:p>
    <w:p>
      <w:pPr>
        <w:spacing w:after="30"/>
      </w:pPr>
      <w:r>
        <w:rPr>
          <w:rFonts w:ascii="Arial" w:cs="Arial" w:eastAsia="Arial" w:hAnsi="Arial"/>
          <w:color w:val="6B6B6B"/>
          <w:sz w:val="16"/>
          <w:szCs w:val="16"/>
        </w:rPr>
        <w:t xml:space="preserve">• July 2026 Desks P&amp;L (corrected), 4,230 order lines — revenue, margin, AOV and ROAS by platform, sub-category and SKU.</w:t>
      </w:r>
    </w:p>
    <w:p>
      <w:pPr>
        <w:spacing w:after="30"/>
      </w:pPr>
      <w:r>
        <w:rPr>
          <w:rFonts w:ascii="Arial" w:cs="Arial" w:eastAsia="Arial" w:hAnsi="Arial"/>
          <w:color w:val="6B6B6B"/>
          <w:sz w:val="16"/>
          <w:szCs w:val="16"/>
        </w:rPr>
        <w:t xml:space="preserve">• DailyObjects Desks — 3-Year category workbook — TAM/SAM, TG sizing, competition and marketing strategy (FY27–FY29).</w:t>
      </w:r>
    </w:p>
    <w:p>
      <w:pPr>
        <w:spacing w:after="30"/>
      </w:pPr>
      <w:r>
        <w:rPr>
          <w:rFonts w:ascii="Arial" w:cs="Arial" w:eastAsia="Arial" w:hAnsi="Arial"/>
          <w:color w:val="6B6B6B"/>
          <w:sz w:val="16"/>
          <w:szCs w:val="16"/>
        </w:rPr>
        <w:t xml:space="preserve">• Live catalogue — dailyobjects.com Desk Organisers PLP &amp; Stands range.</w:t>
      </w:r>
    </w:p>
    <w:sectPr>
      <w:headerReference w:type="default" r:id="rId7"/>
      <w:footerReference w:type="default" r:id="rId8"/>
      <w:pgSz w:w="11906" w:h="16838" w:orient="portrait"/>
      <w:pgMar w:top="10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B6B6B"/>
        <w:sz w:val="15"/>
        <w:szCs w:val="15"/>
      </w:rPr>
      <w:t xml:space="preserve">Confidential · FY27 planning · page </w:t>
    </w:r>
    <w:r>
      <w:rPr>
        <w:rFonts w:ascii="Arial" w:cs="Arial" w:eastAsia="Arial" w:hAnsi="Arial"/>
        <w:color w:val="6B6B6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2CA" w:sz="4" w:space="4"/>
      </w:pBdr>
      <w:jc w:val="right"/>
    </w:pPr>
    <w:r>
      <w:rPr>
        <w:rFonts w:ascii="Arial" w:cs="Arial" w:eastAsia="Arial" w:hAnsi="Arial"/>
        <w:color w:val="6B6B6B"/>
        <w:sz w:val="15"/>
        <w:szCs w:val="15"/>
      </w:rPr>
      <w:t xml:space="preserve">DailyObjects · Desks NPD Briefing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A9744F"/>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Desks NPD Briefing</dc:title>
  <dc:creator>DailyObjects</dc:creator>
  <dc:description>New Product Development briefing for the Desks category</dc:description>
  <cp:lastModifiedBy>Un-named</cp:lastModifiedBy>
  <cp:revision>1</cp:revision>
  <dcterms:created xsi:type="dcterms:W3CDTF">2026-08-05T12:11:44.232Z</dcterms:created>
  <dcterms:modified xsi:type="dcterms:W3CDTF">2026-08-05T12:11:44.234Z</dcterms:modified>
</cp:coreProperties>
</file>

<file path=docProps/custom.xml><?xml version="1.0" encoding="utf-8"?>
<Properties xmlns="http://schemas.openxmlformats.org/officeDocument/2006/custom-properties" xmlns:vt="http://schemas.openxmlformats.org/officeDocument/2006/docPropsVTypes"/>
</file>