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Calibri" w:hAnsi="Calibri"/>
          <w:b/>
          <w:color w:val="2E5AAC"/>
          <w:sz w:val="17"/>
        </w:rPr>
        <w:t>PERFORMANCE MARKETING · MONTHLY PLAN</w:t>
      </w:r>
    </w:p>
    <w:p>
      <w:r>
        <w:rPr>
          <w:b/>
          <w:color w:val="1F2A44"/>
          <w:sz w:val="44"/>
        </w:rPr>
        <w:t>DailyObjects — August 2026 D2C Revenue Plan</w:t>
      </w:r>
    </w:p>
    <w:p>
      <w:r>
        <w:rPr>
          <w:color w:val="555555"/>
          <w:sz w:val="22"/>
        </w:rPr>
        <w:t>Hit ₹10.5 cr at maximum ROAS efficiency by shifting the new-vs-repeat mix and tilting spend to high-LTV categories.</w:t>
      </w:r>
    </w:p>
    <w:p>
      <w:r>
        <w:rPr>
          <w:color w:val="555555"/>
          <w:sz w:val="18"/>
        </w:rPr>
        <w:t>Prepared 05 Aug 2026   ·   Baseline: Meta + D2C tracker, June/July 2026   ·   ROAS bar to hold: 3.28x (Aug 1–4)</w:t>
      </w:r>
    </w:p>
    <w:p/>
    <w:p>
      <w:pPr>
        <w:spacing w:before="200" w:after="80"/>
      </w:pPr>
      <w:r>
        <w:rPr>
          <w:b/>
          <w:color w:val="1F2A44"/>
          <w:sz w:val="30"/>
        </w:rPr>
        <w:t>1.  The August goal</w:t>
      </w:r>
    </w:p>
    <w:p>
      <w:pPr>
        <w:spacing w:after="120"/>
      </w:pPr>
      <w:r>
        <w:rPr>
          <w:b w:val="0"/>
          <w:sz w:val="21"/>
        </w:rPr>
        <w:t>The plan is a hold-and-optimise month: match July's topline at a better blended ROAS. The lever is mix — move order share from 54% new / 46% repeat (July) to 46% new / 54% repeat, because repeat traffic converts 2.4× better and needs paid media on only ~35% of orders.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E5AAC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2160"/>
            <w:shd w:val="clear" w:fill="2E5AAC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July 2026 actual</w:t>
            </w:r>
          </w:p>
        </w:tc>
        <w:tc>
          <w:tcPr>
            <w:tcW w:type="dxa" w:w="2160"/>
            <w:shd w:val="clear" w:fill="2E5AAC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August target</w:t>
            </w:r>
          </w:p>
        </w:tc>
        <w:tc>
          <w:tcPr>
            <w:tcW w:type="dxa" w:w="2160"/>
            <w:shd w:val="clear" w:fill="2E5AAC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Δ vs July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9"/>
              </w:rPr>
              <w:t>Total D2C revenue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₹10.81 cr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₹10.50 cr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2E7D46"/>
                <w:sz w:val="19"/>
              </w:rPr>
              <w:t>−3%</w:t>
            </w:r>
          </w:p>
        </w:tc>
      </w:tr>
      <w:tr>
        <w:tc>
          <w:tcPr>
            <w:tcW w:type="dxa" w:w="2160"/>
            <w:shd w:val="clear" w:fill="F2F2F2"/>
          </w:tcPr>
          <w:p>
            <w:pPr>
              <w:jc w:val="left"/>
            </w:pPr>
            <w:r/>
            <w:r>
              <w:rPr>
                <w:b/>
                <w:sz w:val="19"/>
              </w:rPr>
              <w:t>Total orders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42,138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40,626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color w:val="2E7D46"/>
                <w:sz w:val="19"/>
              </w:rPr>
              <w:t>−4%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9"/>
              </w:rPr>
              <w:t>New orders (users)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22,727  (3.67 M)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18,762  (2.97 M)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2E7D46"/>
                <w:sz w:val="19"/>
              </w:rPr>
              <w:t>−17% ord</w:t>
            </w:r>
          </w:p>
        </w:tc>
      </w:tr>
      <w:tr>
        <w:tc>
          <w:tcPr>
            <w:tcW w:type="dxa" w:w="2160"/>
            <w:shd w:val="clear" w:fill="F2F2F2"/>
          </w:tcPr>
          <w:p>
            <w:pPr>
              <w:jc w:val="left"/>
            </w:pPr>
            <w:r/>
            <w:r>
              <w:rPr>
                <w:b/>
                <w:sz w:val="19"/>
              </w:rPr>
              <w:t>Repeat orders (users)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19,411  (1.31 M)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21,864  (1.43 M)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color w:val="2E7D46"/>
                <w:sz w:val="19"/>
              </w:rPr>
              <w:t>+13% ord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9"/>
              </w:rPr>
              <w:t>Order mix new / repeat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54% / 46%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46% / 54%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2E7D46"/>
                <w:sz w:val="19"/>
              </w:rPr>
              <w:t>tilt to repeat</w:t>
            </w:r>
          </w:p>
        </w:tc>
      </w:tr>
      <w:tr>
        <w:tc>
          <w:tcPr>
            <w:tcW w:type="dxa" w:w="2160"/>
            <w:shd w:val="clear" w:fill="F2F2F2"/>
          </w:tcPr>
          <w:p>
            <w:pPr>
              <w:jc w:val="left"/>
            </w:pPr>
            <w:r/>
            <w:r>
              <w:rPr>
                <w:b/>
                <w:sz w:val="19"/>
              </w:rPr>
              <w:t>Meta spend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₹2.67 cr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₹2.36 cr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color w:val="2E7D46"/>
                <w:sz w:val="19"/>
              </w:rPr>
              <w:t>−12%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9"/>
              </w:rPr>
              <w:t>Blended Meta ROAS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3.01x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3.39x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2E7D46"/>
                <w:sz w:val="19"/>
              </w:rPr>
              <w:t>+0.38x</w:t>
            </w:r>
          </w:p>
        </w:tc>
      </w:tr>
      <w:tr>
        <w:tc>
          <w:tcPr>
            <w:tcW w:type="dxa" w:w="2160"/>
            <w:shd w:val="clear" w:fill="F2F2F2"/>
          </w:tcPr>
          <w:p>
            <w:pPr>
              <w:jc w:val="left"/>
            </w:pPr>
            <w:r/>
            <w:r>
              <w:rPr>
                <w:b/>
                <w:sz w:val="19"/>
              </w:rPr>
              <w:t>New CAC / Repeat cost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₹903 / ₹865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₹880 / ₹865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color w:val="2E7D46"/>
                <w:sz w:val="19"/>
              </w:rPr>
              <w:t>hold</w:t>
            </w:r>
          </w:p>
        </w:tc>
      </w:tr>
    </w:tbl>
    <w:p>
      <w:pPr>
        <w:spacing w:before="200" w:after="80"/>
      </w:pPr>
      <w:r>
        <w:rPr>
          <w:b/>
          <w:color w:val="1F2A44"/>
          <w:sz w:val="30"/>
        </w:rPr>
        <w:t>2.  New vs repeat — the target build</w:t>
      </w:r>
    </w:p>
    <w:p>
      <w:pPr>
        <w:spacing w:after="120"/>
      </w:pPr>
      <w:r>
        <w:rPr>
          <w:b w:val="0"/>
          <w:sz w:val="21"/>
        </w:rPr>
        <w:t>Working backwards from ₹10.5 cr. Users = orders ÷ conversion rate (from the daily new-vs-repeat tracker, web+app).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2A44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Driver</w:t>
            </w:r>
          </w:p>
        </w:tc>
        <w:tc>
          <w:tcPr>
            <w:tcW w:type="dxa" w:w="2160"/>
            <w:shd w:val="clear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New</w:t>
            </w:r>
          </w:p>
        </w:tc>
        <w:tc>
          <w:tcPr>
            <w:tcW w:type="dxa" w:w="2160"/>
            <w:shd w:val="clear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Repeat</w:t>
            </w:r>
          </w:p>
        </w:tc>
        <w:tc>
          <w:tcPr>
            <w:tcW w:type="dxa" w:w="2160"/>
            <w:shd w:val="clear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Total / blended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9"/>
              </w:rPr>
              <w:t>Orders required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18,762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21,864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40,626</w:t>
            </w:r>
          </w:p>
        </w:tc>
      </w:tr>
      <w:tr>
        <w:tc>
          <w:tcPr>
            <w:tcW w:type="dxa" w:w="2160"/>
            <w:shd w:val="clear" w:fill="F2F2F2"/>
          </w:tcPr>
          <w:p>
            <w:pPr>
              <w:jc w:val="left"/>
            </w:pPr>
            <w:r/>
            <w:r>
              <w:rPr>
                <w:b/>
                <w:sz w:val="19"/>
              </w:rPr>
              <w:t>Segment AOV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₹2,450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₹2,700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₹2,575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9"/>
              </w:rPr>
              <w:t>Revenue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₹4.60 cr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₹5.90 cr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₹10.50 cr</w:t>
            </w:r>
          </w:p>
        </w:tc>
      </w:tr>
      <w:tr>
        <w:tc>
          <w:tcPr>
            <w:tcW w:type="dxa" w:w="2160"/>
            <w:shd w:val="clear" w:fill="F2F2F2"/>
          </w:tcPr>
          <w:p>
            <w:pPr>
              <w:jc w:val="left"/>
            </w:pPr>
            <w:r/>
            <w:r>
              <w:rPr>
                <w:b/>
                <w:sz w:val="19"/>
              </w:rPr>
              <w:t>Conversion rate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0.63%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1.53%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9"/>
              </w:rPr>
              <w:t>Users required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2,968,515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1,429,878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4,398,393</w:t>
            </w:r>
          </w:p>
        </w:tc>
      </w:tr>
      <w:tr>
        <w:tc>
          <w:tcPr>
            <w:tcW w:type="dxa" w:w="2160"/>
            <w:shd w:val="clear" w:fill="F2F2F2"/>
          </w:tcPr>
          <w:p>
            <w:pPr>
              <w:jc w:val="left"/>
            </w:pPr>
            <w:r/>
            <w:r>
              <w:rPr>
                <w:b/>
                <w:sz w:val="19"/>
              </w:rPr>
              <w:t>Cost per order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₹903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₹865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9"/>
              </w:rPr>
              <w:t>Marketing spend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₹1.69 cr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₹0.66 cr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₹2.36 cr</w:t>
            </w:r>
          </w:p>
        </w:tc>
      </w:tr>
      <w:tr>
        <w:tc>
          <w:tcPr>
            <w:tcW w:type="dxa" w:w="2160"/>
            <w:shd w:val="clear" w:fill="F2F2F2"/>
          </w:tcPr>
          <w:p>
            <w:pPr>
              <w:jc w:val="left"/>
            </w:pPr>
            <w:r/>
            <w:r>
              <w:rPr>
                <w:b/>
                <w:sz w:val="19"/>
              </w:rPr>
              <w:t>Segment ROAS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2.7x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8.9x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4.5x (D2C) / 3.4x (Meta)</w:t>
            </w:r>
          </w:p>
        </w:tc>
      </w:tr>
    </w:tbl>
    <w:p>
      <w:pPr>
        <w:spacing w:after="120"/>
      </w:pPr>
      <w:r>
        <w:rPr>
          <w:b w:val="0"/>
          <w:sz w:val="21"/>
        </w:rPr>
      </w:r>
    </w:p>
    <w:p>
      <w:pPr>
        <w:spacing w:after="120"/>
      </w:pPr>
      <w:r>
        <w:rPr>
          <w:b w:val="0"/>
          <w:color w:val="1F2A44"/>
          <w:sz w:val="21"/>
        </w:rPr>
        <w:t>Repeat is the efficiency engine — same rupee, 2.4× the conversion, higher LTV. Guardrail: keep new intake ≥ ~2.9 M users, or the Sept–Oct repeat pool contracts.</w:t>
      </w:r>
    </w:p>
    <w:p>
      <w:pPr>
        <w:spacing w:before="200" w:after="80"/>
      </w:pPr>
      <w:r>
        <w:rPr>
          <w:b/>
          <w:color w:val="1F2A44"/>
          <w:sz w:val="30"/>
        </w:rPr>
        <w:t>3.  Category-level targets (backward from ₹10.5 cr)</w:t>
      </w:r>
    </w:p>
    <w:p>
      <w:pPr>
        <w:spacing w:after="120"/>
      </w:pPr>
      <w:r>
        <w:rPr>
          <w:b w:val="0"/>
          <w:sz w:val="21"/>
        </w:rPr>
        <w:t>Split tilted to ROAS + LTV. High-LTV categories (Power Bank, Stack, Charging Station) get a share uplift; Watch Bands is dialled down.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F2A44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1440"/>
            <w:shd w:val="clear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LTV</w:t>
            </w:r>
          </w:p>
        </w:tc>
        <w:tc>
          <w:tcPr>
            <w:tcW w:type="dxa" w:w="1440"/>
            <w:shd w:val="clear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Aug target</w:t>
            </w:r>
          </w:p>
        </w:tc>
        <w:tc>
          <w:tcPr>
            <w:tcW w:type="dxa" w:w="1440"/>
            <w:shd w:val="clear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Share</w:t>
            </w:r>
          </w:p>
        </w:tc>
        <w:tc>
          <w:tcPr>
            <w:tcW w:type="dxa" w:w="1440"/>
            <w:shd w:val="clear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Baseline ROAS</w:t>
            </w:r>
          </w:p>
        </w:tc>
        <w:tc>
          <w:tcPr>
            <w:tcW w:type="dxa" w:w="1440"/>
            <w:shd w:val="clear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New CAC</w:t>
            </w:r>
          </w:p>
        </w:tc>
      </w:tr>
      <w:tr>
        <w:tc>
          <w:tcPr>
            <w:tcW w:type="dxa" w:w="1440"/>
            <w:shd w:val="clear" w:fill="DDF0E1"/>
          </w:tcPr>
          <w:p>
            <w:pPr>
              <w:jc w:val="left"/>
            </w:pPr>
            <w:r/>
            <w:r>
              <w:rPr>
                <w:b/>
                <w:sz w:val="18"/>
              </w:rPr>
              <w:t>Power Bank</w:t>
            </w:r>
          </w:p>
        </w:tc>
        <w:tc>
          <w:tcPr>
            <w:tcW w:type="dxa" w:w="1440"/>
            <w:shd w:val="clear" w:fill="DDF0E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40"/>
            <w:shd w:val="clear" w:fill="DDF0E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₹1.22 cr</w:t>
            </w:r>
          </w:p>
        </w:tc>
        <w:tc>
          <w:tcPr>
            <w:tcW w:type="dxa" w:w="1440"/>
            <w:shd w:val="clear" w:fill="DDF0E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11.6%</w:t>
            </w:r>
          </w:p>
        </w:tc>
        <w:tc>
          <w:tcPr>
            <w:tcW w:type="dxa" w:w="1440"/>
            <w:shd w:val="clear" w:fill="DDF0E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3.29x</w:t>
            </w:r>
          </w:p>
        </w:tc>
        <w:tc>
          <w:tcPr>
            <w:tcW w:type="dxa" w:w="1440"/>
            <w:shd w:val="clear" w:fill="DDF0E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₹959</w:t>
            </w:r>
          </w:p>
        </w:tc>
      </w:tr>
      <w:tr>
        <w:tc>
          <w:tcPr>
            <w:tcW w:type="dxa" w:w="1440"/>
            <w:shd w:val="clear" w:fill="DDF0E1"/>
          </w:tcPr>
          <w:p>
            <w:pPr>
              <w:jc w:val="left"/>
            </w:pPr>
            <w:r/>
            <w:r>
              <w:rPr>
                <w:b/>
                <w:sz w:val="18"/>
              </w:rPr>
              <w:t>Stack</w:t>
            </w:r>
          </w:p>
        </w:tc>
        <w:tc>
          <w:tcPr>
            <w:tcW w:type="dxa" w:w="1440"/>
            <w:shd w:val="clear" w:fill="DDF0E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40"/>
            <w:shd w:val="clear" w:fill="DDF0E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₹1.08 cr</w:t>
            </w:r>
          </w:p>
        </w:tc>
        <w:tc>
          <w:tcPr>
            <w:tcW w:type="dxa" w:w="1440"/>
            <w:shd w:val="clear" w:fill="DDF0E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10.3%</w:t>
            </w:r>
          </w:p>
        </w:tc>
        <w:tc>
          <w:tcPr>
            <w:tcW w:type="dxa" w:w="1440"/>
            <w:shd w:val="clear" w:fill="DDF0E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3.23x</w:t>
            </w:r>
          </w:p>
        </w:tc>
        <w:tc>
          <w:tcPr>
            <w:tcW w:type="dxa" w:w="1440"/>
            <w:shd w:val="clear" w:fill="DDF0E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₹708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/>
                <w:sz w:val="18"/>
              </w:rPr>
              <w:t>Node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₹0.88 cr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8.4%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3.17x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₹1,039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left"/>
            </w:pPr>
            <w:r/>
            <w:r>
              <w:rPr>
                <w:b/>
                <w:sz w:val="18"/>
              </w:rPr>
              <w:t>Bags / DG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₹0.43 cr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4.1%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3.18x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₹727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/>
                <w:sz w:val="18"/>
              </w:rPr>
              <w:t>Tech Kit (Park)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₹0.30 cr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2.9%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2.79x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₹1,089</w:t>
            </w:r>
          </w:p>
        </w:tc>
      </w:tr>
      <w:tr>
        <w:tc>
          <w:tcPr>
            <w:tcW w:type="dxa" w:w="1440"/>
            <w:shd w:val="clear" w:fill="DDF0E1"/>
          </w:tcPr>
          <w:p>
            <w:pPr>
              <w:jc w:val="left"/>
            </w:pPr>
            <w:r/>
            <w:r>
              <w:rPr>
                <w:b/>
                <w:sz w:val="18"/>
              </w:rPr>
              <w:t>Charging Station (Loft)</w:t>
            </w:r>
          </w:p>
        </w:tc>
        <w:tc>
          <w:tcPr>
            <w:tcW w:type="dxa" w:w="1440"/>
            <w:shd w:val="clear" w:fill="DDF0E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40"/>
            <w:shd w:val="clear" w:fill="DDF0E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₹0.24 cr</w:t>
            </w:r>
          </w:p>
        </w:tc>
        <w:tc>
          <w:tcPr>
            <w:tcW w:type="dxa" w:w="1440"/>
            <w:shd w:val="clear" w:fill="DDF0E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2.3%</w:t>
            </w:r>
          </w:p>
        </w:tc>
        <w:tc>
          <w:tcPr>
            <w:tcW w:type="dxa" w:w="1440"/>
            <w:shd w:val="clear" w:fill="DDF0E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2.78x</w:t>
            </w:r>
          </w:p>
        </w:tc>
        <w:tc>
          <w:tcPr>
            <w:tcW w:type="dxa" w:w="1440"/>
            <w:shd w:val="clear" w:fill="DDF0E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₹1,356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/>
                <w:sz w:val="18"/>
              </w:rPr>
              <w:t>Desk Organiser (Bar)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₹0.23 cr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2.2%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3.00x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₹1,035</w:t>
            </w:r>
          </w:p>
        </w:tc>
      </w:tr>
      <w:tr>
        <w:tc>
          <w:tcPr>
            <w:tcW w:type="dxa" w:w="1440"/>
            <w:shd w:val="clear" w:fill="FBF0D5"/>
          </w:tcPr>
          <w:p>
            <w:pPr>
              <w:jc w:val="left"/>
            </w:pPr>
            <w:r/>
            <w:r>
              <w:rPr>
                <w:b/>
                <w:sz w:val="18"/>
              </w:rPr>
              <w:t>Watch Bands</w:t>
            </w:r>
          </w:p>
        </w:tc>
        <w:tc>
          <w:tcPr>
            <w:tcW w:type="dxa" w:w="1440"/>
            <w:shd w:val="clear" w:fill="FBF0D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1440"/>
            <w:shd w:val="clear" w:fill="FBF0D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₹0.23 cr</w:t>
            </w:r>
          </w:p>
        </w:tc>
        <w:tc>
          <w:tcPr>
            <w:tcW w:type="dxa" w:w="1440"/>
            <w:shd w:val="clear" w:fill="FBF0D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2.2%</w:t>
            </w:r>
          </w:p>
        </w:tc>
        <w:tc>
          <w:tcPr>
            <w:tcW w:type="dxa" w:w="1440"/>
            <w:shd w:val="clear" w:fill="FBF0D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2.91x</w:t>
            </w:r>
          </w:p>
        </w:tc>
        <w:tc>
          <w:tcPr>
            <w:tcW w:type="dxa" w:w="1440"/>
            <w:shd w:val="clear" w:fill="FBF0D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₹959</w:t>
            </w:r>
          </w:p>
        </w:tc>
      </w:tr>
      <w:tr>
        <w:tc>
          <w:tcPr>
            <w:tcW w:type="dxa" w:w="1440"/>
            <w:shd w:val="clear" w:fill="1F2A4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New-acquisition subtotal</w:t>
            </w:r>
          </w:p>
        </w:tc>
        <w:tc>
          <w:tcPr>
            <w:tcW w:type="dxa" w:w="1440"/>
            <w:shd w:val="clear" w:fill="1F2A44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8"/>
              </w:rPr>
            </w:r>
          </w:p>
        </w:tc>
        <w:tc>
          <w:tcPr>
            <w:tcW w:type="dxa" w:w="1440"/>
            <w:shd w:val="clear" w:fill="1F2A44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8"/>
              </w:rPr>
              <w:t>₹4.60 cr</w:t>
            </w:r>
          </w:p>
        </w:tc>
        <w:tc>
          <w:tcPr>
            <w:tcW w:type="dxa" w:w="1440"/>
            <w:shd w:val="clear" w:fill="1F2A44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8"/>
              </w:rPr>
              <w:t>43.8%</w:t>
            </w:r>
          </w:p>
        </w:tc>
        <w:tc>
          <w:tcPr>
            <w:tcW w:type="dxa" w:w="1440"/>
            <w:shd w:val="clear" w:fill="1F2A44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8"/>
              </w:rPr>
              <w:t>3.35x</w:t>
            </w:r>
          </w:p>
        </w:tc>
        <w:tc>
          <w:tcPr>
            <w:tcW w:type="dxa" w:w="1440"/>
            <w:shd w:val="clear" w:fill="1F2A44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8"/>
              </w:rPr>
              <w:t>₹880</w:t>
            </w:r>
          </w:p>
        </w:tc>
      </w:tr>
      <w:tr>
        <w:tc>
          <w:tcPr>
            <w:tcW w:type="dxa" w:w="1440"/>
            <w:shd w:val="clear" w:fill="1F2A44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Repeat / owned pool</w:t>
            </w:r>
          </w:p>
        </w:tc>
        <w:tc>
          <w:tcPr>
            <w:tcW w:type="dxa" w:w="1440"/>
            <w:shd w:val="clear" w:fill="1F2A44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8"/>
              </w:rPr>
            </w:r>
          </w:p>
        </w:tc>
        <w:tc>
          <w:tcPr>
            <w:tcW w:type="dxa" w:w="1440"/>
            <w:shd w:val="clear" w:fill="1F2A44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8"/>
              </w:rPr>
              <w:t>₹5.90 cr</w:t>
            </w:r>
          </w:p>
        </w:tc>
        <w:tc>
          <w:tcPr>
            <w:tcW w:type="dxa" w:w="1440"/>
            <w:shd w:val="clear" w:fill="1F2A44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8"/>
              </w:rPr>
              <w:t>56.2%</w:t>
            </w:r>
          </w:p>
        </w:tc>
        <w:tc>
          <w:tcPr>
            <w:tcW w:type="dxa" w:w="1440"/>
            <w:shd w:val="clear" w:fill="1F2A44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8"/>
              </w:rPr>
              <w:t>8.9x</w:t>
            </w:r>
          </w:p>
        </w:tc>
        <w:tc>
          <w:tcPr>
            <w:tcW w:type="dxa" w:w="1440"/>
            <w:shd w:val="clear" w:fill="1F2A44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8"/>
              </w:rPr>
              <w:t>₹303</w:t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b/>
          <w:color w:val="1F2A44"/>
          <w:sz w:val="30"/>
        </w:rPr>
        <w:t>4.  Change vs baseline — June 2026 → August target</w:t>
      </w:r>
    </w:p>
    <w:p>
      <w:pPr>
        <w:spacing w:after="120"/>
      </w:pPr>
      <w:r>
        <w:rPr>
          <w:b w:val="0"/>
          <w:sz w:val="21"/>
        </w:rPr>
        <w:t>June is the stated baseline month (₹9.09 cr D2C). The August plan is +₹1.41 cr (+15.5%). Almost all of the growth comes from REPEAT; new stays roughly flat in volume but far more efficient.</w:t>
      </w:r>
    </w:p>
    <w:p>
      <w:pPr>
        <w:spacing w:after="20"/>
      </w:pPr>
      <w:r>
        <w:rPr>
          <w:rFonts w:ascii="Calibri" w:hAnsi="Calibri"/>
          <w:b/>
          <w:color w:val="2E5AAC"/>
          <w:sz w:val="17"/>
        </w:rPr>
        <w:t>4A · SEGMENT CHANGE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2E5AAC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Segment</w:t>
            </w:r>
          </w:p>
        </w:tc>
        <w:tc>
          <w:tcPr>
            <w:tcW w:type="dxa" w:w="1440"/>
            <w:shd w:val="clear" w:fill="2E5AAC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June actual</w:t>
            </w:r>
          </w:p>
        </w:tc>
        <w:tc>
          <w:tcPr>
            <w:tcW w:type="dxa" w:w="1440"/>
            <w:shd w:val="clear" w:fill="2E5AAC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Aug target</w:t>
            </w:r>
          </w:p>
        </w:tc>
        <w:tc>
          <w:tcPr>
            <w:tcW w:type="dxa" w:w="1440"/>
            <w:shd w:val="clear" w:fill="2E5AAC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Δ orders</w:t>
            </w:r>
          </w:p>
        </w:tc>
        <w:tc>
          <w:tcPr>
            <w:tcW w:type="dxa" w:w="1440"/>
            <w:shd w:val="clear" w:fill="2E5AAC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Δ %</w:t>
            </w:r>
          </w:p>
        </w:tc>
        <w:tc>
          <w:tcPr>
            <w:tcW w:type="dxa" w:w="1440"/>
            <w:shd w:val="clear" w:fill="2E5AAC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Δ users (plan CVR)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/>
                <w:sz w:val="19"/>
              </w:rPr>
              <w:t>New orders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18,163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18,762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color w:val="2E7D46"/>
                <w:sz w:val="19"/>
              </w:rPr>
              <w:t>+599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color w:val="2E7D46"/>
                <w:sz w:val="19"/>
              </w:rPr>
              <w:t>+3.3%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−965,590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left"/>
            </w:pPr>
            <w:r/>
            <w:r>
              <w:rPr>
                <w:b/>
                <w:sz w:val="19"/>
              </w:rPr>
              <w:t>Repeat orders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17,200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21,864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color w:val="2E7D46"/>
                <w:sz w:val="19"/>
              </w:rPr>
              <w:t>+4,664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color w:val="2E7D46"/>
                <w:sz w:val="19"/>
              </w:rPr>
              <w:t>+27.1%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+363,898</w:t>
            </w:r>
          </w:p>
        </w:tc>
      </w:tr>
      <w:tr>
        <w:tc>
          <w:tcPr>
            <w:tcW w:type="dxa" w:w="1440"/>
            <w:shd w:val="clear" w:fill="1F2A44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Total</w:t>
            </w:r>
          </w:p>
        </w:tc>
        <w:tc>
          <w:tcPr>
            <w:tcW w:type="dxa" w:w="1440"/>
            <w:shd w:val="clear" w:fill="1F2A44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9"/>
              </w:rPr>
              <w:t>35,363</w:t>
            </w:r>
          </w:p>
        </w:tc>
        <w:tc>
          <w:tcPr>
            <w:tcW w:type="dxa" w:w="1440"/>
            <w:shd w:val="clear" w:fill="1F2A44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9"/>
              </w:rPr>
              <w:t>40,626</w:t>
            </w:r>
          </w:p>
        </w:tc>
        <w:tc>
          <w:tcPr>
            <w:tcW w:type="dxa" w:w="1440"/>
            <w:shd w:val="clear" w:fill="1F2A44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9"/>
              </w:rPr>
              <w:t>+5,263</w:t>
            </w:r>
          </w:p>
        </w:tc>
        <w:tc>
          <w:tcPr>
            <w:tcW w:type="dxa" w:w="1440"/>
            <w:shd w:val="clear" w:fill="1F2A44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9"/>
              </w:rPr>
              <w:t>+14.9%</w:t>
            </w:r>
          </w:p>
        </w:tc>
        <w:tc>
          <w:tcPr>
            <w:tcW w:type="dxa" w:w="1440"/>
            <w:shd w:val="clear" w:fill="1F2A44"/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9"/>
              </w:rPr>
              <w:t>−601,692</w:t>
            </w:r>
          </w:p>
        </w:tc>
      </w:tr>
    </w:tbl>
    <w:p>
      <w:pPr>
        <w:spacing w:after="120"/>
      </w:pPr>
      <w:r>
        <w:rPr>
          <w:b w:val="0"/>
          <w:sz w:val="21"/>
        </w:rPr>
      </w:r>
    </w:p>
    <w:p>
      <w:pPr>
        <w:pStyle w:val="ListBullet"/>
        <w:spacing w:after="60"/>
      </w:pPr>
      <w:r>
        <w:rPr>
          <w:b/>
          <w:sz w:val="21"/>
        </w:rPr>
        <w:t>Repeat is the growth:</w:t>
      </w:r>
      <w:r>
        <w:rPr>
          <w:sz w:val="21"/>
        </w:rPr>
        <w:t xml:space="preserve"> the plan adds +4,664 repeat orders (+27%) and holds new roughly flat (+599). ~₹1.26 cr of the +₹1.41 cr revenue is repeat.</w:t>
      </w:r>
    </w:p>
    <w:p>
      <w:pPr>
        <w:pStyle w:val="ListBullet"/>
        <w:spacing w:after="60"/>
      </w:pPr>
      <w:r>
        <w:rPr>
          <w:b/>
          <w:sz w:val="21"/>
        </w:rPr>
        <w:t>New gets more efficient, not bigger:</w:t>
      </w:r>
      <w:r>
        <w:rPr>
          <w:sz w:val="21"/>
        </w:rPr>
        <w:t xml:space="preserve"> total new SESSIONS fall ~0.97 M vs June even though new orders rise — because new CVR normalises from June's depressed 0.46% to July's 0.63%. You get more new orders from ~1 M fewer visits.</w:t>
      </w:r>
    </w:p>
    <w:p>
      <w:pPr>
        <w:pStyle w:val="ListBullet"/>
        <w:spacing w:after="60"/>
      </w:pPr>
      <w:r>
        <w:rPr>
          <w:b/>
          <w:sz w:val="21"/>
        </w:rPr>
        <w:t>Cheap to fund:</w:t>
      </w:r>
      <w:r>
        <w:rPr>
          <w:sz w:val="21"/>
        </w:rPr>
        <w:t xml:space="preserve"> the entire shift is funded by roughly +₹19 L incremental Meta media (≈ +₹5 L new, +₹14 L repeat). The rest of the repeat volume is owned-channel (CRM, app, direct).</w:t>
      </w:r>
    </w:p>
    <w:p>
      <w:pPr>
        <w:spacing w:after="20"/>
      </w:pPr>
      <w:r>
        <w:rPr>
          <w:rFonts w:ascii="Calibri" w:hAnsi="Calibri"/>
          <w:b/>
          <w:color w:val="2E5AAC"/>
          <w:sz w:val="17"/>
        </w:rPr>
        <w:t>4B · CATEGORY CHANGE — WHERE THE ADDITIONAL ORDERS &amp; USERS COME FROM</w:t>
      </w:r>
    </w:p>
    <w:p>
      <w:pPr>
        <w:spacing w:after="120"/>
      </w:pPr>
      <w:r>
        <w:rPr>
          <w:b w:val="0"/>
          <w:sz w:val="21"/>
        </w:rPr>
        <w:t>Read: grow HIGH-LTV (Stack, Power Bank, Charging Station) on both new and repeat; hold MED; cut Watch Bands.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1F2A44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1234"/>
            <w:shd w:val="clear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LTV</w:t>
            </w:r>
          </w:p>
        </w:tc>
        <w:tc>
          <w:tcPr>
            <w:tcW w:type="dxa" w:w="1234"/>
            <w:shd w:val="clear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Δ New ord</w:t>
            </w:r>
          </w:p>
        </w:tc>
        <w:tc>
          <w:tcPr>
            <w:tcW w:type="dxa" w:w="1234"/>
            <w:shd w:val="clear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Δ New users</w:t>
            </w:r>
          </w:p>
        </w:tc>
        <w:tc>
          <w:tcPr>
            <w:tcW w:type="dxa" w:w="1234"/>
            <w:shd w:val="clear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Δ Rep ord</w:t>
            </w:r>
          </w:p>
        </w:tc>
        <w:tc>
          <w:tcPr>
            <w:tcW w:type="dxa" w:w="1234"/>
            <w:shd w:val="clear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Δ Rep users</w:t>
            </w:r>
          </w:p>
        </w:tc>
        <w:tc>
          <w:tcPr>
            <w:tcW w:type="dxa" w:w="1234"/>
            <w:shd w:val="clear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Δ Spend (Meta)</w:t>
            </w:r>
          </w:p>
        </w:tc>
      </w:tr>
      <w:tr>
        <w:tc>
          <w:tcPr>
            <w:tcW w:type="dxa" w:w="1234"/>
            <w:shd w:val="clear" w:fill="DDF0E1"/>
          </w:tcPr>
          <w:p>
            <w:pPr>
              <w:jc w:val="left"/>
            </w:pPr>
            <w:r/>
            <w:r>
              <w:rPr>
                <w:b/>
                <w:sz w:val="17"/>
              </w:rPr>
              <w:t>Stack</w:t>
            </w:r>
          </w:p>
        </w:tc>
        <w:tc>
          <w:tcPr>
            <w:tcW w:type="dxa" w:w="1234"/>
            <w:shd w:val="clear" w:fill="DDF0E1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1234"/>
            <w:shd w:val="clear" w:fill="DDF0E1"/>
          </w:tcPr>
          <w:p>
            <w:pPr>
              <w:jc w:val="center"/>
            </w:pPr>
            <w:r/>
            <w:r>
              <w:rPr>
                <w:b w:val="0"/>
                <w:color w:val="2E7D46"/>
                <w:sz w:val="17"/>
              </w:rPr>
              <w:t>+503</w:t>
            </w:r>
          </w:p>
        </w:tc>
        <w:tc>
          <w:tcPr>
            <w:tcW w:type="dxa" w:w="1234"/>
            <w:shd w:val="clear" w:fill="DDF0E1"/>
          </w:tcPr>
          <w:p>
            <w:pPr>
              <w:jc w:val="center"/>
            </w:pPr>
            <w:r/>
            <w:r>
              <w:rPr>
                <w:b w:val="0"/>
                <w:color w:val="2E7D46"/>
                <w:sz w:val="17"/>
              </w:rPr>
              <w:t>+79,654</w:t>
            </w:r>
          </w:p>
        </w:tc>
        <w:tc>
          <w:tcPr>
            <w:tcW w:type="dxa" w:w="1234"/>
            <w:shd w:val="clear" w:fill="DDF0E1"/>
          </w:tcPr>
          <w:p>
            <w:pPr>
              <w:jc w:val="center"/>
            </w:pPr>
            <w:r/>
            <w:r>
              <w:rPr>
                <w:b w:val="0"/>
                <w:color w:val="2E7D46"/>
                <w:sz w:val="17"/>
              </w:rPr>
              <w:t>+2,038</w:t>
            </w:r>
          </w:p>
        </w:tc>
        <w:tc>
          <w:tcPr>
            <w:tcW w:type="dxa" w:w="1234"/>
            <w:shd w:val="clear" w:fill="DDF0E1"/>
          </w:tcPr>
          <w:p>
            <w:pPr>
              <w:jc w:val="center"/>
            </w:pPr>
            <w:r/>
            <w:r>
              <w:rPr>
                <w:b w:val="0"/>
                <w:color w:val="2E7D46"/>
                <w:sz w:val="17"/>
              </w:rPr>
              <w:t>+133,283</w:t>
            </w:r>
          </w:p>
        </w:tc>
        <w:tc>
          <w:tcPr>
            <w:tcW w:type="dxa" w:w="1234"/>
            <w:shd w:val="clear" w:fill="DDF0E1"/>
          </w:tcPr>
          <w:p>
            <w:pPr>
              <w:jc w:val="center"/>
            </w:pPr>
            <w:r/>
            <w:r>
              <w:rPr>
                <w:b w:val="0"/>
                <w:color w:val="2E7D46"/>
                <w:sz w:val="17"/>
              </w:rPr>
              <w:t>₹+1,016,955</w:t>
            </w:r>
          </w:p>
        </w:tc>
      </w:tr>
      <w:tr>
        <w:tc>
          <w:tcPr>
            <w:tcW w:type="dxa" w:w="1234"/>
            <w:shd w:val="clear" w:fill="DDF0E1"/>
          </w:tcPr>
          <w:p>
            <w:pPr>
              <w:jc w:val="left"/>
            </w:pPr>
            <w:r/>
            <w:r>
              <w:rPr>
                <w:b/>
                <w:sz w:val="17"/>
              </w:rPr>
              <w:t>Power Bank</w:t>
            </w:r>
          </w:p>
        </w:tc>
        <w:tc>
          <w:tcPr>
            <w:tcW w:type="dxa" w:w="1234"/>
            <w:shd w:val="clear" w:fill="DDF0E1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1234"/>
            <w:shd w:val="clear" w:fill="DDF0E1"/>
          </w:tcPr>
          <w:p>
            <w:pPr>
              <w:jc w:val="center"/>
            </w:pPr>
            <w:r/>
            <w:r>
              <w:rPr>
                <w:b w:val="0"/>
                <w:color w:val="2E7D46"/>
                <w:sz w:val="17"/>
              </w:rPr>
              <w:t>+387</w:t>
            </w:r>
          </w:p>
        </w:tc>
        <w:tc>
          <w:tcPr>
            <w:tcW w:type="dxa" w:w="1234"/>
            <w:shd w:val="clear" w:fill="DDF0E1"/>
          </w:tcPr>
          <w:p>
            <w:pPr>
              <w:jc w:val="center"/>
            </w:pPr>
            <w:r/>
            <w:r>
              <w:rPr>
                <w:b w:val="0"/>
                <w:color w:val="2E7D46"/>
                <w:sz w:val="17"/>
              </w:rPr>
              <w:t>+61,249</w:t>
            </w:r>
          </w:p>
        </w:tc>
        <w:tc>
          <w:tcPr>
            <w:tcW w:type="dxa" w:w="1234"/>
            <w:shd w:val="clear" w:fill="DDF0E1"/>
          </w:tcPr>
          <w:p>
            <w:pPr>
              <w:jc w:val="center"/>
            </w:pPr>
            <w:r/>
            <w:r>
              <w:rPr>
                <w:b w:val="0"/>
                <w:color w:val="2E7D46"/>
                <w:sz w:val="17"/>
              </w:rPr>
              <w:t>+1,567</w:t>
            </w:r>
          </w:p>
        </w:tc>
        <w:tc>
          <w:tcPr>
            <w:tcW w:type="dxa" w:w="1234"/>
            <w:shd w:val="clear" w:fill="DDF0E1"/>
          </w:tcPr>
          <w:p>
            <w:pPr>
              <w:jc w:val="center"/>
            </w:pPr>
            <w:r/>
            <w:r>
              <w:rPr>
                <w:b w:val="0"/>
                <w:color w:val="2E7D46"/>
                <w:sz w:val="17"/>
              </w:rPr>
              <w:t>+102,486</w:t>
            </w:r>
          </w:p>
        </w:tc>
        <w:tc>
          <w:tcPr>
            <w:tcW w:type="dxa" w:w="1234"/>
            <w:shd w:val="clear" w:fill="DDF0E1"/>
          </w:tcPr>
          <w:p>
            <w:pPr>
              <w:jc w:val="center"/>
            </w:pPr>
            <w:r/>
            <w:r>
              <w:rPr>
                <w:b w:val="0"/>
                <w:color w:val="2E7D46"/>
                <w:sz w:val="17"/>
              </w:rPr>
              <w:t>₹+869,097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b/>
                <w:sz w:val="17"/>
              </w:rPr>
              <w:t>Node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MED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color w:val="B03A2E"/>
                <w:sz w:val="17"/>
              </w:rPr>
              <w:t>−89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color w:val="B03A2E"/>
                <w:sz w:val="17"/>
              </w:rPr>
              <w:t>−14,064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color w:val="2E7D46"/>
                <w:sz w:val="17"/>
              </w:rPr>
              <w:t>+258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color w:val="2E7D46"/>
                <w:sz w:val="17"/>
              </w:rPr>
              <w:t>+16,902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color w:val="B03A2E"/>
                <w:sz w:val="17"/>
              </w:rPr>
              <w:t>₹−43,747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left"/>
            </w:pPr>
            <w:r/>
            <w:r>
              <w:rPr>
                <w:b/>
                <w:sz w:val="17"/>
              </w:rPr>
              <w:t>Tech Kit (Park)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MED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color w:val="B03A2E"/>
                <w:sz w:val="17"/>
              </w:rPr>
              <w:t>−73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color w:val="B03A2E"/>
                <w:sz w:val="17"/>
              </w:rPr>
              <w:t>−11,608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color w:val="2E7D46"/>
                <w:sz w:val="17"/>
              </w:rPr>
              <w:t>+213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color w:val="2E7D46"/>
                <w:sz w:val="17"/>
              </w:rPr>
              <w:t>+13,950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color w:val="B03A2E"/>
                <w:sz w:val="17"/>
              </w:rPr>
              <w:t>₹−3,257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b/>
                <w:sz w:val="17"/>
              </w:rPr>
              <w:t>Bags / DG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MED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color w:val="B03A2E"/>
                <w:sz w:val="17"/>
              </w:rPr>
              <w:t>−50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color w:val="B03A2E"/>
                <w:sz w:val="17"/>
              </w:rPr>
              <w:t>−7,990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color w:val="2E7D46"/>
                <w:sz w:val="17"/>
              </w:rPr>
              <w:t>+147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color w:val="2E7D46"/>
                <w:sz w:val="17"/>
              </w:rPr>
              <w:t>+9,602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color w:val="2E7D46"/>
                <w:sz w:val="17"/>
              </w:rPr>
              <w:t>₹+2,228</w:t>
            </w:r>
          </w:p>
        </w:tc>
      </w:tr>
      <w:tr>
        <w:tc>
          <w:tcPr>
            <w:tcW w:type="dxa" w:w="1234"/>
            <w:shd w:val="clear" w:fill="DDF0E1"/>
          </w:tcPr>
          <w:p>
            <w:pPr>
              <w:jc w:val="left"/>
            </w:pPr>
            <w:r/>
            <w:r>
              <w:rPr>
                <w:b/>
                <w:sz w:val="17"/>
              </w:rPr>
              <w:t>Charging Station (Loft)</w:t>
            </w:r>
          </w:p>
        </w:tc>
        <w:tc>
          <w:tcPr>
            <w:tcW w:type="dxa" w:w="1234"/>
            <w:shd w:val="clear" w:fill="DDF0E1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1234"/>
            <w:shd w:val="clear" w:fill="DDF0E1"/>
          </w:tcPr>
          <w:p>
            <w:pPr>
              <w:jc w:val="center"/>
            </w:pPr>
            <w:r/>
            <w:r>
              <w:rPr>
                <w:b w:val="0"/>
                <w:color w:val="2E7D46"/>
                <w:sz w:val="17"/>
              </w:rPr>
              <w:t>+148</w:t>
            </w:r>
          </w:p>
        </w:tc>
        <w:tc>
          <w:tcPr>
            <w:tcW w:type="dxa" w:w="1234"/>
            <w:shd w:val="clear" w:fill="DDF0E1"/>
          </w:tcPr>
          <w:p>
            <w:pPr>
              <w:jc w:val="center"/>
            </w:pPr>
            <w:r/>
            <w:r>
              <w:rPr>
                <w:b w:val="0"/>
                <w:color w:val="2E7D46"/>
                <w:sz w:val="17"/>
              </w:rPr>
              <w:t>+23,429</w:t>
            </w:r>
          </w:p>
        </w:tc>
        <w:tc>
          <w:tcPr>
            <w:tcW w:type="dxa" w:w="1234"/>
            <w:shd w:val="clear" w:fill="DDF0E1"/>
          </w:tcPr>
          <w:p>
            <w:pPr>
              <w:jc w:val="center"/>
            </w:pPr>
            <w:r/>
            <w:r>
              <w:rPr>
                <w:b w:val="0"/>
                <w:color w:val="2E7D46"/>
                <w:sz w:val="17"/>
              </w:rPr>
              <w:t>+599</w:t>
            </w:r>
          </w:p>
        </w:tc>
        <w:tc>
          <w:tcPr>
            <w:tcW w:type="dxa" w:w="1234"/>
            <w:shd w:val="clear" w:fill="DDF0E1"/>
          </w:tcPr>
          <w:p>
            <w:pPr>
              <w:jc w:val="center"/>
            </w:pPr>
            <w:r/>
            <w:r>
              <w:rPr>
                <w:b w:val="0"/>
                <w:color w:val="2E7D46"/>
                <w:sz w:val="17"/>
              </w:rPr>
              <w:t>+39,203</w:t>
            </w:r>
          </w:p>
        </w:tc>
        <w:tc>
          <w:tcPr>
            <w:tcW w:type="dxa" w:w="1234"/>
            <w:shd w:val="clear" w:fill="DDF0E1"/>
          </w:tcPr>
          <w:p>
            <w:pPr>
              <w:jc w:val="center"/>
            </w:pPr>
            <w:r/>
            <w:r>
              <w:rPr>
                <w:b w:val="0"/>
                <w:color w:val="2E7D46"/>
                <w:sz w:val="17"/>
              </w:rPr>
              <w:t>₹+351,688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b/>
                <w:sz w:val="17"/>
              </w:rPr>
              <w:t>Desk Organiser (Bar)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MED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color w:val="B03A2E"/>
                <w:sz w:val="17"/>
              </w:rPr>
              <w:t>−42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color w:val="B03A2E"/>
                <w:sz w:val="17"/>
              </w:rPr>
              <w:t>−6,688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color w:val="2E7D46"/>
                <w:sz w:val="17"/>
              </w:rPr>
              <w:t>+123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color w:val="2E7D46"/>
                <w:sz w:val="17"/>
              </w:rPr>
              <w:t>+8,038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color w:val="B03A2E"/>
                <w:sz w:val="17"/>
              </w:rPr>
              <w:t>₹−3,199</w:t>
            </w:r>
          </w:p>
        </w:tc>
      </w:tr>
      <w:tr>
        <w:tc>
          <w:tcPr>
            <w:tcW w:type="dxa" w:w="1234"/>
            <w:shd w:val="clear" w:fill="FBF0D5"/>
          </w:tcPr>
          <w:p>
            <w:pPr>
              <w:jc w:val="left"/>
            </w:pPr>
            <w:r/>
            <w:r>
              <w:rPr>
                <w:b/>
                <w:sz w:val="17"/>
              </w:rPr>
              <w:t>Watch Bands</w:t>
            </w:r>
          </w:p>
        </w:tc>
        <w:tc>
          <w:tcPr>
            <w:tcW w:type="dxa" w:w="1234"/>
            <w:shd w:val="clear" w:fill="FBF0D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LOW</w:t>
            </w:r>
          </w:p>
        </w:tc>
        <w:tc>
          <w:tcPr>
            <w:tcW w:type="dxa" w:w="1234"/>
            <w:shd w:val="clear" w:fill="FBF0D5"/>
          </w:tcPr>
          <w:p>
            <w:pPr>
              <w:jc w:val="center"/>
            </w:pPr>
            <w:r/>
            <w:r>
              <w:rPr>
                <w:b w:val="0"/>
                <w:color w:val="B03A2E"/>
                <w:sz w:val="17"/>
              </w:rPr>
              <w:t>−185</w:t>
            </w:r>
          </w:p>
        </w:tc>
        <w:tc>
          <w:tcPr>
            <w:tcW w:type="dxa" w:w="1234"/>
            <w:shd w:val="clear" w:fill="FBF0D5"/>
          </w:tcPr>
          <w:p>
            <w:pPr>
              <w:jc w:val="center"/>
            </w:pPr>
            <w:r/>
            <w:r>
              <w:rPr>
                <w:b w:val="0"/>
                <w:color w:val="B03A2E"/>
                <w:sz w:val="17"/>
              </w:rPr>
              <w:t>−29,203</w:t>
            </w:r>
          </w:p>
        </w:tc>
        <w:tc>
          <w:tcPr>
            <w:tcW w:type="dxa" w:w="1234"/>
            <w:shd w:val="clear" w:fill="FBF0D5"/>
          </w:tcPr>
          <w:p>
            <w:pPr>
              <w:jc w:val="center"/>
            </w:pPr>
            <w:r/>
            <w:r>
              <w:rPr>
                <w:b w:val="0"/>
                <w:color w:val="B03A2E"/>
                <w:sz w:val="17"/>
              </w:rPr>
              <w:t>−282</w:t>
            </w:r>
          </w:p>
        </w:tc>
        <w:tc>
          <w:tcPr>
            <w:tcW w:type="dxa" w:w="1234"/>
            <w:shd w:val="clear" w:fill="FBF0D5"/>
          </w:tcPr>
          <w:p>
            <w:pPr>
              <w:jc w:val="center"/>
            </w:pPr>
            <w:r/>
            <w:r>
              <w:rPr>
                <w:b w:val="0"/>
                <w:color w:val="B03A2E"/>
                <w:sz w:val="17"/>
              </w:rPr>
              <w:t>−18,428</w:t>
            </w:r>
          </w:p>
        </w:tc>
        <w:tc>
          <w:tcPr>
            <w:tcW w:type="dxa" w:w="1234"/>
            <w:shd w:val="clear" w:fill="FBF0D5"/>
          </w:tcPr>
          <w:p>
            <w:pPr>
              <w:jc w:val="center"/>
            </w:pPr>
            <w:r/>
            <w:r>
              <w:rPr>
                <w:b w:val="0"/>
                <w:color w:val="B03A2E"/>
                <w:sz w:val="17"/>
              </w:rPr>
              <w:t>₹−284,719</w:t>
            </w:r>
          </w:p>
        </w:tc>
      </w:tr>
      <w:tr>
        <w:tc>
          <w:tcPr>
            <w:tcW w:type="dxa" w:w="1234"/>
            <w:shd w:val="clear" w:fill="1F2A44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TOTAL</w:t>
            </w:r>
          </w:p>
        </w:tc>
        <w:tc>
          <w:tcPr>
            <w:tcW w:type="dxa" w:w="1234"/>
            <w:shd w:val="clear" w:fill="1F2A44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34"/>
            <w:shd w:val="clear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+599</w:t>
            </w:r>
          </w:p>
        </w:tc>
        <w:tc>
          <w:tcPr>
            <w:tcW w:type="dxa" w:w="1234"/>
            <w:shd w:val="clear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+94,778</w:t>
            </w:r>
          </w:p>
        </w:tc>
        <w:tc>
          <w:tcPr>
            <w:tcW w:type="dxa" w:w="1234"/>
            <w:shd w:val="clear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+4,664</w:t>
            </w:r>
          </w:p>
        </w:tc>
        <w:tc>
          <w:tcPr>
            <w:tcW w:type="dxa" w:w="1234"/>
            <w:shd w:val="clear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+305,036</w:t>
            </w:r>
          </w:p>
        </w:tc>
        <w:tc>
          <w:tcPr>
            <w:tcW w:type="dxa" w:w="1234"/>
            <w:shd w:val="clear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₹+1,905,047</w:t>
            </w:r>
          </w:p>
        </w:tc>
      </w:tr>
    </w:tbl>
    <w:p>
      <w:pPr>
        <w:spacing w:after="120"/>
      </w:pPr>
      <w:r>
        <w:rPr>
          <w:b w:val="0"/>
          <w:sz w:val="21"/>
        </w:rPr>
      </w:r>
    </w:p>
    <w:p>
      <w:pPr>
        <w:spacing w:after="120"/>
      </w:pPr>
      <w:r>
        <w:rPr>
          <w:b w:val="0"/>
          <w:color w:val="555555"/>
          <w:sz w:val="18"/>
        </w:rPr>
        <w:t>Δ New/Rep users = additional sessions to acquire for the incremental orders at plan CVR (new 0.63%, repeat 1.53%). Δ Spend = incremental Meta media only (new = Δord × category CAC; repeat = Δord × 35% paid × ₹865). Watch Bands is deliberately negative — lowest LTV and ROAS, so we harvest its budget for Stack / Power Bank / Charging.</w:t>
      </w:r>
    </w:p>
    <w:p>
      <w:pPr>
        <w:spacing w:before="200" w:after="80"/>
      </w:pPr>
      <w:r>
        <w:rPr>
          <w:b/>
          <w:color w:val="1F2A44"/>
          <w:sz w:val="30"/>
        </w:rPr>
        <w:t>5.  Weekend freebie plan</w:t>
      </w:r>
    </w:p>
    <w:p>
      <w:pPr>
        <w:spacing w:after="120"/>
      </w:pPr>
      <w:r>
        <w:rPr>
          <w:b w:val="0"/>
          <w:sz w:val="21"/>
        </w:rPr>
        <w:t>Gift-with-purchase above a cart threshold lifts AOV and reactivates dormant repeat buyers at near-zero media cost. ~₹0.38 cr incremental for the month.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2A44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Weekend</w:t>
            </w:r>
          </w:p>
        </w:tc>
        <w:tc>
          <w:tcPr>
            <w:tcW w:type="dxa" w:w="2160"/>
            <w:shd w:val="clear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160"/>
            <w:shd w:val="clear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Uplift</w:t>
            </w:r>
          </w:p>
        </w:tc>
        <w:tc>
          <w:tcPr>
            <w:tcW w:type="dxa" w:w="2160"/>
            <w:shd w:val="clear" w:fill="1F2A4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Mechanic</w:t>
            </w:r>
          </w:p>
        </w:tc>
      </w:tr>
      <w:tr>
        <w:tc>
          <w:tcPr>
            <w:tcW w:type="dxa" w:w="2160"/>
            <w:shd w:val="clear" w:fill="FBF0D5"/>
          </w:tcPr>
          <w:p>
            <w:pPr>
              <w:jc w:val="left"/>
            </w:pPr>
            <w:r/>
            <w:r>
              <w:rPr>
                <w:b/>
                <w:sz w:val="18"/>
              </w:rPr>
              <w:t>Aug 1–2</w:t>
            </w:r>
          </w:p>
        </w:tc>
        <w:tc>
          <w:tcPr>
            <w:tcW w:type="dxa" w:w="2160"/>
            <w:shd w:val="clear" w:fill="FBF0D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Ran</w:t>
            </w:r>
          </w:p>
        </w:tc>
        <w:tc>
          <w:tcPr>
            <w:tcW w:type="dxa" w:w="2160"/>
            <w:shd w:val="clear" w:fill="FBF0D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+₹9.5 L</w:t>
            </w:r>
          </w:p>
        </w:tc>
        <w:tc>
          <w:tcPr>
            <w:tcW w:type="dxa" w:w="2160"/>
            <w:shd w:val="clear" w:fill="FBF0D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Threshold gift ₹1499+. Drove Aug 1–4 ROAS 3.28x vs Jul 3.01x.</w:t>
            </w:r>
          </w:p>
        </w:tc>
      </w:tr>
      <w:tr>
        <w:tc>
          <w:tcPr>
            <w:tcW w:type="dxa" w:w="2160"/>
            <w:shd w:val="clear" w:fill="F2F2F2"/>
          </w:tcPr>
          <w:p>
            <w:pPr>
              <w:jc w:val="left"/>
            </w:pPr>
            <w:r/>
            <w:r>
              <w:rPr>
                <w:b/>
                <w:sz w:val="18"/>
              </w:rPr>
              <w:t>Aug 8–9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Plan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+₹9.5 L</w:t>
            </w:r>
          </w:p>
        </w:tc>
        <w:tc>
          <w:tcPr>
            <w:tcW w:type="dxa" w:w="2160"/>
            <w:shd w:val="clear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Free sleeve on Stack / Power Bank &gt; ₹1999; AOV +8%.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8"/>
              </w:rPr>
              <w:t>Aug 15–16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Plan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+₹9.5 L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Independence Day combo + app-only code; biggest weekend.</w:t>
            </w:r>
          </w:p>
        </w:tc>
      </w:tr>
      <w:tr>
        <w:tc>
          <w:tcPr>
            <w:tcW w:type="dxa" w:w="2160"/>
            <w:shd w:val="clear" w:fill="F2F2F2"/>
          </w:tcPr>
          <w:p>
            <w:pPr>
              <w:jc w:val="left"/>
            </w:pPr>
            <w:r/>
            <w:r>
              <w:rPr>
                <w:b/>
                <w:sz w:val="18"/>
              </w:rPr>
              <w:t>Aug 22–23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Plan</w:t>
            </w:r>
          </w:p>
        </w:tc>
        <w:tc>
          <w:tcPr>
            <w:tcW w:type="dxa" w:w="2160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+₹9.5 L</w:t>
            </w:r>
          </w:p>
        </w:tc>
        <w:tc>
          <w:tcPr>
            <w:tcW w:type="dxa" w:w="2160"/>
            <w:shd w:val="clear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Mystery freebie &gt; ₹1499, high-LTV skew.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  <w:sz w:val="18"/>
              </w:rPr>
              <w:t>Aug 29–30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Plan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+₹9.5 L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Month-end: gift + 2× loyalty points, repeat-heavy close.</w:t>
            </w:r>
          </w:p>
        </w:tc>
      </w:tr>
    </w:tbl>
    <w:p>
      <w:pPr>
        <w:spacing w:before="200" w:after="80"/>
      </w:pPr>
      <w:r>
        <w:rPr>
          <w:b/>
          <w:color w:val="1F2A44"/>
          <w:sz w:val="30"/>
        </w:rPr>
        <w:t>6.  The ask to Performance Marketing</w:t>
      </w:r>
    </w:p>
    <w:p>
      <w:pPr>
        <w:spacing w:after="100"/>
      </w:pPr>
      <w:r>
        <w:rPr>
          <w:b/>
          <w:color w:val="2E5AAC"/>
          <w:sz w:val="21"/>
        </w:rPr>
        <w:t xml:space="preserve">1.  </w:t>
      </w:r>
      <w:r>
        <w:rPr>
          <w:b/>
          <w:sz w:val="21"/>
        </w:rPr>
        <w:t xml:space="preserve">Acquire 2.97 M new users → 18,762 orders. </w:t>
      </w:r>
      <w:r>
        <w:rPr>
          <w:sz w:val="21"/>
        </w:rPr>
        <w:t>Concentrate prospecting on Power Bank, Stack &amp; Node (ROAS &gt;3.15). Cap Watch Bands.</w:t>
      </w:r>
    </w:p>
    <w:p>
      <w:pPr>
        <w:spacing w:after="100"/>
      </w:pPr>
      <w:r>
        <w:rPr>
          <w:b/>
          <w:color w:val="2E5AAC"/>
          <w:sz w:val="21"/>
        </w:rPr>
        <w:t xml:space="preserve">2.  </w:t>
      </w:r>
      <w:r>
        <w:rPr>
          <w:b/>
          <w:sz w:val="21"/>
        </w:rPr>
        <w:t xml:space="preserve">Drive 1.43 M repeat users → 21,864 orders. </w:t>
      </w:r>
      <w:r>
        <w:rPr>
          <w:sz w:val="21"/>
        </w:rPr>
        <w:t>CRM + app push + retargeting; skew re-engagement to Power Bank / Stack / Charging Station.</w:t>
      </w:r>
    </w:p>
    <w:p>
      <w:pPr>
        <w:spacing w:after="100"/>
      </w:pPr>
      <w:r>
        <w:rPr>
          <w:b/>
          <w:color w:val="2E5AAC"/>
          <w:sz w:val="21"/>
        </w:rPr>
        <w:t xml:space="preserve">3.  </w:t>
      </w:r>
      <w:r>
        <w:rPr>
          <w:b/>
          <w:sz w:val="21"/>
        </w:rPr>
        <w:t xml:space="preserve">Shift order mix to 46% new / 54% repeat. </w:t>
      </w:r>
      <w:r>
        <w:rPr>
          <w:sz w:val="21"/>
        </w:rPr>
        <w:t>+4,664 repeat vs June, new held flat — improves blend without losing topline.</w:t>
      </w:r>
    </w:p>
    <w:p>
      <w:pPr>
        <w:spacing w:after="100"/>
      </w:pPr>
      <w:r>
        <w:rPr>
          <w:b/>
          <w:color w:val="2E5AAC"/>
          <w:sz w:val="21"/>
        </w:rPr>
        <w:t xml:space="preserve">4.  </w:t>
      </w:r>
      <w:r>
        <w:rPr>
          <w:b/>
          <w:sz w:val="21"/>
        </w:rPr>
        <w:t xml:space="preserve">Hold blended Meta ROAS ≥ 3.28x. </w:t>
      </w:r>
      <w:r>
        <w:rPr>
          <w:sz w:val="21"/>
        </w:rPr>
        <w:t>Plan lands 3.39x at ₹2.36 cr spend; incremental shift costs only ~₹19 L.</w:t>
      </w:r>
    </w:p>
    <w:p>
      <w:pPr>
        <w:spacing w:after="100"/>
      </w:pPr>
      <w:r>
        <w:rPr>
          <w:b/>
          <w:color w:val="2E5AAC"/>
          <w:sz w:val="21"/>
        </w:rPr>
        <w:t xml:space="preserve">5.  </w:t>
      </w:r>
      <w:r>
        <w:rPr>
          <w:b/>
          <w:sz w:val="21"/>
        </w:rPr>
        <w:t xml:space="preserve">Run 4 remaining freebie weekends. </w:t>
      </w:r>
      <w:r>
        <w:rPr>
          <w:sz w:val="21"/>
        </w:rPr>
        <w:t>~₹0.38 cr accretive; skew gifts to high-LTV carts to protect margin.</w:t>
      </w:r>
    </w:p>
    <w:p>
      <w:r>
        <w:rPr>
          <w:color w:val="555555"/>
          <w:sz w:val="16"/>
        </w:rPr>
        <w:t>Method &amp; assumptions to validate with Finance: revenue = new×₹2,450 + repeat×₹2,700; users = orders ÷ CVR (new 0.63%, repeat 1.53%, from web+app tracker). Category economics from Meta Ads Jun/Jul 2026; retargeting used as repeat-cost proxy; Meta-attributed ≈ 76% of D2C revenue. AOV premiums, LTV tiers and weekend uplift are planning assumptions.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