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8" w:name="content"/>
    <w:bookmarkStart w:id="97" w:name="tabiclv2-deep-research-report"/>
    <w:p>
      <w:pPr>
        <w:pStyle w:val="Heading1"/>
      </w:pPr>
      <w:r>
        <w:t xml:space="preserve">TabICLv2 Deep Research Report</w:t>
      </w:r>
    </w:p>
    <w:bookmarkStart w:id="28" w:name="executive-summary"/>
    <w:p>
      <w:pPr>
        <w:pStyle w:val="Heading2"/>
      </w:pPr>
      <w:r>
        <w:t xml:space="preserve">Executive summary</w:t>
      </w:r>
    </w:p>
    <w:p>
      <w:pPr>
        <w:pStyle w:val="FirstParagraph"/>
      </w:pPr>
      <w:r>
        <w:t xml:space="preserve">TabICLv2 is a</w:t>
      </w:r>
      <w:r>
        <w:t xml:space="preserve"> </w:t>
      </w:r>
      <w:r>
        <w:rPr>
          <w:b/>
          <w:bCs/>
        </w:rPr>
        <w:t xml:space="preserve">tabular foundation model (TFM)</w:t>
      </w:r>
      <w:r>
        <w:t xml:space="preserve"> </w:t>
      </w:r>
      <w:r>
        <w:t xml:space="preserve">for</w:t>
      </w:r>
      <w:r>
        <w:t xml:space="preserve"> </w:t>
      </w:r>
      <w:r>
        <w:rPr>
          <w:b/>
          <w:bCs/>
        </w:rPr>
        <w:t xml:space="preserve">classification and regression</w:t>
      </w:r>
      <w:r>
        <w:t xml:space="preserve"> </w:t>
      </w:r>
      <w:r>
        <w:t xml:space="preserve">that performs</w:t>
      </w:r>
      <w:r>
        <w:t xml:space="preserve"> </w:t>
      </w:r>
      <w:r>
        <w:rPr>
          <w:b/>
          <w:bCs/>
        </w:rPr>
        <w:t xml:space="preserve">in-context learning (ICL)</w:t>
      </w:r>
      <w:r>
        <w:t xml:space="preserve">: it “fits” and predicts primarily via a</w:t>
      </w:r>
      <w:r>
        <w:t xml:space="preserve"> </w:t>
      </w:r>
      <w:r>
        <w:rPr>
          <w:b/>
          <w:bCs/>
        </w:rPr>
        <w:t xml:space="preserve">single forward pass over the training set as context</w:t>
      </w:r>
      <w:r>
        <w:t xml:space="preserve">, rather than running gradient-based training per dataset.</w:t>
      </w:r>
      <w:r>
        <w:t xml:space="preserve"> </w:t>
      </w:r>
      <w:hyperlink r:id="rId21">
        <w:r>
          <w:rPr>
            <w:rStyle w:val="Hyperlink"/>
          </w:rPr>
          <w:t xml:space="preserve">[1]</w:t>
        </w:r>
      </w:hyperlink>
    </w:p>
    <w:p>
      <w:pPr>
        <w:pStyle w:val="BodyText"/>
      </w:pPr>
      <w:r>
        <w:t xml:space="preserve">The TabICLv2 paper (arXiv:2602.11139) by Jingang Qu</w:t>
      </w:r>
      <w:hyperlink r:id="rId22">
        <w:r>
          <w:rPr>
            <w:rStyle w:val="Hyperlink"/>
          </w:rPr>
          <w:t xml:space="preserve">[2]</w:t>
        </w:r>
      </w:hyperlink>
      <w:r>
        <w:t xml:space="preserve">, David Holzmüller</w:t>
      </w:r>
      <w:hyperlink r:id="rId23">
        <w:r>
          <w:rPr>
            <w:rStyle w:val="Hyperlink"/>
          </w:rPr>
          <w:t xml:space="preserve">[3]</w:t>
        </w:r>
      </w:hyperlink>
      <w:r>
        <w:t xml:space="preserve">, Gael Varoquaux</w:t>
      </w:r>
      <w:hyperlink r:id="rId24">
        <w:r>
          <w:rPr>
            <w:rStyle w:val="Hyperlink"/>
          </w:rPr>
          <w:t xml:space="preserve">[4]</w:t>
        </w:r>
      </w:hyperlink>
      <w:r>
        <w:t xml:space="preserve">, and Marine Le Morvan</w:t>
      </w:r>
      <w:hyperlink r:id="rId25">
        <w:r>
          <w:rPr>
            <w:rStyle w:val="Hyperlink"/>
          </w:rPr>
          <w:t xml:space="preserve">[5]</w:t>
        </w:r>
      </w:hyperlink>
      <w:r>
        <w:t xml:space="preserve"> </w:t>
      </w:r>
      <w:r>
        <w:t xml:space="preserve">argues that TabICLv2’s performance and scalability come from three “pillars”:</w:t>
      </w:r>
      <w:r>
        <w:t xml:space="preserve"> </w:t>
      </w:r>
      <w:r>
        <w:rPr>
          <w:b/>
          <w:bCs/>
        </w:rPr>
        <w:t xml:space="preserve">(i) a new synthetic data prior (data generator), (ii) architectural innovations (notably a scalable attention softmax), and (iii) improved pretraining protocols (notably the Muon optimizer)</w:t>
      </w:r>
      <w:r>
        <w:t xml:space="preserve">.</w:t>
      </w:r>
      <w:r>
        <w:t xml:space="preserve"> </w:t>
      </w:r>
      <w:hyperlink r:id="rId21">
        <w:r>
          <w:rPr>
            <w:rStyle w:val="Hyperlink"/>
          </w:rPr>
          <w:t xml:space="preserve">[6]</w:t>
        </w:r>
      </w:hyperlink>
    </w:p>
    <w:p>
      <w:pPr>
        <w:pStyle w:val="BodyText"/>
      </w:pPr>
      <w:r>
        <w:t xml:space="preserve">Key technical takeaways that matter operationally:</w:t>
      </w:r>
    </w:p>
    <w:p>
      <w:pPr>
        <w:pStyle w:val="Compact"/>
        <w:numPr>
          <w:ilvl w:val="0"/>
          <w:numId w:val="1001"/>
        </w:numPr>
      </w:pPr>
      <w:r>
        <w:rPr>
          <w:b/>
          <w:bCs/>
        </w:rPr>
        <w:t xml:space="preserve">Architecture</w:t>
      </w:r>
      <w:r>
        <w:t xml:space="preserve">: a “compression then ICL” pipeline—</w:t>
      </w:r>
      <w:r>
        <w:rPr>
          <w:b/>
          <w:bCs/>
        </w:rPr>
        <w:t xml:space="preserve">column-wise embedding</w:t>
      </w:r>
      <w:r>
        <w:t xml:space="preserve"> </w:t>
      </w:r>
      <w:r>
        <w:t xml:space="preserve">(Set Transformer with inducing points),</w:t>
      </w:r>
      <w:r>
        <w:t xml:space="preserve"> </w:t>
      </w:r>
      <w:r>
        <w:rPr>
          <w:b/>
          <w:bCs/>
        </w:rPr>
        <w:t xml:space="preserve">row-wise interaction</w:t>
      </w:r>
      <w:r>
        <w:t xml:space="preserve"> </w:t>
      </w:r>
      <w:r>
        <w:t xml:space="preserve">(Transformer + [CLS] tokens to compress each row), and</w:t>
      </w:r>
      <w:r>
        <w:t xml:space="preserve"> </w:t>
      </w:r>
      <w:r>
        <w:rPr>
          <w:b/>
          <w:bCs/>
        </w:rPr>
        <w:t xml:space="preserve">dataset-wise ICL</w:t>
      </w:r>
      <w:r>
        <w:t xml:space="preserve"> </w:t>
      </w:r>
      <w:r>
        <w:t xml:space="preserve">(Transformer over row embeddings, where test rows attend to training rows).</w:t>
      </w:r>
      <w:r>
        <w:t xml:space="preserve"> </w:t>
      </w:r>
      <w:hyperlink r:id="rId21">
        <w:r>
          <w:rPr>
            <w:rStyle w:val="Hyperlink"/>
          </w:rPr>
          <w:t xml:space="preserve">[7]</w:t>
        </w:r>
      </w:hyperlink>
    </w:p>
    <w:p>
      <w:pPr>
        <w:pStyle w:val="Compact"/>
        <w:numPr>
          <w:ilvl w:val="0"/>
          <w:numId w:val="1001"/>
        </w:numPr>
      </w:pPr>
      <w:r>
        <w:rPr>
          <w:b/>
          <w:bCs/>
        </w:rPr>
        <w:t xml:space="preserve">Long-context generalization</w:t>
      </w:r>
      <w:r>
        <w:t xml:space="preserve">: a new attention temperature-scaling mechanism,</w:t>
      </w:r>
      <w:r>
        <w:t xml:space="preserve"> </w:t>
      </w:r>
      <w:r>
        <w:rPr>
          <w:b/>
          <w:bCs/>
        </w:rPr>
        <w:t xml:space="preserve">QASSMax (Query-Aware Scalable Softmax)</w:t>
      </w:r>
      <w:r>
        <w:t xml:space="preserve">, designed to mitigate “attention fading” as context grows.</w:t>
      </w:r>
      <w:r>
        <w:t xml:space="preserve"> </w:t>
      </w:r>
      <w:hyperlink r:id="rId21">
        <w:r>
          <w:rPr>
            <w:rStyle w:val="Hyperlink"/>
          </w:rPr>
          <w:t xml:space="preserve">[8]</w:t>
        </w:r>
      </w:hyperlink>
    </w:p>
    <w:p>
      <w:pPr>
        <w:pStyle w:val="Compact"/>
        <w:numPr>
          <w:ilvl w:val="0"/>
          <w:numId w:val="1001"/>
        </w:numPr>
      </w:pPr>
      <w:r>
        <w:rPr>
          <w:b/>
          <w:bCs/>
        </w:rPr>
        <w:t xml:space="preserve">Pretraining curriculum</w:t>
      </w:r>
      <w:r>
        <w:t xml:space="preserve">: three stages, batch size 64, synthetic datasets up to 100 features; stages 2–3 explicitly expose the model to larger synthetic dataset sizes to improve generalization to large real tables.</w:t>
      </w:r>
      <w:r>
        <w:t xml:space="preserve"> </w:t>
      </w:r>
      <w:hyperlink r:id="rId21">
        <w:r>
          <w:rPr>
            <w:rStyle w:val="Hyperlink"/>
          </w:rPr>
          <w:t xml:space="preserve">[9]</w:t>
        </w:r>
      </w:hyperlink>
    </w:p>
    <w:p>
      <w:pPr>
        <w:pStyle w:val="Compact"/>
        <w:numPr>
          <w:ilvl w:val="0"/>
          <w:numId w:val="1001"/>
        </w:numPr>
      </w:pPr>
      <w:r>
        <w:rPr>
          <w:b/>
          <w:bCs/>
        </w:rPr>
        <w:t xml:space="preserve">Regression head</w:t>
      </w:r>
      <w:r>
        <w:t xml:space="preserve">:</w:t>
      </w:r>
      <w:r>
        <w:t xml:space="preserve"> </w:t>
      </w:r>
      <w:r>
        <w:rPr>
          <w:b/>
          <w:bCs/>
        </w:rPr>
        <w:t xml:space="preserve">999-quantile prediction</w:t>
      </w:r>
      <w:r>
        <w:t xml:space="preserve"> </w:t>
      </w:r>
      <w:r>
        <w:t xml:space="preserve">trained with summed</w:t>
      </w:r>
      <w:r>
        <w:t xml:space="preserve"> </w:t>
      </w:r>
      <w:r>
        <w:rPr>
          <w:b/>
          <w:bCs/>
        </w:rPr>
        <w:t xml:space="preserve">pinball loss</w:t>
      </w:r>
      <w:r>
        <w:t xml:space="preserve">, with point estimates obtained by averaging quantiles; the appendix describes converting quantiles into PDFs/CDFs via monotonicity enforcement and tail modeling.</w:t>
      </w:r>
      <w:r>
        <w:t xml:space="preserve"> </w:t>
      </w:r>
      <w:hyperlink r:id="rId21">
        <w:r>
          <w:rPr>
            <w:rStyle w:val="Hyperlink"/>
          </w:rPr>
          <w:t xml:space="preserve">[10]</w:t>
        </w:r>
      </w:hyperlink>
    </w:p>
    <w:p>
      <w:pPr>
        <w:pStyle w:val="Compact"/>
        <w:numPr>
          <w:ilvl w:val="0"/>
          <w:numId w:val="1001"/>
        </w:numPr>
      </w:pPr>
      <w:r>
        <w:rPr>
          <w:b/>
          <w:bCs/>
        </w:rPr>
        <w:t xml:space="preserve">Inference scalability</w:t>
      </w:r>
      <w:r>
        <w:t xml:space="preserve">: engineering optimizations such as</w:t>
      </w:r>
      <w:r>
        <w:t xml:space="preserve"> </w:t>
      </w:r>
      <w:r>
        <w:rPr>
          <w:b/>
          <w:bCs/>
        </w:rPr>
        <w:t xml:space="preserve">selective Q/K/V projections</w:t>
      </w:r>
      <w:r>
        <w:t xml:space="preserve"> </w:t>
      </w:r>
      <w:r>
        <w:t xml:space="preserve">and</w:t>
      </w:r>
      <w:r>
        <w:t xml:space="preserve"> </w:t>
      </w:r>
      <w:r>
        <w:rPr>
          <w:b/>
          <w:bCs/>
        </w:rPr>
        <w:t xml:space="preserve">GPU/CPU/disk offloading</w:t>
      </w:r>
      <w:r>
        <w:t xml:space="preserve"> </w:t>
      </w:r>
      <w:r>
        <w:t xml:space="preserve">(including disk memmap + asynchronous transfer) aimed at million-scale tables.</w:t>
      </w:r>
      <w:r>
        <w:t xml:space="preserve"> </w:t>
      </w:r>
      <w:hyperlink r:id="rId21">
        <w:r>
          <w:rPr>
            <w:rStyle w:val="Hyperlink"/>
          </w:rPr>
          <w:t xml:space="preserve">[11]</w:t>
        </w:r>
      </w:hyperlink>
    </w:p>
    <w:p>
      <w:pPr>
        <w:pStyle w:val="FirstParagraph"/>
      </w:pPr>
      <w:r>
        <w:t xml:space="preserve">Ecosystem status (as of this report date):</w:t>
      </w:r>
    </w:p>
    <w:p>
      <w:pPr>
        <w:pStyle w:val="Compact"/>
        <w:numPr>
          <w:ilvl w:val="0"/>
          <w:numId w:val="1002"/>
        </w:numPr>
      </w:pPr>
      <w:r>
        <w:t xml:space="preserve">Official code is in the GitHub</w:t>
      </w:r>
      <w:hyperlink r:id="rId26">
        <w:r>
          <w:rPr>
            <w:rStyle w:val="Hyperlink"/>
          </w:rPr>
          <w:t xml:space="preserve">[12]</w:t>
        </w:r>
      </w:hyperlink>
      <w:r>
        <w:t xml:space="preserve"> </w:t>
      </w:r>
      <w:r>
        <w:t xml:space="preserve">repo</w:t>
      </w:r>
      <w:r>
        <w:t xml:space="preserve"> </w:t>
      </w:r>
      <w:r>
        <w:rPr>
          <w:rStyle w:val="VerbatimChar"/>
        </w:rPr>
        <w:t xml:space="preserve">soda-inria/tabicl</w:t>
      </w:r>
      <w:r>
        <w:t xml:space="preserve">.</w:t>
      </w:r>
      <w:r>
        <w:t xml:space="preserve"> </w:t>
      </w:r>
      <w:hyperlink r:id="rId22">
        <w:r>
          <w:rPr>
            <w:rStyle w:val="Hyperlink"/>
          </w:rPr>
          <w:t xml:space="preserve">[13]</w:t>
        </w:r>
      </w:hyperlink>
    </w:p>
    <w:p>
      <w:pPr>
        <w:pStyle w:val="Compact"/>
        <w:numPr>
          <w:ilvl w:val="0"/>
          <w:numId w:val="1002"/>
        </w:numPr>
      </w:pPr>
      <w:r>
        <w:t xml:space="preserve">The pip package (</w:t>
      </w:r>
      <w:r>
        <w:rPr>
          <w:rStyle w:val="VerbatimChar"/>
        </w:rPr>
        <w:t xml:space="preserve">tabicl</w:t>
      </w:r>
      <w:r>
        <w:t xml:space="preserve">) exposes a</w:t>
      </w:r>
      <w:r>
        <w:t xml:space="preserve"> </w:t>
      </w:r>
      <w:r>
        <w:rPr>
          <w:b/>
          <w:bCs/>
        </w:rPr>
        <w:t xml:space="preserve">scikit-learn-like API</w:t>
      </w:r>
      <w:r>
        <w:t xml:space="preserve">, provides preprocessing utilities, ensembling controls, KV caching, and offload modes.</w:t>
      </w:r>
      <w:r>
        <w:t xml:space="preserve"> </w:t>
      </w:r>
      <w:hyperlink r:id="rId22">
        <w:r>
          <w:rPr>
            <w:rStyle w:val="Hyperlink"/>
          </w:rPr>
          <w:t xml:space="preserve">[14]</w:t>
        </w:r>
      </w:hyperlink>
    </w:p>
    <w:p>
      <w:pPr>
        <w:pStyle w:val="Compact"/>
        <w:numPr>
          <w:ilvl w:val="0"/>
          <w:numId w:val="1002"/>
        </w:numPr>
      </w:pPr>
      <w:r>
        <w:rPr>
          <w:b/>
          <w:bCs/>
        </w:rPr>
        <w:t xml:space="preserve">TabICLv2 inference code + weights are released</w:t>
      </w:r>
      <w:r>
        <w:t xml:space="preserve">, while the repo states that</w:t>
      </w:r>
      <w:r>
        <w:t xml:space="preserve"> </w:t>
      </w:r>
      <w:r>
        <w:rPr>
          <w:b/>
          <w:bCs/>
        </w:rPr>
        <w:t xml:space="preserve">TabICLv2 pretraining code will be released upon publication</w:t>
      </w:r>
      <w:r>
        <w:t xml:space="preserve"> </w:t>
      </w:r>
      <w:r>
        <w:t xml:space="preserve">(v1 pretraining scripts exist today).</w:t>
      </w:r>
      <w:r>
        <w:t xml:space="preserve"> </w:t>
      </w:r>
      <w:hyperlink r:id="rId21">
        <w:r>
          <w:rPr>
            <w:rStyle w:val="Hyperlink"/>
          </w:rPr>
          <w:t xml:space="preserve">[15]</w:t>
        </w:r>
      </w:hyperlink>
    </w:p>
    <w:p>
      <w:pPr>
        <w:pStyle w:val="Compact"/>
        <w:numPr>
          <w:ilvl w:val="0"/>
          <w:numId w:val="1002"/>
        </w:numPr>
      </w:pPr>
      <w:r>
        <w:t xml:space="preserve">Model weights are also hosted on Hugging Face</w:t>
      </w:r>
      <w:hyperlink r:id="rId26">
        <w:r>
          <w:rPr>
            <w:rStyle w:val="Hyperlink"/>
          </w:rPr>
          <w:t xml:space="preserve">[16]</w:t>
        </w:r>
      </w:hyperlink>
      <w:r>
        <w:t xml:space="preserve"> </w:t>
      </w:r>
      <w:r>
        <w:t xml:space="preserve">under</w:t>
      </w:r>
      <w:r>
        <w:t xml:space="preserve"> </w:t>
      </w:r>
      <w:r>
        <w:rPr>
          <w:rStyle w:val="VerbatimChar"/>
        </w:rPr>
        <w:t xml:space="preserve">jingang/TabICL</w:t>
      </w:r>
      <w:r>
        <w:t xml:space="preserve"> </w:t>
      </w:r>
      <w:r>
        <w:t xml:space="preserve">with license marked</w:t>
      </w:r>
      <w:r>
        <w:t xml:space="preserve"> </w:t>
      </w:r>
      <w:r>
        <w:rPr>
          <w:b/>
          <w:bCs/>
        </w:rPr>
        <w:t xml:space="preserve">BSD-3-Clause</w:t>
      </w:r>
      <w:r>
        <w:t xml:space="preserve">.</w:t>
      </w:r>
      <w:r>
        <w:t xml:space="preserve"> </w:t>
      </w:r>
      <w:hyperlink r:id="rId27">
        <w:r>
          <w:rPr>
            <w:rStyle w:val="Hyperlink"/>
          </w:rPr>
          <w:t xml:space="preserve">[17]</w:t>
        </w:r>
      </w:hyperlink>
    </w:p>
    <w:bookmarkEnd w:id="28"/>
    <w:bookmarkStart w:id="32" w:name="core-concepts-and-motivation"/>
    <w:p>
      <w:pPr>
        <w:pStyle w:val="Heading2"/>
      </w:pPr>
      <w:r>
        <w:t xml:space="preserve">Core concepts and motivation</w:t>
      </w:r>
    </w:p>
    <w:bookmarkStart w:id="29" w:name="what-tabular-foundation-model-means-here"/>
    <w:p>
      <w:pPr>
        <w:pStyle w:val="Heading3"/>
      </w:pPr>
      <w:r>
        <w:t xml:space="preserve">What “tabular foundation model” means here</w:t>
      </w:r>
    </w:p>
    <w:p>
      <w:pPr>
        <w:pStyle w:val="FirstParagraph"/>
      </w:pPr>
      <w:r>
        <w:t xml:space="preserve">In this literature line, “foundation model” does</w:t>
      </w:r>
      <w:r>
        <w:t xml:space="preserve"> </w:t>
      </w:r>
      <w:r>
        <w:rPr>
          <w:b/>
          <w:bCs/>
        </w:rPr>
        <w:t xml:space="preserve">not</w:t>
      </w:r>
      <w:r>
        <w:t xml:space="preserve"> </w:t>
      </w:r>
      <w:r>
        <w:t xml:space="preserve">mean a text LLM that reads tables as text. Instead, TFMs are typically</w:t>
      </w:r>
      <w:r>
        <w:t xml:space="preserve"> </w:t>
      </w:r>
      <w:r>
        <w:rPr>
          <w:b/>
          <w:bCs/>
        </w:rPr>
        <w:t xml:space="preserve">Transformers trained on many tasks</w:t>
      </w:r>
      <w:r>
        <w:t xml:space="preserve"> </w:t>
      </w:r>
      <w:r>
        <w:t xml:space="preserve">(often synthetic) to</w:t>
      </w:r>
      <w:r>
        <w:t xml:space="preserve"> </w:t>
      </w:r>
      <w:r>
        <w:rPr>
          <w:b/>
          <w:bCs/>
        </w:rPr>
        <w:t xml:space="preserve">learn the inference procedure itself</w:t>
      </w:r>
      <w:r>
        <w:t xml:space="preserve">, so that at test time the model can condition on a new dataset and produce predictions without gradient descent.</w:t>
      </w:r>
    </w:p>
    <w:p>
      <w:pPr>
        <w:pStyle w:val="BodyText"/>
      </w:pPr>
      <w:r>
        <w:t xml:space="preserve">TabICLv2 is framed as a TFM in the</w:t>
      </w:r>
      <w:r>
        <w:t xml:space="preserve"> </w:t>
      </w:r>
      <w:r>
        <w:rPr>
          <w:b/>
          <w:bCs/>
        </w:rPr>
        <w:t xml:space="preserve">Prior-Data Fitted Network (PFN)</w:t>
      </w:r>
      <w:r>
        <w:t xml:space="preserve"> </w:t>
      </w:r>
      <w:r>
        <w:t xml:space="preserve">tradition: during pretraining, one samples synthetic datasets from a</w:t>
      </w:r>
      <w:r>
        <w:t xml:space="preserve"> </w:t>
      </w:r>
      <w:r>
        <w:rPr>
          <w:i/>
          <w:iCs/>
        </w:rPr>
        <w:t xml:space="preserve">prior</w:t>
      </w:r>
      <w:r>
        <w:t xml:space="preserve"> </w:t>
      </w:r>
      <w:r>
        <w:t xml:space="preserve">(a stochastic data generator) and trains the model end-to-end so that it predicts targets for held-out/query points given the context/train split.</w:t>
      </w:r>
      <w:r>
        <w:t xml:space="preserve"> </w:t>
      </w:r>
      <w:hyperlink r:id="rId21">
        <w:r>
          <w:rPr>
            <w:rStyle w:val="Hyperlink"/>
          </w:rPr>
          <w:t xml:space="preserve">[18]</w:t>
        </w:r>
      </w:hyperlink>
    </w:p>
    <w:bookmarkEnd w:id="29"/>
    <w:bookmarkStart w:id="30" w:name="Xd1a0a69a625b2b4c25e1dc87375b5c998fd5c8b"/>
    <w:p>
      <w:pPr>
        <w:pStyle w:val="Heading3"/>
      </w:pPr>
      <w:r>
        <w:t xml:space="preserve">In-context learning for tabular prediction</w:t>
      </w:r>
    </w:p>
    <w:p>
      <w:pPr>
        <w:pStyle w:val="FirstParagraph"/>
      </w:pPr>
      <w:r>
        <w:t xml:space="preserve">The core ICL contract for TabICL/TabICLv2 is conceptually:</w:t>
      </w:r>
    </w:p>
    <w:p>
      <w:pPr>
        <w:pStyle w:val="Compact"/>
        <w:numPr>
          <w:ilvl w:val="0"/>
          <w:numId w:val="1003"/>
        </w:numPr>
      </w:pPr>
      <w:r>
        <w:rPr>
          <w:b/>
          <w:bCs/>
        </w:rPr>
        <w:t xml:space="preserve">Input</w:t>
      </w:r>
      <w:r>
        <w:t xml:space="preserve">: training features</w:t>
      </w:r>
      <w:r>
        <w:t xml:space="preserve"> </w:t>
      </w:r>
      <w:r>
        <w:rPr>
          <w:rStyle w:val="VerbatimChar"/>
        </w:rPr>
        <w:t xml:space="preserve">X_train</w:t>
      </w:r>
      <w:r>
        <w:t xml:space="preserve">, training labels</w:t>
      </w:r>
      <w:r>
        <w:t xml:space="preserve"> </w:t>
      </w:r>
      <w:r>
        <w:rPr>
          <w:rStyle w:val="VerbatimChar"/>
        </w:rPr>
        <w:t xml:space="preserve">y_train</w:t>
      </w:r>
      <w:r>
        <w:t xml:space="preserve">, test features</w:t>
      </w:r>
      <w:r>
        <w:t xml:space="preserve"> </w:t>
      </w:r>
      <w:r>
        <w:rPr>
          <w:rStyle w:val="VerbatimChar"/>
        </w:rPr>
        <w:t xml:space="preserve">X_test</w:t>
      </w:r>
    </w:p>
    <w:p>
      <w:pPr>
        <w:pStyle w:val="Compact"/>
        <w:numPr>
          <w:ilvl w:val="0"/>
          <w:numId w:val="1003"/>
        </w:numPr>
      </w:pPr>
      <w:r>
        <w:rPr>
          <w:b/>
          <w:bCs/>
        </w:rPr>
        <w:t xml:space="preserve">Output</w:t>
      </w:r>
      <w:r>
        <w:t xml:space="preserve">: predicted labels/probabilities/quantiles for</w:t>
      </w:r>
      <w:r>
        <w:t xml:space="preserve"> </w:t>
      </w:r>
      <w:r>
        <w:rPr>
          <w:rStyle w:val="VerbatimChar"/>
        </w:rPr>
        <w:t xml:space="preserve">X_test</w:t>
      </w:r>
    </w:p>
    <w:p>
      <w:pPr>
        <w:pStyle w:val="FirstParagraph"/>
      </w:pPr>
      <w:r>
        <w:t xml:space="preserve">The official README summarizes this style as</w:t>
      </w:r>
      <w:r>
        <w:t xml:space="preserve"> </w:t>
      </w:r>
      <w:r>
        <w:rPr>
          <w:rStyle w:val="VerbatimChar"/>
        </w:rPr>
        <w:t xml:space="preserve">y_pred = model(X_train, y_train, X_test)</w:t>
      </w:r>
      <w:r>
        <w:t xml:space="preserve"> </w:t>
      </w:r>
      <w:r>
        <w:t xml:space="preserve">occurring inside</w:t>
      </w:r>
      <w:r>
        <w:t xml:space="preserve"> </w:t>
      </w:r>
      <w:r>
        <w:rPr>
          <w:rStyle w:val="VerbatimChar"/>
        </w:rPr>
        <w:t xml:space="preserve">predict()</w:t>
      </w:r>
      <w:r>
        <w:t xml:space="preserve"> </w:t>
      </w:r>
      <w:r>
        <w:t xml:space="preserve">(i.e., the forward pass performs what classical ML would call “training + inference”).</w:t>
      </w:r>
      <w:r>
        <w:t xml:space="preserve"> </w:t>
      </w:r>
      <w:hyperlink r:id="rId22">
        <w:r>
          <w:rPr>
            <w:rStyle w:val="Hyperlink"/>
          </w:rPr>
          <w:t xml:space="preserve">[19]</w:t>
        </w:r>
      </w:hyperlink>
    </w:p>
    <w:p>
      <w:pPr>
        <w:pStyle w:val="BodyText"/>
      </w:pPr>
      <w:r>
        <w:t xml:space="preserve">This is motivated by two practical goals emphasized in the paper + repo:</w:t>
      </w:r>
    </w:p>
    <w:p>
      <w:pPr>
        <w:pStyle w:val="Compact"/>
        <w:numPr>
          <w:ilvl w:val="0"/>
          <w:numId w:val="1004"/>
        </w:numPr>
      </w:pPr>
      <w:r>
        <w:rPr>
          <w:b/>
          <w:bCs/>
        </w:rPr>
        <w:t xml:space="preserve">Reduce per-dataset hyperparameter tuning needs</w:t>
      </w:r>
      <w:r>
        <w:t xml:space="preserve"> </w:t>
      </w:r>
      <w:r>
        <w:t xml:space="preserve">while maintaining strong accuracy on benchmarks.</w:t>
      </w:r>
      <w:r>
        <w:t xml:space="preserve"> </w:t>
      </w:r>
      <w:hyperlink r:id="rId21">
        <w:r>
          <w:rPr>
            <w:rStyle w:val="Hyperlink"/>
          </w:rPr>
          <w:t xml:space="preserve">[20]</w:t>
        </w:r>
      </w:hyperlink>
    </w:p>
    <w:p>
      <w:pPr>
        <w:pStyle w:val="Compact"/>
        <w:numPr>
          <w:ilvl w:val="0"/>
          <w:numId w:val="1004"/>
        </w:numPr>
      </w:pPr>
      <w:r>
        <w:rPr>
          <w:b/>
          <w:bCs/>
        </w:rPr>
        <w:t xml:space="preserve">Scale in inference to larger tabular datasets</w:t>
      </w:r>
      <w:r>
        <w:t xml:space="preserve"> </w:t>
      </w:r>
      <w:r>
        <w:t xml:space="preserve">(tens of thousands to much larger), addressing computational bottlenecks faced by earlier designs.</w:t>
      </w:r>
      <w:r>
        <w:t xml:space="preserve"> </w:t>
      </w:r>
      <w:hyperlink r:id="rId21">
        <w:r>
          <w:rPr>
            <w:rStyle w:val="Hyperlink"/>
          </w:rPr>
          <w:t xml:space="preserve">[21]</w:t>
        </w:r>
      </w:hyperlink>
    </w:p>
    <w:bookmarkEnd w:id="30"/>
    <w:bookmarkStart w:id="31" w:name="Xbbdc85f91de686d8b77411c8827a2cc62aa1817"/>
    <w:p>
      <w:pPr>
        <w:pStyle w:val="Heading3"/>
      </w:pPr>
      <w:r>
        <w:t xml:space="preserve">Why attention scaling becomes a bottleneck</w:t>
      </w:r>
    </w:p>
    <w:p>
      <w:pPr>
        <w:pStyle w:val="FirstParagraph"/>
      </w:pPr>
      <w:r>
        <w:t xml:space="preserve">A recurring challenge for PFN-style TFMs is</w:t>
      </w:r>
      <w:r>
        <w:t xml:space="preserve"> </w:t>
      </w:r>
      <w:r>
        <w:rPr>
          <w:b/>
          <w:bCs/>
        </w:rPr>
        <w:t xml:space="preserve">length generalization</w:t>
      </w:r>
      <w:r>
        <w:t xml:space="preserve">: as the “context” (training set) grows, vanilla softmax attention can become diffuse (“attention fading”), impairing the model’s ability to focus on the most relevant context points. TabICLv2 highlights this as motivation for adopting temperature scaling and proposing QASSMax.</w:t>
      </w:r>
      <w:r>
        <w:t xml:space="preserve"> </w:t>
      </w:r>
      <w:hyperlink r:id="rId21">
        <w:r>
          <w:rPr>
            <w:rStyle w:val="Hyperlink"/>
          </w:rPr>
          <w:t xml:space="preserve">[8]</w:t>
        </w:r>
      </w:hyperlink>
    </w:p>
    <w:bookmarkEnd w:id="31"/>
    <w:bookmarkEnd w:id="32"/>
    <w:bookmarkStart w:id="38" w:name="model-architecture-and-components"/>
    <w:p>
      <w:pPr>
        <w:pStyle w:val="Heading2"/>
      </w:pPr>
      <w:r>
        <w:t xml:space="preserve">Model architecture and components</w:t>
      </w:r>
    </w:p>
    <w:bookmarkStart w:id="33" w:name="high-level-structure"/>
    <w:p>
      <w:pPr>
        <w:pStyle w:val="Heading3"/>
      </w:pPr>
      <w:r>
        <w:t xml:space="preserve">High-level structure</w:t>
      </w:r>
    </w:p>
    <w:p>
      <w:pPr>
        <w:pStyle w:val="FirstParagraph"/>
      </w:pPr>
      <w:r>
        <w:t xml:space="preserve">The paper’s Figure 2 caption describes the core pipeline:</w:t>
      </w:r>
    </w:p>
    <w:p>
      <w:pPr>
        <w:pStyle w:val="Compact"/>
        <w:numPr>
          <w:ilvl w:val="0"/>
          <w:numId w:val="1005"/>
        </w:numPr>
      </w:pPr>
      <w:r>
        <w:rPr>
          <w:b/>
          <w:bCs/>
        </w:rPr>
        <w:t xml:space="preserve">Repeated feature grouping</w:t>
      </w:r>
      <w:r>
        <w:t xml:space="preserve"> </w:t>
      </w:r>
      <w:r>
        <w:t xml:space="preserve">encodes columns into multiple groups via</w:t>
      </w:r>
      <w:r>
        <w:t xml:space="preserve"> </w:t>
      </w:r>
      <w:r>
        <w:rPr>
          <w:b/>
          <w:bCs/>
        </w:rPr>
        <w:t xml:space="preserve">circular shifts</w:t>
      </w:r>
      <w:r>
        <w:t xml:space="preserve"> </w:t>
      </w:r>
      <w:r>
        <w:t xml:space="preserve">“to break feature symmetries”</w:t>
      </w:r>
    </w:p>
    <w:p>
      <w:pPr>
        <w:pStyle w:val="Compact"/>
        <w:numPr>
          <w:ilvl w:val="0"/>
          <w:numId w:val="1005"/>
        </w:numPr>
      </w:pPr>
      <w:r>
        <w:rPr>
          <w:b/>
          <w:bCs/>
        </w:rPr>
        <w:t xml:space="preserve">Target-aware embedding</w:t>
      </w:r>
      <w:r>
        <w:t xml:space="preserve"> </w:t>
      </w:r>
      <w:r>
        <w:t xml:space="preserve">injects target information early</w:t>
      </w:r>
    </w:p>
    <w:p>
      <w:pPr>
        <w:pStyle w:val="Compact"/>
        <w:numPr>
          <w:ilvl w:val="0"/>
          <w:numId w:val="1005"/>
        </w:numPr>
      </w:pPr>
      <w:r>
        <w:t xml:space="preserve">Then:</w:t>
      </w:r>
      <w:r>
        <w:t xml:space="preserve"> </w:t>
      </w:r>
      <w:r>
        <w:rPr>
          <w:b/>
          <w:bCs/>
        </w:rPr>
        <w:t xml:space="preserve">column-wise embedding → row-wise aggregation → dataset-wise ICL</w:t>
      </w:r>
      <w:r>
        <w:t xml:space="preserve"> </w:t>
      </w:r>
      <w:r>
        <w:t xml:space="preserve">to predict test targets</w:t>
      </w:r>
    </w:p>
    <w:p>
      <w:pPr>
        <w:pStyle w:val="Compact"/>
        <w:numPr>
          <w:ilvl w:val="0"/>
          <w:numId w:val="1005"/>
        </w:numPr>
      </w:pPr>
      <w:r>
        <w:rPr>
          <w:b/>
          <w:bCs/>
        </w:rPr>
        <w:t xml:space="preserve">QASSMax</w:t>
      </w:r>
      <w:r>
        <w:t xml:space="preserve"> </w:t>
      </w:r>
      <w:r>
        <w:t xml:space="preserve">is applied in key attention components (including inducing-point aggregation) to improve long-context generalization</w:t>
      </w:r>
      <w:r>
        <w:t xml:space="preserve"> </w:t>
      </w:r>
      <w:hyperlink r:id="rId21">
        <w:r>
          <w:rPr>
            <w:rStyle w:val="Hyperlink"/>
          </w:rPr>
          <w:t xml:space="preserve">[8]</w:t>
        </w:r>
      </w:hyperlink>
    </w:p>
    <w:bookmarkEnd w:id="33"/>
    <w:bookmarkStart w:id="34" w:name="architecture-flowchart-pedagogical"/>
    <w:p>
      <w:pPr>
        <w:pStyle w:val="Heading3"/>
      </w:pPr>
      <w:r>
        <w:t xml:space="preserve">Architecture flowchart (pedagogical)</w:t>
      </w:r>
    </w:p>
    <w:p>
      <w:pPr>
        <w:pStyle w:val="SourceCode"/>
      </w:pPr>
      <w:r>
        <w:rPr>
          <w:rStyle w:val="VerbatimChar"/>
        </w:rPr>
        <w:t xml:space="preserve">flowchart TD</w:t>
      </w:r>
      <w:r>
        <w:br/>
      </w:r>
      <w:r>
        <w:rPr>
          <w:rStyle w:val="VerbatimChar"/>
        </w:rPr>
        <w:t xml:space="preserve">  A[Raw table X, labels y] --&gt; B[Preprocessing / encoding]</w:t>
      </w:r>
      <w:r>
        <w:br/>
      </w:r>
      <w:r>
        <w:rPr>
          <w:rStyle w:val="VerbatimChar"/>
        </w:rPr>
        <w:t xml:space="preserve">  B --&gt; C[Repeated Feature Grouping\n(circular shifts; break symmetry)]</w:t>
      </w:r>
      <w:r>
        <w:br/>
      </w:r>
      <w:r>
        <w:rPr>
          <w:rStyle w:val="VerbatimChar"/>
        </w:rPr>
        <w:t xml:space="preserve">  C --&gt; D[Target-aware embedding\n(add target embeddings to training tokens)]</w:t>
      </w:r>
      <w:r>
        <w:br/>
      </w:r>
      <w:r>
        <w:rPr>
          <w:rStyle w:val="VerbatimChar"/>
        </w:rPr>
        <w:t xml:space="preserve">  D --&gt; E[Stage 1: Column-wise embedding\nSet Transformer (ISAB; inducing points)]</w:t>
      </w:r>
      <w:r>
        <w:br/>
      </w:r>
      <w:r>
        <w:rPr>
          <w:rStyle w:val="VerbatimChar"/>
        </w:rPr>
        <w:t xml:space="preserve">  E --&gt; F[Stage 2: Row-wise interaction\nTransformer + CLS tokens\ncompress each row =&gt; row embedding]</w:t>
      </w:r>
      <w:r>
        <w:br/>
      </w:r>
      <w:r>
        <w:rPr>
          <w:rStyle w:val="VerbatimChar"/>
        </w:rPr>
        <w:t xml:space="preserve">  F --&gt; G[Stage 3: Dataset-wise ICL\nTransformer over row embeddings\n(test attends to train)]</w:t>
      </w:r>
      <w:r>
        <w:br/>
      </w:r>
      <w:r>
        <w:rPr>
          <w:rStyle w:val="VerbatimChar"/>
        </w:rPr>
        <w:t xml:space="preserve">  G --&gt; H[Prediction head\nClassification: logits/probs\nRegression: 999 quantiles]</w:t>
      </w:r>
      <w:r>
        <w:br/>
      </w:r>
      <w:r>
        <w:rPr>
          <w:rStyle w:val="VerbatimChar"/>
        </w:rPr>
        <w:t xml:space="preserve">  subgraph Attention scaling</w:t>
      </w:r>
      <w:r>
        <w:br/>
      </w:r>
      <w:r>
        <w:rPr>
          <w:rStyle w:val="VerbatimChar"/>
        </w:rPr>
        <w:t xml:space="preserve">    E -. QASSMax / scalable softmax .- E</w:t>
      </w:r>
      <w:r>
        <w:br/>
      </w:r>
      <w:r>
        <w:rPr>
          <w:rStyle w:val="VerbatimChar"/>
        </w:rPr>
        <w:t xml:space="preserve">    G -. QASSMax / scalable softmax .- G</w:t>
      </w:r>
      <w:r>
        <w:br/>
      </w:r>
      <w:r>
        <w:rPr>
          <w:rStyle w:val="VerbatimChar"/>
        </w:rPr>
        <w:t xml:space="preserve">  end</w:t>
      </w:r>
    </w:p>
    <w:p>
      <w:pPr>
        <w:pStyle w:val="FirstParagraph"/>
      </w:pPr>
      <w:r>
        <w:t xml:space="preserve">This diagram matches the paper’s “compression then ICL” framing: the model first compresses the high-dimensional table into row representations, then performs ICL over those row embeddings.</w:t>
      </w:r>
      <w:r>
        <w:t xml:space="preserve"> </w:t>
      </w:r>
      <w:hyperlink r:id="rId21">
        <w:r>
          <w:rPr>
            <w:rStyle w:val="Hyperlink"/>
          </w:rPr>
          <w:t xml:space="preserve">[22]</w:t>
        </w:r>
      </w:hyperlink>
    </w:p>
    <w:bookmarkEnd w:id="34"/>
    <w:bookmarkStart w:id="35" w:name="component-details-and-configuration"/>
    <w:p>
      <w:pPr>
        <w:pStyle w:val="Heading3"/>
      </w:pPr>
      <w:r>
        <w:t xml:space="preserve">Component details and configuration</w:t>
      </w:r>
    </w:p>
    <w:p>
      <w:pPr>
        <w:pStyle w:val="FirstParagraph"/>
      </w:pPr>
      <w:r>
        <w:t xml:space="preserve">Appendix A.4 provides concrete model configurations for classification and regression:</w:t>
      </w:r>
    </w:p>
    <w:p>
      <w:pPr>
        <w:pStyle w:val="Compact"/>
        <w:numPr>
          <w:ilvl w:val="0"/>
          <w:numId w:val="1006"/>
        </w:numPr>
      </w:pPr>
      <w:r>
        <w:rPr>
          <w:b/>
          <w:bCs/>
        </w:rPr>
        <w:t xml:space="preserve">Column-wise embedding</w:t>
      </w:r>
      <w:r>
        <w:t xml:space="preserve">: 3 induced self-attention blocks, 128 inducing vectors, model dimension 128, 8 attention heads.</w:t>
      </w:r>
      <w:r>
        <w:t xml:space="preserve"> </w:t>
      </w:r>
      <w:hyperlink r:id="rId21">
        <w:r>
          <w:rPr>
            <w:rStyle w:val="Hyperlink"/>
          </w:rPr>
          <w:t xml:space="preserve">[23]</w:t>
        </w:r>
      </w:hyperlink>
    </w:p>
    <w:p>
      <w:pPr>
        <w:pStyle w:val="Compact"/>
        <w:numPr>
          <w:ilvl w:val="0"/>
          <w:numId w:val="1006"/>
        </w:numPr>
      </w:pPr>
      <w:r>
        <w:rPr>
          <w:b/>
          <w:bCs/>
        </w:rPr>
        <w:t xml:space="preserve">Row-wise interaction</w:t>
      </w:r>
      <w:r>
        <w:t xml:space="preserve">: 3-layer Transformer, model dimension 128, 8 heads,</w:t>
      </w:r>
      <w:r>
        <w:t xml:space="preserve"> </w:t>
      </w:r>
      <w:r>
        <w:rPr>
          <w:b/>
          <w:bCs/>
        </w:rPr>
        <w:t xml:space="preserve">4 learnable [CLS] tokens</w:t>
      </w:r>
      <w:r>
        <w:t xml:space="preserve"> </w:t>
      </w:r>
      <w:r>
        <w:t xml:space="preserve">to aggregate feature-wise information.</w:t>
      </w:r>
      <w:r>
        <w:t xml:space="preserve"> </w:t>
      </w:r>
      <w:hyperlink r:id="rId21">
        <w:r>
          <w:rPr>
            <w:rStyle w:val="Hyperlink"/>
          </w:rPr>
          <w:t xml:space="preserve">[24]</w:t>
        </w:r>
      </w:hyperlink>
    </w:p>
    <w:p>
      <w:pPr>
        <w:pStyle w:val="Compact"/>
        <w:numPr>
          <w:ilvl w:val="0"/>
          <w:numId w:val="1006"/>
        </w:numPr>
      </w:pPr>
      <w:r>
        <w:rPr>
          <w:b/>
          <w:bCs/>
        </w:rPr>
        <w:t xml:space="preserve">Dataset-wise ICL</w:t>
      </w:r>
      <w:r>
        <w:t xml:space="preserve">: 12-layer Transformer, model dimension 512, 8 heads.</w:t>
      </w:r>
      <w:r>
        <w:t xml:space="preserve"> </w:t>
      </w:r>
      <w:hyperlink r:id="rId21">
        <w:r>
          <w:rPr>
            <w:rStyle w:val="Hyperlink"/>
          </w:rPr>
          <w:t xml:space="preserve">[23]</w:t>
        </w:r>
      </w:hyperlink>
    </w:p>
    <w:p>
      <w:pPr>
        <w:pStyle w:val="Compact"/>
        <w:numPr>
          <w:ilvl w:val="0"/>
          <w:numId w:val="1006"/>
        </w:numPr>
      </w:pPr>
      <w:r>
        <w:rPr>
          <w:b/>
          <w:bCs/>
        </w:rPr>
        <w:t xml:space="preserve">Regression vs classification</w:t>
      </w:r>
      <w:r>
        <w:t xml:space="preserve">: regression replaces class-lookup target embeddings with</w:t>
      </w:r>
      <w:r>
        <w:t xml:space="preserve"> </w:t>
      </w:r>
      <w:r>
        <w:rPr>
          <w:b/>
          <w:bCs/>
        </w:rPr>
        <w:t xml:space="preserve">linear target embeddings</w:t>
      </w:r>
      <w:r>
        <w:t xml:space="preserve"> </w:t>
      </w:r>
      <w:r>
        <w:t xml:space="preserve">and outputs</w:t>
      </w:r>
      <w:r>
        <w:t xml:space="preserve"> </w:t>
      </w:r>
      <w:r>
        <w:rPr>
          <w:b/>
          <w:bCs/>
        </w:rPr>
        <w:t xml:space="preserve">999 quantiles</w:t>
      </w:r>
      <w:r>
        <w:t xml:space="preserve"> </w:t>
      </w:r>
      <w:r>
        <w:t xml:space="preserve">instead of class logits; regression uses bias-free LayerNorm, classification uses LayerNorm bias.</w:t>
      </w:r>
      <w:r>
        <w:t xml:space="preserve"> </w:t>
      </w:r>
      <w:hyperlink r:id="rId21">
        <w:r>
          <w:rPr>
            <w:rStyle w:val="Hyperlink"/>
          </w:rPr>
          <w:t xml:space="preserve">[25]</w:t>
        </w:r>
      </w:hyperlink>
    </w:p>
    <w:bookmarkEnd w:id="35"/>
    <w:bookmarkStart w:id="36" w:name="qassmax-and-target-aware-embedding"/>
    <w:p>
      <w:pPr>
        <w:pStyle w:val="Heading3"/>
      </w:pPr>
      <w:r>
        <w:t xml:space="preserve">QASSMax and target-aware embedding</w:t>
      </w:r>
    </w:p>
    <w:p>
      <w:pPr>
        <w:pStyle w:val="FirstParagraph"/>
      </w:pPr>
      <w:r>
        <w:t xml:space="preserve">The paper introduces</w:t>
      </w:r>
      <w:r>
        <w:t xml:space="preserve"> </w:t>
      </w:r>
      <w:r>
        <w:rPr>
          <w:b/>
          <w:bCs/>
        </w:rPr>
        <w:t xml:space="preserve">QASSMax</w:t>
      </w:r>
      <w:r>
        <w:t xml:space="preserve"> </w:t>
      </w:r>
      <w:r>
        <w:t xml:space="preserve">as an extension of scalable-softmax/temperature scaling approaches. It rescales queries in a query-aware, element-wise way using small MLPs, motivated by mitigating the growth of the softmax denominator with context size and improving expressiveness compared to per-head scalars.</w:t>
      </w:r>
      <w:r>
        <w:t xml:space="preserve"> </w:t>
      </w:r>
      <w:hyperlink r:id="rId21">
        <w:r>
          <w:rPr>
            <w:rStyle w:val="Hyperlink"/>
          </w:rPr>
          <w:t xml:space="preserve">[26]</w:t>
        </w:r>
      </w:hyperlink>
    </w:p>
    <w:p>
      <w:pPr>
        <w:pStyle w:val="BodyText"/>
      </w:pPr>
      <w:r>
        <w:rPr>
          <w:b/>
          <w:bCs/>
        </w:rPr>
        <w:t xml:space="preserve">Target-aware embedding</w:t>
      </w:r>
      <w:r>
        <w:t xml:space="preserve"> </w:t>
      </w:r>
      <w:r>
        <w:t xml:space="preserve">differs from TabPFNv2’s “append target as an additional column”: TabICLv2</w:t>
      </w:r>
      <w:r>
        <w:t xml:space="preserve"> </w:t>
      </w:r>
      <w:r>
        <w:rPr>
          <w:b/>
          <w:bCs/>
        </w:rPr>
        <w:t xml:space="preserve">adds target embeddings to each training token</w:t>
      </w:r>
      <w:r>
        <w:t xml:space="preserve">, to inject label information earlier and mitigate representation collapse.</w:t>
      </w:r>
      <w:r>
        <w:t xml:space="preserve"> </w:t>
      </w:r>
      <w:hyperlink r:id="rId21">
        <w:r>
          <w:rPr>
            <w:rStyle w:val="Hyperlink"/>
          </w:rPr>
          <w:t xml:space="preserve">[8]</w:t>
        </w:r>
      </w:hyperlink>
    </w:p>
    <w:bookmarkEnd w:id="36"/>
    <w:bookmarkStart w:id="37" w:name="many-class-classification-handling"/>
    <w:p>
      <w:pPr>
        <w:pStyle w:val="Heading3"/>
      </w:pPr>
      <w:r>
        <w:t xml:space="preserve">Many-class classification handling</w:t>
      </w:r>
    </w:p>
    <w:p>
      <w:pPr>
        <w:pStyle w:val="FirstParagraph"/>
      </w:pPr>
      <w:r>
        <w:t xml:space="preserve">TabICLv2 is pretrained with up to</w:t>
      </w:r>
      <w:r>
        <w:t xml:space="preserve"> </w:t>
      </w:r>
      <w:r>
        <w:rPr>
          <w:b/>
          <w:bCs/>
        </w:rPr>
        <w:t xml:space="preserve">10 classes</w:t>
      </w:r>
      <w:r>
        <w:t xml:space="preserve">, but the paper outlines methods for handling more classes at inference:</w:t>
      </w:r>
    </w:p>
    <w:p>
      <w:pPr>
        <w:pStyle w:val="Compact"/>
        <w:numPr>
          <w:ilvl w:val="0"/>
          <w:numId w:val="1007"/>
        </w:numPr>
      </w:pPr>
      <w:r>
        <w:rPr>
          <w:b/>
          <w:bCs/>
        </w:rPr>
        <w:t xml:space="preserve">Hierarchical classification</w:t>
      </w:r>
      <w:r>
        <w:t xml:space="preserve"> </w:t>
      </w:r>
      <w:r>
        <w:t xml:space="preserve">at the ICL stage, and</w:t>
      </w:r>
    </w:p>
    <w:p>
      <w:pPr>
        <w:pStyle w:val="Compact"/>
        <w:numPr>
          <w:ilvl w:val="0"/>
          <w:numId w:val="1007"/>
        </w:numPr>
      </w:pPr>
      <w:r>
        <w:rPr>
          <w:b/>
          <w:bCs/>
        </w:rPr>
        <w:t xml:space="preserve">Mixed-radix ensembling</w:t>
      </w:r>
      <w:r>
        <w:t xml:space="preserve"> </w:t>
      </w:r>
      <w:r>
        <w:t xml:space="preserve">at the column-embedding stage, decomposing labels into digits across multiple bases to create coarser groupings.</w:t>
      </w:r>
      <w:r>
        <w:t xml:space="preserve"> </w:t>
      </w:r>
      <w:hyperlink r:id="rId21">
        <w:r>
          <w:rPr>
            <w:rStyle w:val="Hyperlink"/>
          </w:rPr>
          <w:t xml:space="preserve">[27]</w:t>
        </w:r>
      </w:hyperlink>
    </w:p>
    <w:bookmarkEnd w:id="37"/>
    <w:bookmarkEnd w:id="38"/>
    <w:bookmarkStart w:id="45" w:name="training-procedure"/>
    <w:p>
      <w:pPr>
        <w:pStyle w:val="Heading2"/>
      </w:pPr>
      <w:r>
        <w:t xml:space="preserve">Training procedure</w:t>
      </w:r>
    </w:p>
    <w:bookmarkStart w:id="39" w:name="pretraining-objective-and-losses"/>
    <w:p>
      <w:pPr>
        <w:pStyle w:val="Heading3"/>
      </w:pPr>
      <w:r>
        <w:t xml:space="preserve">Pretraining objective and losses</w:t>
      </w:r>
    </w:p>
    <w:p>
      <w:pPr>
        <w:pStyle w:val="FirstParagraph"/>
      </w:pPr>
      <w:r>
        <w:t xml:space="preserve">TabICLv2 follows PFN-style pretraining: sample synthetic datasets from a prior, split into context/train and query/test, and train the model to predict query targets conditioned on the context.</w:t>
      </w:r>
      <w:r>
        <w:t xml:space="preserve"> </w:t>
      </w:r>
      <w:hyperlink r:id="rId21">
        <w:r>
          <w:rPr>
            <w:rStyle w:val="Hyperlink"/>
          </w:rPr>
          <w:t xml:space="preserve">[18]</w:t>
        </w:r>
      </w:hyperlink>
    </w:p>
    <w:p>
      <w:pPr>
        <w:pStyle w:val="BodyText"/>
      </w:pPr>
      <w:r>
        <w:t xml:space="preserve">Losses called out explicitly:</w:t>
      </w:r>
    </w:p>
    <w:p>
      <w:pPr>
        <w:pStyle w:val="Compact"/>
        <w:numPr>
          <w:ilvl w:val="0"/>
          <w:numId w:val="1008"/>
        </w:numPr>
      </w:pPr>
      <w:r>
        <w:rPr>
          <w:b/>
          <w:bCs/>
        </w:rPr>
        <w:t xml:space="preserve">Regression</w:t>
      </w:r>
      <w:r>
        <w:t xml:space="preserve">: predict</w:t>
      </w:r>
      <w:r>
        <w:t xml:space="preserve"> </w:t>
      </w:r>
      <w:r>
        <w:rPr>
          <w:b/>
          <w:bCs/>
        </w:rPr>
        <w:t xml:space="preserve">999 quantiles</w:t>
      </w:r>
      <w:r>
        <w:t xml:space="preserve"> </w:t>
      </w:r>
      <w:r>
        <w:t xml:space="preserve">and train with</w:t>
      </w:r>
      <w:r>
        <w:t xml:space="preserve"> </w:t>
      </w:r>
      <w:r>
        <w:rPr>
          <w:b/>
          <w:bCs/>
        </w:rPr>
        <w:t xml:space="preserve">pinball loss summed across quantiles</w:t>
      </w:r>
      <w:r>
        <w:t xml:space="preserve">; at inference, a point estimate can be obtained by averaging predicted quantiles.</w:t>
      </w:r>
      <w:r>
        <w:t xml:space="preserve"> </w:t>
      </w:r>
      <w:hyperlink r:id="rId21">
        <w:r>
          <w:rPr>
            <w:rStyle w:val="Hyperlink"/>
          </w:rPr>
          <w:t xml:space="preserve">[10]</w:t>
        </w:r>
      </w:hyperlink>
    </w:p>
    <w:p>
      <w:pPr>
        <w:pStyle w:val="Compact"/>
        <w:numPr>
          <w:ilvl w:val="0"/>
          <w:numId w:val="1008"/>
        </w:numPr>
      </w:pPr>
      <w:r>
        <w:rPr>
          <w:b/>
          <w:bCs/>
        </w:rPr>
        <w:t xml:space="preserve">Classification</w:t>
      </w:r>
      <w:r>
        <w:t xml:space="preserve">: the paper and repo describe classification outputs as logits/probabilities; the exact training loss is not fully spelled out in the HTML excerpt (likely cross-entropy / NLL in PFN training), so treat the precise formulation as</w:t>
      </w:r>
      <w:r>
        <w:t xml:space="preserve"> </w:t>
      </w:r>
      <w:r>
        <w:rPr>
          <w:b/>
          <w:bCs/>
        </w:rPr>
        <w:t xml:space="preserve">not explicitly recoverable from the extracted primary text here</w:t>
      </w:r>
      <w:r>
        <w:t xml:space="preserve">. The PFN framing still implies an expected negative log-likelihood objective over query labels.</w:t>
      </w:r>
      <w:r>
        <w:t xml:space="preserve"> </w:t>
      </w:r>
      <w:hyperlink r:id="rId21">
        <w:r>
          <w:rPr>
            <w:rStyle w:val="Hyperlink"/>
          </w:rPr>
          <w:t xml:space="preserve">[28]</w:t>
        </w:r>
      </w:hyperlink>
    </w:p>
    <w:bookmarkEnd w:id="39"/>
    <w:bookmarkStart w:id="40" w:name="Xe22d94cab00a0f8ae4d0df42565b9fc325bc2ca"/>
    <w:p>
      <w:pPr>
        <w:pStyle w:val="Heading3"/>
      </w:pPr>
      <w:r>
        <w:t xml:space="preserve">Synthetic datasets and the TabICLv2 “prior”</w:t>
      </w:r>
    </w:p>
    <w:p>
      <w:pPr>
        <w:pStyle w:val="FirstParagraph"/>
      </w:pPr>
      <w:r>
        <w:t xml:space="preserve">TabICLv2 is pretrained on</w:t>
      </w:r>
      <w:r>
        <w:t xml:space="preserve"> </w:t>
      </w:r>
      <w:r>
        <w:rPr>
          <w:b/>
          <w:bCs/>
        </w:rPr>
        <w:t xml:space="preserve">entirely synthetic data</w:t>
      </w:r>
      <w:r>
        <w:t xml:space="preserve">, following the TabPFN line of work.</w:t>
      </w:r>
      <w:r>
        <w:t xml:space="preserve"> </w:t>
      </w:r>
      <w:hyperlink r:id="rId21">
        <w:r>
          <w:rPr>
            <w:rStyle w:val="Hyperlink"/>
          </w:rPr>
          <w:t xml:space="preserve">[29]</w:t>
        </w:r>
      </w:hyperlink>
    </w:p>
    <w:p>
      <w:pPr>
        <w:pStyle w:val="BodyText"/>
      </w:pPr>
      <w:r>
        <w:t xml:space="preserve">High-level prior structure:</w:t>
      </w:r>
    </w:p>
    <w:p>
      <w:pPr>
        <w:pStyle w:val="Compact"/>
        <w:numPr>
          <w:ilvl w:val="0"/>
          <w:numId w:val="1009"/>
        </w:numPr>
      </w:pPr>
      <w:r>
        <w:t xml:space="preserve">Sample global properties (dataset size, number of numeric/categorical features)</w:t>
      </w:r>
    </w:p>
    <w:p>
      <w:pPr>
        <w:pStyle w:val="Compact"/>
        <w:numPr>
          <w:ilvl w:val="0"/>
          <w:numId w:val="1009"/>
        </w:numPr>
      </w:pPr>
      <w:r>
        <w:t xml:space="preserve">Sample a</w:t>
      </w:r>
      <w:r>
        <w:t xml:space="preserve"> </w:t>
      </w:r>
      <w:r>
        <w:rPr>
          <w:b/>
          <w:bCs/>
        </w:rPr>
        <w:t xml:space="preserve">DAG</w:t>
      </w:r>
      <w:r>
        <w:t xml:space="preserve"> </w:t>
      </w:r>
      <w:r>
        <w:t xml:space="preserve">and node functions (a causal graph)</w:t>
      </w:r>
    </w:p>
    <w:p>
      <w:pPr>
        <w:pStyle w:val="Compact"/>
        <w:numPr>
          <w:ilvl w:val="0"/>
          <w:numId w:val="1009"/>
        </w:numPr>
      </w:pPr>
      <w:r>
        <w:t xml:space="preserve">Generate root noise vectors and propagate through the graph</w:t>
      </w:r>
    </w:p>
    <w:p>
      <w:pPr>
        <w:pStyle w:val="Compact"/>
        <w:numPr>
          <w:ilvl w:val="0"/>
          <w:numId w:val="1009"/>
        </w:numPr>
      </w:pPr>
      <w:r>
        <w:t xml:space="preserve">Extract columns from nodes</w:t>
      </w:r>
    </w:p>
    <w:p>
      <w:pPr>
        <w:pStyle w:val="FirstParagraph"/>
      </w:pPr>
      <w:r>
        <w:t xml:space="preserve">This is described as defining a Bayesian-style prior over datasets.</w:t>
      </w:r>
      <w:r>
        <w:t xml:space="preserve"> </w:t>
      </w:r>
      <w:hyperlink r:id="rId21">
        <w:r>
          <w:rPr>
            <w:rStyle w:val="Hyperlink"/>
          </w:rPr>
          <w:t xml:space="preserve">[30]</w:t>
        </w:r>
      </w:hyperlink>
    </w:p>
    <w:p>
      <w:pPr>
        <w:pStyle w:val="BodyText"/>
      </w:pPr>
      <w:r>
        <w:t xml:space="preserve">Notable prior ingredients mentioned in the paper:</w:t>
      </w:r>
    </w:p>
    <w:p>
      <w:pPr>
        <w:pStyle w:val="Compact"/>
        <w:numPr>
          <w:ilvl w:val="0"/>
          <w:numId w:val="1010"/>
        </w:numPr>
      </w:pPr>
      <w:r>
        <w:t xml:space="preserve">A “random Cauchy graph” mechanism (to go beyond tree-structured graphs in earlier mechanisms).</w:t>
      </w:r>
      <w:r>
        <w:t xml:space="preserve"> </w:t>
      </w:r>
      <w:hyperlink r:id="rId21">
        <w:r>
          <w:rPr>
            <w:rStyle w:val="Hyperlink"/>
          </w:rPr>
          <w:t xml:space="preserve">[31]</w:t>
        </w:r>
      </w:hyperlink>
    </w:p>
    <w:p>
      <w:pPr>
        <w:pStyle w:val="Compact"/>
        <w:numPr>
          <w:ilvl w:val="0"/>
          <w:numId w:val="1010"/>
        </w:numPr>
      </w:pPr>
      <w:r>
        <w:t xml:space="preserve">A catalog of</w:t>
      </w:r>
      <w:r>
        <w:t xml:space="preserve"> </w:t>
      </w:r>
      <w:r>
        <w:rPr>
          <w:b/>
          <w:bCs/>
        </w:rPr>
        <w:t xml:space="preserve">8 function families</w:t>
      </w:r>
      <w:r>
        <w:t xml:space="preserve"> </w:t>
      </w:r>
      <w:r>
        <w:t xml:space="preserve">(e.g., MLP, tree-ensemble-inspired functions, discretization, Gaussian process functions, linear/quadratic functions, plateau/EM-inspired functions, products).</w:t>
      </w:r>
      <w:r>
        <w:t xml:space="preserve"> </w:t>
      </w:r>
      <w:hyperlink r:id="rId21">
        <w:r>
          <w:rPr>
            <w:rStyle w:val="Hyperlink"/>
          </w:rPr>
          <w:t xml:space="preserve">[32]</w:t>
        </w:r>
      </w:hyperlink>
    </w:p>
    <w:p>
      <w:pPr>
        <w:pStyle w:val="Compact"/>
        <w:numPr>
          <w:ilvl w:val="0"/>
          <w:numId w:val="1010"/>
        </w:numPr>
      </w:pPr>
      <w:r>
        <w:rPr>
          <w:b/>
          <w:bCs/>
        </w:rPr>
        <w:t xml:space="preserve">Filtering</w:t>
      </w:r>
      <w:r>
        <w:t xml:space="preserve">: datasets are filtered if a simple ExtraTrees model cannot beat a constant baseline under a bootstrap test; also, graphs are filtered if the target is independent of features by graph ancestry checks. The paper reports that in stage 1 roughly</w:t>
      </w:r>
      <w:r>
        <w:t xml:space="preserve"> </w:t>
      </w:r>
      <w:r>
        <w:rPr>
          <w:b/>
          <w:bCs/>
        </w:rPr>
        <w:t xml:space="preserve">35% classification and 25% regression datasets are filtered</w:t>
      </w:r>
      <w:r>
        <w:t xml:space="preserve">.</w:t>
      </w:r>
      <w:r>
        <w:t xml:space="preserve"> </w:t>
      </w:r>
      <w:hyperlink r:id="rId21">
        <w:r>
          <w:rPr>
            <w:rStyle w:val="Hyperlink"/>
          </w:rPr>
          <w:t xml:space="preserve">[31]</w:t>
        </w:r>
      </w:hyperlink>
    </w:p>
    <w:bookmarkEnd w:id="40"/>
    <w:bookmarkStart w:id="41" w:name="X0f60648aad02762047ac0e4c3ce0620139f7659"/>
    <w:p>
      <w:pPr>
        <w:pStyle w:val="Heading3"/>
      </w:pPr>
      <w:r>
        <w:t xml:space="preserve">Curriculum and hyperparameters (three-stage pretraining)</w:t>
      </w:r>
    </w:p>
    <w:p>
      <w:pPr>
        <w:pStyle w:val="FirstParagraph"/>
      </w:pPr>
      <w:r>
        <w:t xml:space="preserve">The paper retains TabICL’s three-stage curriculum but updates key settings:</w:t>
      </w:r>
    </w:p>
    <w:p>
      <w:pPr>
        <w:pStyle w:val="Compact"/>
        <w:numPr>
          <w:ilvl w:val="0"/>
          <w:numId w:val="1011"/>
        </w:numPr>
      </w:pPr>
      <w:r>
        <w:t xml:space="preserve">Fixed cap of</w:t>
      </w:r>
      <w:r>
        <w:t xml:space="preserve"> </w:t>
      </w:r>
      <w:r>
        <w:rPr>
          <w:b/>
          <w:bCs/>
        </w:rPr>
        <w:t xml:space="preserve">100 features</w:t>
      </w:r>
      <w:r>
        <w:t xml:space="preserve"> </w:t>
      </w:r>
      <w:r>
        <w:t xml:space="preserve">across stages, batch size</w:t>
      </w:r>
      <w:r>
        <w:t xml:space="preserve"> </w:t>
      </w:r>
      <w:r>
        <w:rPr>
          <w:b/>
          <w:bCs/>
        </w:rPr>
        <w:t xml:space="preserve">64</w:t>
      </w:r>
      <w:r>
        <w:t xml:space="preserve">.</w:t>
      </w:r>
      <w:r>
        <w:t xml:space="preserve"> </w:t>
      </w:r>
      <w:hyperlink r:id="rId21">
        <w:r>
          <w:rPr>
            <w:rStyle w:val="Hyperlink"/>
          </w:rPr>
          <w:t xml:space="preserve">[33]</w:t>
        </w:r>
      </w:hyperlink>
    </w:p>
    <w:p>
      <w:pPr>
        <w:pStyle w:val="Compact"/>
        <w:numPr>
          <w:ilvl w:val="0"/>
          <w:numId w:val="1011"/>
        </w:numPr>
      </w:pPr>
      <w:r>
        <w:rPr>
          <w:b/>
          <w:bCs/>
        </w:rPr>
        <w:t xml:space="preserve">Stage 1</w:t>
      </w:r>
      <w:r>
        <w:t xml:space="preserve">: 500K steps; dataset size 1,024 samples; 30–90% train split; max LR 8e-4.</w:t>
      </w:r>
      <w:r>
        <w:t xml:space="preserve"> </w:t>
      </w:r>
      <w:hyperlink r:id="rId21">
        <w:r>
          <w:rPr>
            <w:rStyle w:val="Hyperlink"/>
          </w:rPr>
          <w:t xml:space="preserve">[34]</w:t>
        </w:r>
      </w:hyperlink>
    </w:p>
    <w:p>
      <w:pPr>
        <w:pStyle w:val="Compact"/>
        <w:numPr>
          <w:ilvl w:val="0"/>
          <w:numId w:val="1011"/>
        </w:numPr>
      </w:pPr>
      <w:r>
        <w:rPr>
          <w:b/>
          <w:bCs/>
        </w:rPr>
        <w:t xml:space="preserve">Stage 2</w:t>
      </w:r>
      <w:r>
        <w:t xml:space="preserve">: 40K steps; dataset size 400–10,240 (log-uniform); 80% train; max LR 1e-4.</w:t>
      </w:r>
      <w:r>
        <w:t xml:space="preserve"> </w:t>
      </w:r>
      <w:hyperlink r:id="rId21">
        <w:r>
          <w:rPr>
            <w:rStyle w:val="Hyperlink"/>
          </w:rPr>
          <w:t xml:space="preserve">[34]</w:t>
        </w:r>
      </w:hyperlink>
    </w:p>
    <w:p>
      <w:pPr>
        <w:pStyle w:val="Compact"/>
        <w:numPr>
          <w:ilvl w:val="0"/>
          <w:numId w:val="1011"/>
        </w:numPr>
      </w:pPr>
      <w:r>
        <w:rPr>
          <w:b/>
          <w:bCs/>
        </w:rPr>
        <w:t xml:space="preserve">Stage 3</w:t>
      </w:r>
      <w:r>
        <w:t xml:space="preserve">: 10K steps; dataset size 400–60K (log-uniform); 80% train; max LR 2e-5.</w:t>
      </w:r>
      <w:r>
        <w:t xml:space="preserve"> </w:t>
      </w:r>
      <w:hyperlink r:id="rId21">
        <w:r>
          <w:rPr>
            <w:rStyle w:val="Hyperlink"/>
          </w:rPr>
          <w:t xml:space="preserve">[34]</w:t>
        </w:r>
      </w:hyperlink>
    </w:p>
    <w:p>
      <w:pPr>
        <w:pStyle w:val="FirstParagraph"/>
      </w:pPr>
      <w:r>
        <w:t xml:space="preserve">Appendix B reports that stages 2 and 3 yield consistent improvements, especially on large datasets (&gt;10K).</w:t>
      </w:r>
      <w:r>
        <w:t xml:space="preserve"> </w:t>
      </w:r>
      <w:hyperlink r:id="rId21">
        <w:r>
          <w:rPr>
            <w:rStyle w:val="Hyperlink"/>
          </w:rPr>
          <w:t xml:space="preserve">[35]</w:t>
        </w:r>
      </w:hyperlink>
    </w:p>
    <w:bookmarkEnd w:id="41"/>
    <w:bookmarkStart w:id="42" w:name="Xd3d620368b9527ad773a5d1043b9fb39f3f976b"/>
    <w:p>
      <w:pPr>
        <w:pStyle w:val="Heading3"/>
      </w:pPr>
      <w:r>
        <w:t xml:space="preserve">Optimizer, regularization, and compute cost</w:t>
      </w:r>
    </w:p>
    <w:p>
      <w:pPr>
        <w:pStyle w:val="Compact"/>
        <w:numPr>
          <w:ilvl w:val="0"/>
          <w:numId w:val="1012"/>
        </w:numPr>
      </w:pPr>
      <w:r>
        <w:t xml:space="preserve">TabICLv2 uses the</w:t>
      </w:r>
      <w:r>
        <w:t xml:space="preserve"> </w:t>
      </w:r>
      <w:r>
        <w:rPr>
          <w:b/>
          <w:bCs/>
        </w:rPr>
        <w:t xml:space="preserve">Muon optimizer</w:t>
      </w:r>
      <w:r>
        <w:t xml:space="preserve"> </w:t>
      </w:r>
      <w:r>
        <w:t xml:space="preserve">(instead of AdamW/Adam in earlier baselines) and uses higher LRs with Muon than with AdamW in TabICL.</w:t>
      </w:r>
      <w:r>
        <w:t xml:space="preserve"> </w:t>
      </w:r>
      <w:hyperlink r:id="rId21">
        <w:r>
          <w:rPr>
            <w:rStyle w:val="Hyperlink"/>
          </w:rPr>
          <w:t xml:space="preserve">[34]</w:t>
        </w:r>
      </w:hyperlink>
    </w:p>
    <w:p>
      <w:pPr>
        <w:pStyle w:val="Compact"/>
        <w:numPr>
          <w:ilvl w:val="0"/>
          <w:numId w:val="1012"/>
        </w:numPr>
      </w:pPr>
      <w:r>
        <w:t xml:space="preserve">The paper also adopts</w:t>
      </w:r>
      <w:r>
        <w:t xml:space="preserve"> </w:t>
      </w:r>
      <w:r>
        <w:rPr>
          <w:b/>
          <w:bCs/>
        </w:rPr>
        <w:t xml:space="preserve">cautious weight decay</w:t>
      </w:r>
      <w:r>
        <w:t xml:space="preserve">, increases gradient clipping thresholds, samples varying train/test sizes per micro-batch, and uses a cosine LR schedule across stages. Some specific hyperparameter symbols are rendered as math in the HTML and are not fully visible here, so treat exact numeric values as</w:t>
      </w:r>
      <w:r>
        <w:t xml:space="preserve"> </w:t>
      </w:r>
      <w:r>
        <w:rPr>
          <w:b/>
          <w:bCs/>
        </w:rPr>
        <w:t xml:space="preserve">partially unspecified</w:t>
      </w:r>
      <w:r>
        <w:t xml:space="preserve"> </w:t>
      </w:r>
      <w:r>
        <w:t xml:space="preserve">from this excerpt.</w:t>
      </w:r>
      <w:r>
        <w:t xml:space="preserve"> </w:t>
      </w:r>
      <w:hyperlink r:id="rId21">
        <w:r>
          <w:rPr>
            <w:rStyle w:val="Hyperlink"/>
          </w:rPr>
          <w:t xml:space="preserve">[34]</w:t>
        </w:r>
      </w:hyperlink>
    </w:p>
    <w:p>
      <w:pPr>
        <w:pStyle w:val="Compact"/>
        <w:numPr>
          <w:ilvl w:val="0"/>
          <w:numId w:val="1012"/>
        </w:numPr>
      </w:pPr>
      <w:r>
        <w:rPr>
          <w:b/>
          <w:bCs/>
        </w:rPr>
        <w:t xml:space="preserve">Compute</w:t>
      </w:r>
      <w:r>
        <w:t xml:space="preserve"> </w:t>
      </w:r>
      <w:r>
        <w:t xml:space="preserve">(per model): on H100 80GB, stage 1 ~20 GPU-days, stage 2 ~2.5 GPU-days, stage 3 ~2 GPU-days → total</w:t>
      </w:r>
      <w:r>
        <w:t xml:space="preserve"> </w:t>
      </w:r>
      <w:r>
        <w:rPr>
          <w:b/>
          <w:bCs/>
        </w:rPr>
        <w:t xml:space="preserve">24.5 GPU-days</w:t>
      </w:r>
      <w:r>
        <w:t xml:space="preserve">; the paper notes a rough conversion that one H100-hour is ~2 A100-hours and claims lower cost than TabICL’s reported 60 A100-days.</w:t>
      </w:r>
      <w:r>
        <w:t xml:space="preserve"> </w:t>
      </w:r>
      <w:hyperlink r:id="rId21">
        <w:r>
          <w:rPr>
            <w:rStyle w:val="Hyperlink"/>
          </w:rPr>
          <w:t xml:space="preserve">[34]</w:t>
        </w:r>
      </w:hyperlink>
    </w:p>
    <w:bookmarkEnd w:id="42"/>
    <w:bookmarkStart w:id="44" w:name="Xd667a8439e08bdb29cdeb3b7cda563dc7001cff"/>
    <w:p>
      <w:pPr>
        <w:pStyle w:val="Heading3"/>
      </w:pPr>
      <w:r>
        <w:t xml:space="preserve">Reproducibility status of pretraining code</w:t>
      </w:r>
    </w:p>
    <w:p>
      <w:pPr>
        <w:pStyle w:val="FirstParagraph"/>
      </w:pPr>
      <w:r>
        <w:t xml:space="preserve">The paper commits to open research by releasing inference code/weights first and synthetic engine/pretraining code later.</w:t>
      </w:r>
      <w:r>
        <w:t xml:space="preserve"> </w:t>
      </w:r>
      <w:hyperlink r:id="rId21">
        <w:r>
          <w:rPr>
            <w:rStyle w:val="Hyperlink"/>
          </w:rPr>
          <w:t xml:space="preserve">[36]</w:t>
        </w:r>
      </w:hyperlink>
      <w:r>
        <w:br/>
      </w:r>
      <w:r>
        <w:t xml:space="preserve">The official repository similarly states:</w:t>
      </w:r>
      <w:r>
        <w:t xml:space="preserve"> </w:t>
      </w:r>
      <w:r>
        <w:rPr>
          <w:b/>
          <w:bCs/>
        </w:rPr>
        <w:t xml:space="preserve">pretraining code is currently available for v1</w:t>
      </w:r>
      <w:r>
        <w:t xml:space="preserve">, scripts exist for stage1/2/3, and</w:t>
      </w:r>
      <w:r>
        <w:t xml:space="preserve"> </w:t>
      </w:r>
      <w:r>
        <w:rPr>
          <w:b/>
          <w:bCs/>
        </w:rPr>
        <w:t xml:space="preserve">pretraining code for v2 will be released upon publication</w:t>
      </w:r>
      <w:r>
        <w:t xml:space="preserve">.</w:t>
      </w:r>
      <w:r>
        <w:t xml:space="preserve"> </w:t>
      </w:r>
      <w:hyperlink r:id="rId22">
        <w:r>
          <w:rPr>
            <w:rStyle w:val="Hyperlink"/>
          </w:rPr>
          <w:t xml:space="preserve">[37]</w:t>
        </w:r>
      </w:hyperlink>
    </w:p>
    <w:p>
      <w:pPr>
        <w:pStyle w:val="BodyText"/>
      </w:pPr>
      <w:r>
        <w:t xml:space="preserve">As a concrete reference point for how the project structures curriculum scripts (for v1), the repo includes shell scripts invoking</w:t>
      </w:r>
      <w:r>
        <w:t xml:space="preserve"> </w:t>
      </w:r>
      <w:r>
        <w:rPr>
          <w:rStyle w:val="VerbatimChar"/>
        </w:rPr>
        <w:t xml:space="preserve">torchrun</w:t>
      </w:r>
      <w:r>
        <w:t xml:space="preserve"> </w:t>
      </w:r>
      <w:r>
        <w:t xml:space="preserve">for staged training and prior generation/loading.</w:t>
      </w:r>
      <w:r>
        <w:t xml:space="preserve"> </w:t>
      </w:r>
      <w:hyperlink r:id="rId43">
        <w:r>
          <w:rPr>
            <w:rStyle w:val="Hyperlink"/>
          </w:rPr>
          <w:t xml:space="preserve">[38]</w:t>
        </w:r>
      </w:hyperlink>
      <w:r>
        <w:br/>
      </w:r>
      <w:r>
        <w:t xml:space="preserve">These scripts are</w:t>
      </w:r>
      <w:r>
        <w:t xml:space="preserve"> </w:t>
      </w:r>
      <w:r>
        <w:rPr>
          <w:b/>
          <w:bCs/>
        </w:rPr>
        <w:t xml:space="preserve">not</w:t>
      </w:r>
      <w:r>
        <w:t xml:space="preserve"> </w:t>
      </w:r>
      <w:r>
        <w:t xml:space="preserve">the TabICLv2 recipe (they use different steps/batch sizes/LRs), but they show the intended workflow pattern.</w:t>
      </w:r>
    </w:p>
    <w:bookmarkEnd w:id="44"/>
    <w:bookmarkEnd w:id="45"/>
    <w:bookmarkStart w:id="54" w:name="X36449bf90772c7c950bca3720387d06fc343363"/>
    <w:p>
      <w:pPr>
        <w:pStyle w:val="Heading2"/>
      </w:pPr>
      <w:r>
        <w:t xml:space="preserve">Inference workflow and production considerations</w:t>
      </w:r>
    </w:p>
    <w:bookmarkStart w:id="46" w:name="Xb2f8402802ca153896762885ea346240180c1f9"/>
    <w:p>
      <w:pPr>
        <w:pStyle w:val="Heading3"/>
      </w:pPr>
      <w:r>
        <w:t xml:space="preserve">User-facing API, input formats, and preprocessing</w:t>
      </w:r>
    </w:p>
    <w:p>
      <w:pPr>
        <w:pStyle w:val="FirstParagraph"/>
      </w:pPr>
      <w:r>
        <w:t xml:space="preserve">The official repo emphasizes that TabICL/TabICLv2 is</w:t>
      </w:r>
      <w:r>
        <w:t xml:space="preserve"> </w:t>
      </w:r>
      <w:r>
        <w:rPr>
          <w:b/>
          <w:bCs/>
        </w:rPr>
        <w:t xml:space="preserve">pip-installable and scikit-learn compliant</w:t>
      </w:r>
      <w:r>
        <w:t xml:space="preserve">, with</w:t>
      </w:r>
      <w:r>
        <w:t xml:space="preserve"> </w:t>
      </w:r>
      <w:r>
        <w:rPr>
          <w:rStyle w:val="VerbatimChar"/>
        </w:rPr>
        <w:t xml:space="preserve">fit</w:t>
      </w:r>
      <w:r>
        <w:t xml:space="preserve"> </w:t>
      </w:r>
      <w:r>
        <w:t xml:space="preserve">used primarily to store context (and optionally build caches), and</w:t>
      </w:r>
      <w:r>
        <w:t xml:space="preserve"> </w:t>
      </w:r>
      <w:r>
        <w:rPr>
          <w:rStyle w:val="VerbatimChar"/>
        </w:rPr>
        <w:t xml:space="preserve">predict</w:t>
      </w:r>
      <w:r>
        <w:t xml:space="preserve"> </w:t>
      </w:r>
      <w:r>
        <w:t xml:space="preserve">performing ICL.</w:t>
      </w:r>
      <w:r>
        <w:t xml:space="preserve"> </w:t>
      </w:r>
      <w:hyperlink r:id="rId22">
        <w:r>
          <w:rPr>
            <w:rStyle w:val="Hyperlink"/>
          </w:rPr>
          <w:t xml:space="preserve">[39]</w:t>
        </w:r>
      </w:hyperlink>
    </w:p>
    <w:p>
      <w:pPr>
        <w:pStyle w:val="BodyText"/>
      </w:pPr>
      <w:r>
        <w:t xml:space="preserve">Accepted inputs:</w:t>
      </w:r>
    </w:p>
    <w:p>
      <w:pPr>
        <w:pStyle w:val="Compact"/>
        <w:numPr>
          <w:ilvl w:val="0"/>
          <w:numId w:val="1013"/>
        </w:numPr>
      </w:pPr>
      <w:r>
        <w:rPr>
          <w:rStyle w:val="VerbatimChar"/>
        </w:rPr>
        <w:t xml:space="preserve">X</w:t>
      </w:r>
      <w:r>
        <w:t xml:space="preserve"> </w:t>
      </w:r>
      <w:r>
        <w:t xml:space="preserve">can be</w:t>
      </w:r>
      <w:r>
        <w:t xml:space="preserve"> </w:t>
      </w:r>
      <w:r>
        <w:rPr>
          <w:b/>
          <w:bCs/>
        </w:rPr>
        <w:t xml:space="preserve">pandas DataFrame or numpy array</w:t>
      </w:r>
      <w:r>
        <w:t xml:space="preserve">.</w:t>
      </w:r>
      <w:r>
        <w:t xml:space="preserve"> </w:t>
      </w:r>
      <w:hyperlink r:id="rId22">
        <w:r>
          <w:rPr>
            <w:rStyle w:val="Hyperlink"/>
          </w:rPr>
          <w:t xml:space="preserve">[40]</w:t>
        </w:r>
      </w:hyperlink>
    </w:p>
    <w:p>
      <w:pPr>
        <w:pStyle w:val="Compact"/>
        <w:numPr>
          <w:ilvl w:val="0"/>
          <w:numId w:val="1013"/>
        </w:numPr>
      </w:pPr>
      <w:r>
        <w:t xml:space="preserve">Built-in preprocessing includes:</w:t>
      </w:r>
    </w:p>
    <w:p>
      <w:pPr>
        <w:pStyle w:val="Compact"/>
        <w:numPr>
          <w:ilvl w:val="0"/>
          <w:numId w:val="1013"/>
        </w:numPr>
      </w:pPr>
      <w:r>
        <w:t xml:space="preserve">Detect + ordinal encode categorical columns (string/object/category/bool)</w:t>
      </w:r>
    </w:p>
    <w:p>
      <w:pPr>
        <w:pStyle w:val="Compact"/>
        <w:numPr>
          <w:ilvl w:val="0"/>
          <w:numId w:val="1013"/>
        </w:numPr>
      </w:pPr>
      <w:r>
        <w:t xml:space="preserve">Create a missing category for categorical missingness</w:t>
      </w:r>
    </w:p>
    <w:p>
      <w:pPr>
        <w:pStyle w:val="Compact"/>
        <w:numPr>
          <w:ilvl w:val="0"/>
          <w:numId w:val="1013"/>
        </w:numPr>
      </w:pPr>
      <w:r>
        <w:t xml:space="preserve">Mean-impute numerical NaNs</w:t>
      </w:r>
    </w:p>
    <w:p>
      <w:pPr>
        <w:pStyle w:val="Compact"/>
        <w:numPr>
          <w:ilvl w:val="0"/>
          <w:numId w:val="1013"/>
        </w:numPr>
      </w:pPr>
      <w:r>
        <w:t xml:space="preserve">Outlier handling, scaling/normalization, feature shuffling for ensemble diversity</w:t>
      </w:r>
      <w:r>
        <w:t xml:space="preserve"> </w:t>
      </w:r>
      <w:hyperlink r:id="rId22">
        <w:r>
          <w:rPr>
            <w:rStyle w:val="Hyperlink"/>
          </w:rPr>
          <w:t xml:space="preserve">[40]</w:t>
        </w:r>
      </w:hyperlink>
    </w:p>
    <w:p>
      <w:pPr>
        <w:pStyle w:val="FirstParagraph"/>
      </w:pPr>
      <w:r>
        <w:t xml:space="preserve">For heterogeneous “real-world messy tables”, the repo recommends using</w:t>
      </w:r>
      <w:r>
        <w:t xml:space="preserve"> </w:t>
      </w:r>
      <w:r>
        <w:rPr>
          <w:rStyle w:val="VerbatimChar"/>
        </w:rPr>
        <w:t xml:space="preserve">skrub</w:t>
      </w:r>
      <w:r>
        <w:t xml:space="preserve">’s</w:t>
      </w:r>
      <w:r>
        <w:t xml:space="preserve"> </w:t>
      </w:r>
      <w:r>
        <w:rPr>
          <w:rStyle w:val="VerbatimChar"/>
        </w:rPr>
        <w:t xml:space="preserve">TableVectorizer</w:t>
      </w:r>
      <w:r>
        <w:t xml:space="preserve"> </w:t>
      </w:r>
      <w:r>
        <w:t xml:space="preserve">(text/datetime support, robust preprocessing, feature engineering, joins).</w:t>
      </w:r>
      <w:r>
        <w:t xml:space="preserve"> </w:t>
      </w:r>
      <w:hyperlink r:id="rId22">
        <w:r>
          <w:rPr>
            <w:rStyle w:val="Hyperlink"/>
          </w:rPr>
          <w:t xml:space="preserve">[40]</w:t>
        </w:r>
      </w:hyperlink>
    </w:p>
    <w:bookmarkEnd w:id="46"/>
    <w:bookmarkStart w:id="47" w:name="X82a0c97852b4cef8550574e5b74c333f5ef0a08"/>
    <w:p>
      <w:pPr>
        <w:pStyle w:val="Heading3"/>
      </w:pPr>
      <w:r>
        <w:t xml:space="preserve">Inference-time ensembling, batching, and caching</w:t>
      </w:r>
    </w:p>
    <w:p>
      <w:pPr>
        <w:pStyle w:val="FirstParagraph"/>
      </w:pPr>
      <w:r>
        <w:t xml:space="preserve">TabICL/TabICLv2 uses an ensemble strategy controlled by parameters such as</w:t>
      </w:r>
      <w:r>
        <w:t xml:space="preserve"> </w:t>
      </w:r>
      <w:r>
        <w:rPr>
          <w:rStyle w:val="VerbatimChar"/>
        </w:rPr>
        <w:t xml:space="preserve">n_estimators</w:t>
      </w:r>
      <w:r>
        <w:t xml:space="preserve">, feature shuffling, class shuffling, and normalization methods.</w:t>
      </w:r>
      <w:r>
        <w:t xml:space="preserve"> </w:t>
      </w:r>
      <w:hyperlink r:id="rId22">
        <w:r>
          <w:rPr>
            <w:rStyle w:val="Hyperlink"/>
          </w:rPr>
          <w:t xml:space="preserve">[41]</w:t>
        </w:r>
      </w:hyperlink>
    </w:p>
    <w:p>
      <w:pPr>
        <w:pStyle w:val="BodyText"/>
      </w:pPr>
      <w:r>
        <w:t xml:space="preserve">The README highlights:</w:t>
      </w:r>
    </w:p>
    <w:p>
      <w:pPr>
        <w:pStyle w:val="Compact"/>
        <w:numPr>
          <w:ilvl w:val="0"/>
          <w:numId w:val="1014"/>
        </w:numPr>
      </w:pPr>
      <w:r>
        <w:rPr>
          <w:rStyle w:val="VerbatimChar"/>
        </w:rPr>
        <w:t xml:space="preserve">batch_size</w:t>
      </w:r>
      <w:r>
        <w:t xml:space="preserve">: number of ensemble members processed together (trade memory vs throughput)</w:t>
      </w:r>
      <w:r>
        <w:t xml:space="preserve"> </w:t>
      </w:r>
      <w:hyperlink r:id="rId22">
        <w:r>
          <w:rPr>
            <w:rStyle w:val="Hyperlink"/>
          </w:rPr>
          <w:t xml:space="preserve">[42]</w:t>
        </w:r>
      </w:hyperlink>
    </w:p>
    <w:p>
      <w:pPr>
        <w:pStyle w:val="Compact"/>
        <w:numPr>
          <w:ilvl w:val="0"/>
          <w:numId w:val="1014"/>
        </w:numPr>
      </w:pPr>
      <w:r>
        <w:rPr>
          <w:b/>
          <w:bCs/>
        </w:rPr>
        <w:t xml:space="preserve">KV caching</w:t>
      </w:r>
      <w:r>
        <w:t xml:space="preserve">: if you repeatedly call</w:t>
      </w:r>
      <w:r>
        <w:t xml:space="preserve"> </w:t>
      </w:r>
      <w:r>
        <w:rPr>
          <w:rStyle w:val="VerbatimChar"/>
        </w:rPr>
        <w:t xml:space="preserve">predict</w:t>
      </w:r>
      <w:r>
        <w:t xml:space="preserve"> </w:t>
      </w:r>
      <w:r>
        <w:t xml:space="preserve">on the same training data,</w:t>
      </w:r>
      <w:r>
        <w:t xml:space="preserve"> </w:t>
      </w:r>
      <w:r>
        <w:rPr>
          <w:rStyle w:val="VerbatimChar"/>
        </w:rPr>
        <w:t xml:space="preserve">kv_cache=True</w:t>
      </w:r>
      <w:r>
        <w:t xml:space="preserve"> </w:t>
      </w:r>
      <w:r>
        <w:t xml:space="preserve">builds a cache during</w:t>
      </w:r>
      <w:r>
        <w:t xml:space="preserve"> </w:t>
      </w:r>
      <w:r>
        <w:rPr>
          <w:rStyle w:val="VerbatimChar"/>
        </w:rPr>
        <w:t xml:space="preserve">fit</w:t>
      </w:r>
      <w:r>
        <w:t xml:space="preserve"> </w:t>
      </w:r>
      <w:r>
        <w:t xml:space="preserve">and reuses it, improving repeated inference latency at the cost of additional memory.</w:t>
      </w:r>
      <w:r>
        <w:t xml:space="preserve"> </w:t>
      </w:r>
      <w:hyperlink r:id="rId22">
        <w:r>
          <w:rPr>
            <w:rStyle w:val="Hyperlink"/>
          </w:rPr>
          <w:t xml:space="preserve">[43]</w:t>
        </w:r>
      </w:hyperlink>
    </w:p>
    <w:bookmarkEnd w:id="47"/>
    <w:bookmarkStart w:id="48" w:name="Xea09606002f9495135b5c5dfdb2017544724f4d"/>
    <w:p>
      <w:pPr>
        <w:pStyle w:val="Heading3"/>
      </w:pPr>
      <w:r>
        <w:t xml:space="preserve">Complexity, typical operating regimes, and latency anchors</w:t>
      </w:r>
    </w:p>
    <w:p>
      <w:pPr>
        <w:pStyle w:val="FirstParagraph"/>
      </w:pPr>
      <w:r>
        <w:t xml:space="preserve">The repo states runtime complexity (for TabICL v1 and v2) as</w:t>
      </w:r>
      <w:r>
        <w:t xml:space="preserve"> </w:t>
      </w:r>
      <m:oMath>
        <m:r>
          <m:t>O</m:t>
        </m:r>
        <m:d>
          <m:dPr>
            <m:begChr m:val="("/>
            <m:sepChr m:val=""/>
            <m:endChr m:val=")"/>
            <m:grow/>
          </m:dPr>
          <m:e>
            <m:sSup>
              <m:e>
                <m:r>
                  <m:t>n</m:t>
                </m:r>
              </m:e>
              <m:sup>
                <m:r>
                  <m:t>2</m:t>
                </m:r>
              </m:sup>
            </m:sSup>
            <m:r>
              <m:rPr>
                <m:sty m:val="p"/>
              </m:rPr>
              <m:t>+</m:t>
            </m:r>
            <m:r>
              <m:t>n</m:t>
            </m:r>
            <m:sSup>
              <m:e>
                <m:r>
                  <m:t>m</m:t>
                </m:r>
              </m:e>
              <m:sup>
                <m:r>
                  <m:t>2</m:t>
                </m:r>
              </m:sup>
            </m:sSup>
          </m:e>
        </m:d>
      </m:oMath>
      <w:r>
        <w:t xml:space="preserve"> </w:t>
      </w:r>
      <w:r>
        <w:t xml:space="preserve">for</w:t>
      </w:r>
      <w:r>
        <w:t xml:space="preserve"> </w:t>
      </w:r>
      <w:r>
        <w:rPr>
          <w:rStyle w:val="VerbatimChar"/>
        </w:rPr>
        <w:t xml:space="preserve">n</w:t>
      </w:r>
      <w:r>
        <w:t xml:space="preserve"> </w:t>
      </w:r>
      <w:r>
        <w:t xml:space="preserve">training rows and</w:t>
      </w:r>
      <w:r>
        <w:t xml:space="preserve"> </w:t>
      </w:r>
      <w:r>
        <w:rPr>
          <w:rStyle w:val="VerbatimChar"/>
        </w:rPr>
        <w:t xml:space="preserve">m</w:t>
      </w:r>
      <w:r>
        <w:t xml:space="preserve"> </w:t>
      </w:r>
      <w:r>
        <w:t xml:space="preserve">columns, and claims that on some regimes it can be ~10x faster than TabPFN-2.5.</w:t>
      </w:r>
      <w:r>
        <w:t xml:space="preserve"> </w:t>
      </w:r>
      <w:hyperlink r:id="rId22">
        <w:r>
          <w:rPr>
            <w:rStyle w:val="Hyperlink"/>
          </w:rPr>
          <w:t xml:space="preserve">[19]</w:t>
        </w:r>
      </w:hyperlink>
    </w:p>
    <w:p>
      <w:pPr>
        <w:pStyle w:val="BodyText"/>
      </w:pPr>
      <w:r>
        <w:t xml:space="preserve">Practical regime guidance from repo FAQ:</w:t>
      </w:r>
    </w:p>
    <w:p>
      <w:pPr>
        <w:pStyle w:val="Compact"/>
        <w:numPr>
          <w:ilvl w:val="0"/>
          <w:numId w:val="1015"/>
        </w:numPr>
      </w:pPr>
      <w:r>
        <w:t xml:space="preserve">TabICLv2 pretrained on datasets with</w:t>
      </w:r>
      <w:r>
        <w:t xml:space="preserve"> </w:t>
      </w:r>
      <w:r>
        <w:rPr>
          <w:b/>
          <w:bCs/>
        </w:rPr>
        <w:t xml:space="preserve">300 to 48K training samples</w:t>
      </w:r>
      <w:r>
        <w:t xml:space="preserve">, but can generalize to larger; authors report good results on some</w:t>
      </w:r>
      <w:r>
        <w:t xml:space="preserve"> </w:t>
      </w:r>
      <w:r>
        <w:rPr>
          <w:b/>
          <w:bCs/>
        </w:rPr>
        <w:t xml:space="preserve">600K-sample</w:t>
      </w:r>
      <w:r>
        <w:t xml:space="preserve"> </w:t>
      </w:r>
      <w:r>
        <w:t xml:space="preserve">datasets, while acknowledging limited testing below 300 samples.</w:t>
      </w:r>
      <w:r>
        <w:t xml:space="preserve"> </w:t>
      </w:r>
      <w:hyperlink r:id="rId22">
        <w:r>
          <w:rPr>
            <w:rStyle w:val="Hyperlink"/>
          </w:rPr>
          <w:t xml:space="preserve">[44]</w:t>
        </w:r>
      </w:hyperlink>
    </w:p>
    <w:p>
      <w:pPr>
        <w:pStyle w:val="Compact"/>
        <w:numPr>
          <w:ilvl w:val="0"/>
          <w:numId w:val="1015"/>
        </w:numPr>
      </w:pPr>
      <w:r>
        <w:t xml:space="preserve">Pretrained on</w:t>
      </w:r>
      <w:r>
        <w:t xml:space="preserve"> </w:t>
      </w:r>
      <w:r>
        <w:rPr>
          <w:b/>
          <w:bCs/>
        </w:rPr>
        <w:t xml:space="preserve">2 to 100 columns</w:t>
      </w:r>
      <w:r>
        <w:t xml:space="preserve">; authors report generalization beyond 100 columns but do not claim a known hard limit.</w:t>
      </w:r>
      <w:r>
        <w:t xml:space="preserve"> </w:t>
      </w:r>
      <w:hyperlink r:id="rId22">
        <w:r>
          <w:rPr>
            <w:rStyle w:val="Hyperlink"/>
          </w:rPr>
          <w:t xml:space="preserve">[44]</w:t>
        </w:r>
      </w:hyperlink>
    </w:p>
    <w:p>
      <w:pPr>
        <w:pStyle w:val="Compact"/>
        <w:numPr>
          <w:ilvl w:val="0"/>
          <w:numId w:val="1015"/>
        </w:numPr>
      </w:pPr>
      <w:r>
        <w:t xml:space="preserve">Example latency anchor: on an H100,</w:t>
      </w:r>
      <w:r>
        <w:t xml:space="preserve"> </w:t>
      </w:r>
      <w:r>
        <w:rPr>
          <w:rStyle w:val="VerbatimChar"/>
        </w:rPr>
        <w:t xml:space="preserve">fit</w:t>
      </w:r>
      <w:r>
        <w:t xml:space="preserve">+</w:t>
      </w:r>
      <w:r>
        <w:rPr>
          <w:rStyle w:val="VerbatimChar"/>
        </w:rPr>
        <w:t xml:space="preserve">predict</w:t>
      </w:r>
      <w:r>
        <w:t xml:space="preserve"> </w:t>
      </w:r>
      <w:r>
        <w:t xml:space="preserve">for</w:t>
      </w:r>
      <w:r>
        <w:t xml:space="preserve"> </w:t>
      </w:r>
      <w:r>
        <w:rPr>
          <w:b/>
          <w:bCs/>
        </w:rPr>
        <w:t xml:space="preserve">50,000 samples × 100 features</w:t>
      </w:r>
      <w:r>
        <w:t xml:space="preserve"> </w:t>
      </w:r>
      <w:r>
        <w:t xml:space="preserve">is claimed “under 10 seconds.”</w:t>
      </w:r>
      <w:r>
        <w:t xml:space="preserve"> </w:t>
      </w:r>
      <w:hyperlink r:id="rId22">
        <w:r>
          <w:rPr>
            <w:rStyle w:val="Hyperlink"/>
          </w:rPr>
          <w:t xml:space="preserve">[43]</w:t>
        </w:r>
      </w:hyperlink>
    </w:p>
    <w:bookmarkEnd w:id="48"/>
    <w:bookmarkStart w:id="49" w:name="X83bf71094b5fa005351c4d90e8ead7f4c43bcec"/>
    <w:p>
      <w:pPr>
        <w:pStyle w:val="Heading3"/>
      </w:pPr>
      <w:r>
        <w:t xml:space="preserve">Engineering for large-scale inference: selective attention + offloading</w:t>
      </w:r>
    </w:p>
    <w:p>
      <w:pPr>
        <w:pStyle w:val="FirstParagraph"/>
      </w:pPr>
      <w:r>
        <w:t xml:space="preserve">Appendix H provides two major classes of inference optimization.</w:t>
      </w:r>
    </w:p>
    <w:p>
      <w:pPr>
        <w:pStyle w:val="BodyText"/>
      </w:pPr>
      <w:r>
        <w:rPr>
          <w:b/>
          <w:bCs/>
        </w:rPr>
        <w:t xml:space="preserve">Selective Q/K/V projections (H.1).</w:t>
      </w:r>
      <w:r>
        <w:br/>
      </w:r>
      <w:r>
        <w:t xml:space="preserve">Because some stages only require outputs for special tokens (e.g., [CLS]), TabICLv2 can reduce redundant projection computation. For row-wise interaction, the paper describes restricting</w:t>
      </w:r>
      <w:r>
        <w:t xml:space="preserve"> </w:t>
      </w:r>
      <w:r>
        <w:rPr>
          <w:b/>
          <w:bCs/>
        </w:rPr>
        <w:t xml:space="preserve">query computation</w:t>
      </w:r>
      <w:r>
        <w:t xml:space="preserve"> </w:t>
      </w:r>
      <w:r>
        <w:t xml:space="preserve">to [CLS] positions in the last block, while still attending to the full sequence as keys/values.</w:t>
      </w:r>
      <w:r>
        <w:t xml:space="preserve"> </w:t>
      </w:r>
      <w:hyperlink r:id="rId21">
        <w:r>
          <w:rPr>
            <w:rStyle w:val="Hyperlink"/>
          </w:rPr>
          <w:t xml:space="preserve">[45]</w:t>
        </w:r>
      </w:hyperlink>
    </w:p>
    <w:p>
      <w:pPr>
        <w:pStyle w:val="BodyText"/>
      </w:pPr>
      <w:r>
        <w:rPr>
          <w:b/>
          <w:bCs/>
        </w:rPr>
        <w:t xml:space="preserve">Offloading (H.2).</w:t>
      </w:r>
      <w:r>
        <w:br/>
      </w:r>
      <w:r>
        <w:t xml:space="preserve">TabICLv2 implements multiple offloading modes and documents concrete resource trade-offs on a 1M×500 table:</w:t>
      </w:r>
    </w:p>
    <w:p>
      <w:pPr>
        <w:pStyle w:val="Compact"/>
        <w:numPr>
          <w:ilvl w:val="0"/>
          <w:numId w:val="1016"/>
        </w:numPr>
      </w:pPr>
      <w:r>
        <w:t xml:space="preserve">CPU offloading: faster (115s) but ~250GB CPU RAM required for intermediate embeddings</w:t>
      </w:r>
    </w:p>
    <w:p>
      <w:pPr>
        <w:pStyle w:val="Compact"/>
        <w:numPr>
          <w:ilvl w:val="0"/>
          <w:numId w:val="1016"/>
        </w:numPr>
      </w:pPr>
      <w:r>
        <w:t xml:space="preserve">Disk offloading: slower (~450s; ~4× slower than CPU offloading) but reduces system RAM needs (&lt;24GB CPU, &lt;50GB GPU) at the cost of ~250GB disk space, using memory-mapped files and asynchronous copy management</w:t>
      </w:r>
      <w:r>
        <w:t xml:space="preserve"> </w:t>
      </w:r>
      <w:hyperlink r:id="rId21">
        <w:r>
          <w:rPr>
            <w:rStyle w:val="Hyperlink"/>
          </w:rPr>
          <w:t xml:space="preserve">[46]</w:t>
        </w:r>
      </w:hyperlink>
    </w:p>
    <w:p>
      <w:pPr>
        <w:pStyle w:val="FirstParagraph"/>
      </w:pPr>
      <w:r>
        <w:t xml:space="preserve">The disk offloading implementation is described as: pre-allocate memmap file, stream batch outputs to disk, periodically flush (default 8GB), clean up via finalizers, and overlap GPU compute with D2H transfers via a dedicated CUDA stream and buffer pool.</w:t>
      </w:r>
      <w:r>
        <w:t xml:space="preserve"> </w:t>
      </w:r>
      <w:hyperlink r:id="rId21">
        <w:r>
          <w:rPr>
            <w:rStyle w:val="Hyperlink"/>
          </w:rPr>
          <w:t xml:space="preserve">[47]</w:t>
        </w:r>
      </w:hyperlink>
    </w:p>
    <w:bookmarkEnd w:id="49"/>
    <w:bookmarkStart w:id="50" w:name="tokenization-and-prompts-in-tabiclv2"/>
    <w:p>
      <w:pPr>
        <w:pStyle w:val="Heading3"/>
      </w:pPr>
      <w:r>
        <w:t xml:space="preserve">“Tokenization” and “prompts” in TabICLv2</w:t>
      </w:r>
    </w:p>
    <w:p>
      <w:pPr>
        <w:pStyle w:val="FirstParagraph"/>
      </w:pPr>
      <w:r>
        <w:t xml:space="preserve">TabICLv2 is</w:t>
      </w:r>
      <w:r>
        <w:t xml:space="preserve"> </w:t>
      </w:r>
      <w:r>
        <w:rPr>
          <w:b/>
          <w:bCs/>
        </w:rPr>
        <w:t xml:space="preserve">not</w:t>
      </w:r>
      <w:r>
        <w:t xml:space="preserve"> </w:t>
      </w:r>
      <w:r>
        <w:t xml:space="preserve">a text model; it does not tokenize strings into subword tokens nor use natural-language prompting in the LLM sense. Instead, “context length” is primarily a function of:</w:t>
      </w:r>
    </w:p>
    <w:p>
      <w:pPr>
        <w:pStyle w:val="Compact"/>
        <w:numPr>
          <w:ilvl w:val="0"/>
          <w:numId w:val="1017"/>
        </w:numPr>
      </w:pPr>
      <w:r>
        <w:t xml:space="preserve">number of training rows and test rows (rows become part of the ICL context), and</w:t>
      </w:r>
    </w:p>
    <w:p>
      <w:pPr>
        <w:pStyle w:val="Compact"/>
        <w:numPr>
          <w:ilvl w:val="0"/>
          <w:numId w:val="1017"/>
        </w:numPr>
      </w:pPr>
      <w:r>
        <w:t xml:space="preserve">the internal representation sizes created by the column/row embedding pipeline.</w:t>
      </w:r>
    </w:p>
    <w:p>
      <w:pPr>
        <w:pStyle w:val="FirstParagraph"/>
      </w:pPr>
      <w:r>
        <w:t xml:space="preserve">Thus, “prompt engineering” maps to:</w:t>
      </w:r>
    </w:p>
    <w:p>
      <w:pPr>
        <w:pStyle w:val="Compact"/>
        <w:numPr>
          <w:ilvl w:val="0"/>
          <w:numId w:val="1018"/>
        </w:numPr>
      </w:pPr>
      <w:r>
        <w:t xml:space="preserve">choosing preprocessing/encoding of feature types,</w:t>
      </w:r>
    </w:p>
    <w:p>
      <w:pPr>
        <w:pStyle w:val="Compact"/>
        <w:numPr>
          <w:ilvl w:val="0"/>
          <w:numId w:val="1018"/>
        </w:numPr>
      </w:pPr>
      <w:r>
        <w:t xml:space="preserve">selecting what constitutes context vs query,</w:t>
      </w:r>
    </w:p>
    <w:p>
      <w:pPr>
        <w:pStyle w:val="Compact"/>
        <w:numPr>
          <w:ilvl w:val="0"/>
          <w:numId w:val="1018"/>
        </w:numPr>
      </w:pPr>
      <w:r>
        <w:t xml:space="preserve">and controlling ensembling + temperature/normalization options via the API.</w:t>
      </w:r>
      <w:r>
        <w:t xml:space="preserve"> </w:t>
      </w:r>
      <w:hyperlink r:id="rId22">
        <w:r>
          <w:rPr>
            <w:rStyle w:val="Hyperlink"/>
          </w:rPr>
          <w:t xml:space="preserve">[48]</w:t>
        </w:r>
      </w:hyperlink>
    </w:p>
    <w:bookmarkEnd w:id="50"/>
    <w:bookmarkStart w:id="53" w:name="multimodal-tables-and-ocr-integration"/>
    <w:p>
      <w:pPr>
        <w:pStyle w:val="Heading3"/>
      </w:pPr>
      <w:r>
        <w:t xml:space="preserve">Multimodal tables and OCR integration</w:t>
      </w:r>
    </w:p>
    <w:p>
      <w:pPr>
        <w:pStyle w:val="FirstParagraph"/>
      </w:pPr>
      <w:r>
        <w:t xml:space="preserve">TabICLv2 focuses on</w:t>
      </w:r>
      <w:r>
        <w:t xml:space="preserve"> </w:t>
      </w:r>
      <w:r>
        <w:rPr>
          <w:b/>
          <w:bCs/>
        </w:rPr>
        <w:t xml:space="preserve">predictive ML on structured tabular arrays</w:t>
      </w:r>
      <w:r>
        <w:t xml:space="preserve"> </w:t>
      </w:r>
      <w:r>
        <w:t xml:space="preserve">rather than document-image table extraction. For OCR/scanned tables you typically need a front-end pipeline:</w:t>
      </w:r>
    </w:p>
    <w:p>
      <w:pPr>
        <w:pStyle w:val="Compact"/>
        <w:numPr>
          <w:ilvl w:val="0"/>
          <w:numId w:val="1019"/>
        </w:numPr>
      </w:pPr>
      <w:r>
        <w:rPr>
          <w:b/>
          <w:bCs/>
        </w:rPr>
        <w:t xml:space="preserve">Detect + reconstruct structure</w:t>
      </w:r>
      <w:r>
        <w:t xml:space="preserve"> </w:t>
      </w:r>
      <w:r>
        <w:t xml:space="preserve">(table bounding boxes, rows/columns, cell layout)</w:t>
      </w:r>
    </w:p>
    <w:p>
      <w:pPr>
        <w:pStyle w:val="Compact"/>
        <w:numPr>
          <w:ilvl w:val="0"/>
          <w:numId w:val="1019"/>
        </w:numPr>
      </w:pPr>
      <w:r>
        <w:rPr>
          <w:b/>
          <w:bCs/>
        </w:rPr>
        <w:t xml:space="preserve">Extract cell text</w:t>
      </w:r>
      <w:r>
        <w:t xml:space="preserve"> </w:t>
      </w:r>
      <w:r>
        <w:t xml:space="preserve">(OCR)</w:t>
      </w:r>
    </w:p>
    <w:p>
      <w:pPr>
        <w:pStyle w:val="Compact"/>
        <w:numPr>
          <w:ilvl w:val="0"/>
          <w:numId w:val="1019"/>
        </w:numPr>
      </w:pPr>
      <w:r>
        <w:t xml:space="preserve">Convert to a structured DataFrame and encode heterogeneous columns (numbers/categoricals/text/dates)</w:t>
      </w:r>
    </w:p>
    <w:p>
      <w:pPr>
        <w:pStyle w:val="Compact"/>
        <w:numPr>
          <w:ilvl w:val="0"/>
          <w:numId w:val="1019"/>
        </w:numPr>
      </w:pPr>
      <w:r>
        <w:t xml:space="preserve">Feed into TabICLv2</w:t>
      </w:r>
    </w:p>
    <w:p>
      <w:pPr>
        <w:pStyle w:val="FirstParagraph"/>
      </w:pPr>
      <w:r>
        <w:t xml:space="preserve">For step (1), “TableFormer” is a transformer-based model for</w:t>
      </w:r>
      <w:r>
        <w:t xml:space="preserve"> </w:t>
      </w:r>
      <w:r>
        <w:rPr>
          <w:b/>
          <w:bCs/>
        </w:rPr>
        <w:t xml:space="preserve">table structure recognition from images</w:t>
      </w:r>
      <w:r>
        <w:t xml:space="preserve">.</w:t>
      </w:r>
      <w:r>
        <w:t xml:space="preserve"> </w:t>
      </w:r>
      <w:hyperlink r:id="rId51">
        <w:r>
          <w:rPr>
            <w:rStyle w:val="Hyperlink"/>
          </w:rPr>
          <w:t xml:space="preserve">[49]</w:t>
        </w:r>
      </w:hyperlink>
      <w:r>
        <w:br/>
      </w:r>
      <w:r>
        <w:t xml:space="preserve">For additional table-detection/table-structure tooling, “Table Transformer” style models are commonly used in the ecosystem (e.g., DETR-style table detection + structure recognition).</w:t>
      </w:r>
      <w:r>
        <w:t xml:space="preserve"> </w:t>
      </w:r>
      <w:hyperlink r:id="rId52">
        <w:r>
          <w:rPr>
            <w:rStyle w:val="Hyperlink"/>
          </w:rPr>
          <w:t xml:space="preserve">[50]</w:t>
        </w:r>
      </w:hyperlink>
      <w:r>
        <w:br/>
      </w:r>
      <w:r>
        <w:t xml:space="preserve">For step (3), the TabICL repo explicitly recommends</w:t>
      </w:r>
      <w:r>
        <w:t xml:space="preserve"> </w:t>
      </w:r>
      <w:r>
        <w:rPr>
          <w:rStyle w:val="VerbatimChar"/>
        </w:rPr>
        <w:t xml:space="preserve">skrub</w:t>
      </w:r>
      <w:r>
        <w:t xml:space="preserve"> </w:t>
      </w:r>
      <w:r>
        <w:t xml:space="preserve">to turn heterogeneous columns (incl. text/datetime) into usable model inputs.</w:t>
      </w:r>
      <w:r>
        <w:t xml:space="preserve"> </w:t>
      </w:r>
      <w:hyperlink r:id="rId22">
        <w:r>
          <w:rPr>
            <w:rStyle w:val="Hyperlink"/>
          </w:rPr>
          <w:t xml:space="preserve">[51]</w:t>
        </w:r>
      </w:hyperlink>
    </w:p>
    <w:bookmarkEnd w:id="53"/>
    <w:bookmarkEnd w:id="54"/>
    <w:bookmarkStart w:id="65" w:name="Xdbf1fd71037ff98e9544ceb0b3ecf8d95e55969"/>
    <w:p>
      <w:pPr>
        <w:pStyle w:val="Heading2"/>
      </w:pPr>
      <w:r>
        <w:t xml:space="preserve">Fine-tuning and adaptation to a new dataset</w:t>
      </w:r>
    </w:p>
    <w:bookmarkStart w:id="55" w:name="Xb7ec183875dac269435378b399e52c7bdaa48e9"/>
    <w:p>
      <w:pPr>
        <w:pStyle w:val="Heading3"/>
      </w:pPr>
      <w:r>
        <w:t xml:space="preserve">Clarifying what “fine-tuning” means for TabICLv2</w:t>
      </w:r>
    </w:p>
    <w:p>
      <w:pPr>
        <w:pStyle w:val="FirstParagraph"/>
      </w:pPr>
      <w:r>
        <w:t xml:space="preserve">Because TabICLv2 is designed to do “training-free” adaptation via ICL, many users get most value from</w:t>
      </w:r>
      <w:r>
        <w:t xml:space="preserve"> </w:t>
      </w:r>
      <w:r>
        <w:rPr>
          <w:b/>
          <w:bCs/>
        </w:rPr>
        <w:t xml:space="preserve">configuration + preprocessing</w:t>
      </w:r>
      <w:r>
        <w:t xml:space="preserve"> </w:t>
      </w:r>
      <w:r>
        <w:t xml:space="preserve">rather than weight updates. Still, there are credible research directions for</w:t>
      </w:r>
      <w:r>
        <w:t xml:space="preserve"> </w:t>
      </w:r>
      <w:r>
        <w:rPr>
          <w:b/>
          <w:bCs/>
        </w:rPr>
        <w:t xml:space="preserve">fine-tuning PFN-style models</w:t>
      </w:r>
      <w:r>
        <w:t xml:space="preserve">, and TabICLv2 explicitly situates itself in a landscape that includes fine-tuning, retrieval, and distillation.</w:t>
      </w:r>
      <w:r>
        <w:t xml:space="preserve"> </w:t>
      </w:r>
      <w:hyperlink r:id="rId21">
        <w:r>
          <w:rPr>
            <w:rStyle w:val="Hyperlink"/>
          </w:rPr>
          <w:t xml:space="preserve">[52]</w:t>
        </w:r>
      </w:hyperlink>
    </w:p>
    <w:p>
      <w:pPr>
        <w:pStyle w:val="BodyText"/>
      </w:pPr>
      <w:r>
        <w:t xml:space="preserve">Below are three tiers, from “most supported by current TabICLv2 tooling” to “most invasive”.</w:t>
      </w:r>
    </w:p>
    <w:bookmarkEnd w:id="55"/>
    <w:bookmarkStart w:id="56" w:name="X676a104ed1e66e442a0b4e16345da812497cb7f"/>
    <w:p>
      <w:pPr>
        <w:pStyle w:val="Heading3"/>
      </w:pPr>
      <w:r>
        <w:t xml:space="preserve">Tier A: Configuration-level adaptation (no weight updates)</w:t>
      </w:r>
    </w:p>
    <w:p>
      <w:pPr>
        <w:pStyle w:val="FirstParagraph"/>
      </w:pPr>
      <w:r>
        <w:t xml:space="preserve">This is the most “officially supported” approach today via the</w:t>
      </w:r>
      <w:r>
        <w:t xml:space="preserve"> </w:t>
      </w:r>
      <w:r>
        <w:rPr>
          <w:rStyle w:val="VerbatimChar"/>
        </w:rPr>
        <w:t xml:space="preserve">tabicl</w:t>
      </w:r>
      <w:r>
        <w:t xml:space="preserve"> </w:t>
      </w:r>
      <w:r>
        <w:t xml:space="preserve">API:</w:t>
      </w:r>
    </w:p>
    <w:p>
      <w:pPr>
        <w:pStyle w:val="Compact"/>
        <w:numPr>
          <w:ilvl w:val="0"/>
          <w:numId w:val="1020"/>
        </w:numPr>
      </w:pPr>
      <w:r>
        <w:t xml:space="preserve">Use DataFrame inputs and let the library handle categorical detection/encoding + missingness and normalization.</w:t>
      </w:r>
      <w:r>
        <w:t xml:space="preserve"> </w:t>
      </w:r>
      <w:hyperlink r:id="rId22">
        <w:r>
          <w:rPr>
            <w:rStyle w:val="Hyperlink"/>
          </w:rPr>
          <w:t xml:space="preserve">[40]</w:t>
        </w:r>
      </w:hyperlink>
    </w:p>
    <w:p>
      <w:pPr>
        <w:pStyle w:val="Compact"/>
        <w:numPr>
          <w:ilvl w:val="0"/>
          <w:numId w:val="1020"/>
        </w:numPr>
      </w:pPr>
      <w:r>
        <w:t xml:space="preserve">If you have heterogeneous columns, add a</w:t>
      </w:r>
      <w:r>
        <w:t xml:space="preserve"> </w:t>
      </w:r>
      <w:r>
        <w:rPr>
          <w:rStyle w:val="VerbatimChar"/>
        </w:rPr>
        <w:t xml:space="preserve">skrub.TableVectorizer</w:t>
      </w:r>
      <w:r>
        <w:t xml:space="preserve"> </w:t>
      </w:r>
      <w:r>
        <w:t xml:space="preserve">preprocessing step before TabICLClassifier/Regressor.</w:t>
      </w:r>
      <w:r>
        <w:t xml:space="preserve"> </w:t>
      </w:r>
      <w:hyperlink r:id="rId22">
        <w:r>
          <w:rPr>
            <w:rStyle w:val="Hyperlink"/>
          </w:rPr>
          <w:t xml:space="preserve">[51]</w:t>
        </w:r>
      </w:hyperlink>
    </w:p>
    <w:p>
      <w:pPr>
        <w:pStyle w:val="Compact"/>
        <w:numPr>
          <w:ilvl w:val="0"/>
          <w:numId w:val="1020"/>
        </w:numPr>
      </w:pPr>
      <w:r>
        <w:t xml:space="preserve">Tune inference-time knobs that trade speed/accuracy:</w:t>
      </w:r>
    </w:p>
    <w:p>
      <w:pPr>
        <w:pStyle w:val="Compact"/>
        <w:numPr>
          <w:ilvl w:val="0"/>
          <w:numId w:val="1020"/>
        </w:numPr>
      </w:pPr>
      <w:r>
        <w:rPr>
          <w:rStyle w:val="VerbatimChar"/>
        </w:rPr>
        <w:t xml:space="preserve">n_estimators</w:t>
      </w:r>
      <w:r>
        <w:t xml:space="preserve"> </w:t>
      </w:r>
      <w:r>
        <w:t xml:space="preserve">(ensemble size)</w:t>
      </w:r>
    </w:p>
    <w:p>
      <w:pPr>
        <w:pStyle w:val="Compact"/>
        <w:numPr>
          <w:ilvl w:val="0"/>
          <w:numId w:val="1020"/>
        </w:numPr>
      </w:pPr>
      <w:r>
        <w:rPr>
          <w:rStyle w:val="VerbatimChar"/>
        </w:rPr>
        <w:t xml:space="preserve">softmax_temperature</w:t>
      </w:r>
      <w:r>
        <w:t xml:space="preserve"> </w:t>
      </w:r>
      <w:r>
        <w:t xml:space="preserve">(classification confidence calibration control)</w:t>
      </w:r>
    </w:p>
    <w:p>
      <w:pPr>
        <w:pStyle w:val="Compact"/>
        <w:numPr>
          <w:ilvl w:val="0"/>
          <w:numId w:val="1020"/>
        </w:numPr>
      </w:pPr>
      <w:r>
        <w:rPr>
          <w:rStyle w:val="VerbatimChar"/>
        </w:rPr>
        <w:t xml:space="preserve">use_amp</w:t>
      </w:r>
      <w:r>
        <w:t xml:space="preserve">,</w:t>
      </w:r>
      <w:r>
        <w:t xml:space="preserve"> </w:t>
      </w:r>
      <w:r>
        <w:rPr>
          <w:rStyle w:val="VerbatimChar"/>
        </w:rPr>
        <w:t xml:space="preserve">use_fa3</w:t>
      </w:r>
      <w:r>
        <w:t xml:space="preserve"> </w:t>
      </w:r>
      <w:r>
        <w:t xml:space="preserve">(hardware acceleration options)</w:t>
      </w:r>
    </w:p>
    <w:p>
      <w:pPr>
        <w:pStyle w:val="Compact"/>
        <w:numPr>
          <w:ilvl w:val="0"/>
          <w:numId w:val="1020"/>
        </w:numPr>
      </w:pPr>
      <w:r>
        <w:rPr>
          <w:rStyle w:val="VerbatimChar"/>
        </w:rPr>
        <w:t xml:space="preserve">offload_mode</w:t>
      </w:r>
      <w:r>
        <w:t xml:space="preserve"> </w:t>
      </w:r>
      <w:r>
        <w:t xml:space="preserve">and</w:t>
      </w:r>
      <w:r>
        <w:t xml:space="preserve"> </w:t>
      </w:r>
      <w:r>
        <w:rPr>
          <w:rStyle w:val="VerbatimChar"/>
        </w:rPr>
        <w:t xml:space="preserve">disk_offload_dir</w:t>
      </w:r>
      <w:r>
        <w:t xml:space="preserve"> </w:t>
      </w:r>
      <w:r>
        <w:t xml:space="preserve">(resource management)</w:t>
      </w:r>
      <w:r>
        <w:t xml:space="preserve"> </w:t>
      </w:r>
      <w:hyperlink r:id="rId22">
        <w:r>
          <w:rPr>
            <w:rStyle w:val="Hyperlink"/>
          </w:rPr>
          <w:t xml:space="preserve">[53]</w:t>
        </w:r>
      </w:hyperlink>
    </w:p>
    <w:bookmarkEnd w:id="56"/>
    <w:bookmarkStart w:id="57" w:name="X63ac0a16aad722df0710317e90539031f2c1c27"/>
    <w:p>
      <w:pPr>
        <w:pStyle w:val="Heading3"/>
      </w:pPr>
      <w:r>
        <w:t xml:space="preserve">Tier B: Context optimization (parameter-efficient “fine-tuning”)</w:t>
      </w:r>
    </w:p>
    <w:p>
      <w:pPr>
        <w:pStyle w:val="FirstParagraph"/>
      </w:pPr>
      <w:r>
        <w:t xml:space="preserve">If your dataset is too large to feed entirely as context (or you want better accuracy at fixed compute),</w:t>
      </w:r>
      <w:r>
        <w:t xml:space="preserve"> </w:t>
      </w:r>
      <w:r>
        <w:rPr>
          <w:b/>
          <w:bCs/>
        </w:rPr>
        <w:t xml:space="preserve">TuneTables</w:t>
      </w:r>
      <w:r>
        <w:t xml:space="preserve"> </w:t>
      </w:r>
      <w:r>
        <w:t xml:space="preserve">is a primary-source method to fine-tune PFNs by</w:t>
      </w:r>
      <w:r>
        <w:t xml:space="preserve"> </w:t>
      </w:r>
      <w:r>
        <w:rPr>
          <w:b/>
          <w:bCs/>
        </w:rPr>
        <w:t xml:space="preserve">learning a compressed context</w:t>
      </w:r>
      <w:r>
        <w:t xml:space="preserve">—optimizing a small number of parameters (reported &lt;5% of TabPFN parameters) so that a large dataset is represented by a smaller learned prompt-like context.</w:t>
      </w:r>
      <w:r>
        <w:t xml:space="preserve"> </w:t>
      </w:r>
      <w:hyperlink r:id="rId24">
        <w:r>
          <w:rPr>
            <w:rStyle w:val="Hyperlink"/>
          </w:rPr>
          <w:t xml:space="preserve">[54]</w:t>
        </w:r>
      </w:hyperlink>
    </w:p>
    <w:p>
      <w:pPr>
        <w:pStyle w:val="BodyText"/>
      </w:pPr>
      <w:r>
        <w:t xml:space="preserve">How this translates operationally to a TabICLv2-style model:</w:t>
      </w:r>
    </w:p>
    <w:p>
      <w:pPr>
        <w:pStyle w:val="Compact"/>
        <w:numPr>
          <w:ilvl w:val="0"/>
          <w:numId w:val="1021"/>
        </w:numPr>
      </w:pPr>
      <w:r>
        <w:t xml:space="preserve">Build a learned “context set” (a small synthetic set of context rows and labels, or a latent representation) such that the model’s predictions on your real dataset improve.</w:t>
      </w:r>
    </w:p>
    <w:p>
      <w:pPr>
        <w:pStyle w:val="Compact"/>
        <w:numPr>
          <w:ilvl w:val="0"/>
          <w:numId w:val="1021"/>
        </w:numPr>
      </w:pPr>
      <w:r>
        <w:t xml:space="preserve">This resembles “prompt tuning” but in the tabular PFN setting.</w:t>
      </w:r>
    </w:p>
    <w:p>
      <w:pPr>
        <w:pStyle w:val="FirstParagraph"/>
      </w:pPr>
      <w:r>
        <w:rPr>
          <w:b/>
          <w:bCs/>
        </w:rPr>
        <w:t xml:space="preserve">Caveat</w:t>
      </w:r>
      <w:r>
        <w:t xml:space="preserve">: TuneTables is not described as an official feature in</w:t>
      </w:r>
      <w:r>
        <w:t xml:space="preserve"> </w:t>
      </w:r>
      <w:r>
        <w:rPr>
          <w:rStyle w:val="VerbatimChar"/>
        </w:rPr>
        <w:t xml:space="preserve">tabicl</w:t>
      </w:r>
      <w:r>
        <w:t xml:space="preserve"> </w:t>
      </w:r>
      <w:r>
        <w:t xml:space="preserve">at the time of writing; you would likely implement Tier B by working with the underlying PyTorch model and loss, or by aligning with PFN frameworks used in TuneTables. Treat this as a research-engineering path, not turnkey TabICLv2 functionality.</w:t>
      </w:r>
      <w:r>
        <w:t xml:space="preserve"> </w:t>
      </w:r>
      <w:hyperlink r:id="rId24">
        <w:r>
          <w:rPr>
            <w:rStyle w:val="Hyperlink"/>
          </w:rPr>
          <w:t xml:space="preserve">[55]</w:t>
        </w:r>
      </w:hyperlink>
    </w:p>
    <w:bookmarkEnd w:id="57"/>
    <w:bookmarkStart w:id="64" w:name="X3165bfb67bf4518168a21cfeea6a112c07ef4b4"/>
    <w:p>
      <w:pPr>
        <w:pStyle w:val="Heading3"/>
      </w:pPr>
      <w:r>
        <w:t xml:space="preserve">Tier C: Weight-level fine-tuning on your dataset (episodic PFN training)</w:t>
      </w:r>
    </w:p>
    <w:p>
      <w:pPr>
        <w:pStyle w:val="FirstParagraph"/>
      </w:pPr>
      <w:r>
        <w:t xml:space="preserve">TabICLv2 does not provide an “official fine-tune on your dataset” recipe in the paper excerpt or repo README; the paper does mention fine-tuning as an adaptation category in related work.</w:t>
      </w:r>
      <w:r>
        <w:t xml:space="preserve"> </w:t>
      </w:r>
      <w:hyperlink r:id="rId21">
        <w:r>
          <w:rPr>
            <w:rStyle w:val="Hyperlink"/>
          </w:rPr>
          <w:t xml:space="preserve">[56]</w:t>
        </w:r>
      </w:hyperlink>
      <w:r>
        <w:br/>
      </w:r>
      <w:r>
        <w:t xml:space="preserve">So the following is a</w:t>
      </w:r>
      <w:r>
        <w:t xml:space="preserve"> </w:t>
      </w:r>
      <w:r>
        <w:rPr>
          <w:i/>
          <w:iCs/>
        </w:rPr>
        <w:t xml:space="preserve">best-practice translation</w:t>
      </w:r>
      <w:r>
        <w:t xml:space="preserve"> </w:t>
      </w:r>
      <w:r>
        <w:t xml:space="preserve">of PFN fine-tuning and continued-pretraining literature into a TabICLv2-compatible procedure.</w:t>
      </w:r>
    </w:p>
    <w:bookmarkStart w:id="58" w:name="X2d0e3cd5bd5217c7b9bc8b8ca39d38c5e122ff3"/>
    <w:p>
      <w:pPr>
        <w:pStyle w:val="Heading4"/>
      </w:pPr>
      <w:r>
        <w:t xml:space="preserve">Data formatting: from a single table to episodic tasks</w:t>
      </w:r>
    </w:p>
    <w:p>
      <w:pPr>
        <w:pStyle w:val="FirstParagraph"/>
      </w:pPr>
      <w:r>
        <w:t xml:space="preserve">Fine-tuning a PFN-style model generally works by repeatedly sampling</w:t>
      </w:r>
      <w:r>
        <w:t xml:space="preserve"> </w:t>
      </w:r>
      <w:r>
        <w:rPr>
          <w:b/>
          <w:bCs/>
        </w:rPr>
        <w:t xml:space="preserve">episodes</w:t>
      </w:r>
      <w:r>
        <w:t xml:space="preserve">:</w:t>
      </w:r>
    </w:p>
    <w:p>
      <w:pPr>
        <w:pStyle w:val="Compact"/>
        <w:numPr>
          <w:ilvl w:val="0"/>
          <w:numId w:val="1022"/>
        </w:numPr>
      </w:pPr>
      <w:r>
        <w:t xml:space="preserve">Pick a subset of rows as</w:t>
      </w:r>
      <w:r>
        <w:t xml:space="preserve"> </w:t>
      </w:r>
      <w:r>
        <w:rPr>
          <w:b/>
          <w:bCs/>
        </w:rPr>
        <w:t xml:space="preserve">context</w:t>
      </w:r>
      <w:r>
        <w:t xml:space="preserve"> </w:t>
      </w:r>
      <w:r>
        <w:t xml:space="preserve">(train) and a subset as</w:t>
      </w:r>
      <w:r>
        <w:t xml:space="preserve"> </w:t>
      </w:r>
      <w:r>
        <w:rPr>
          <w:b/>
          <w:bCs/>
        </w:rPr>
        <w:t xml:space="preserve">query</w:t>
      </w:r>
      <w:r>
        <w:t xml:space="preserve"> </w:t>
      </w:r>
      <w:r>
        <w:t xml:space="preserve">(test).</w:t>
      </w:r>
    </w:p>
    <w:p>
      <w:pPr>
        <w:pStyle w:val="Compact"/>
        <w:numPr>
          <w:ilvl w:val="0"/>
          <w:numId w:val="1022"/>
        </w:numPr>
      </w:pPr>
      <w:r>
        <w:t xml:space="preserve">Feed</w:t>
      </w:r>
      <w:r>
        <w:t xml:space="preserve"> </w:t>
      </w:r>
      <w:r>
        <w:rPr>
          <w:rStyle w:val="VerbatimChar"/>
        </w:rPr>
        <w:t xml:space="preserve">(X_context, y_context, X_query)</w:t>
      </w:r>
      <w:r>
        <w:t xml:space="preserve"> </w:t>
      </w:r>
      <w:r>
        <w:t xml:space="preserve">through the model.</w:t>
      </w:r>
    </w:p>
    <w:p>
      <w:pPr>
        <w:pStyle w:val="Compact"/>
        <w:numPr>
          <w:ilvl w:val="0"/>
          <w:numId w:val="1022"/>
        </w:numPr>
      </w:pPr>
      <w:r>
        <w:t xml:space="preserve">Compute loss on predicted</w:t>
      </w:r>
      <w:r>
        <w:t xml:space="preserve"> </w:t>
      </w:r>
      <w:r>
        <w:rPr>
          <w:rStyle w:val="VerbatimChar"/>
        </w:rPr>
        <w:t xml:space="preserve">y_query</w:t>
      </w:r>
      <w:r>
        <w:t xml:space="preserve">.</w:t>
      </w:r>
    </w:p>
    <w:p>
      <w:pPr>
        <w:pStyle w:val="Compact"/>
        <w:numPr>
          <w:ilvl w:val="0"/>
          <w:numId w:val="1022"/>
        </w:numPr>
      </w:pPr>
      <w:r>
        <w:t xml:space="preserve">Update parameters with gradient descent.</w:t>
      </w:r>
    </w:p>
    <w:p>
      <w:pPr>
        <w:pStyle w:val="FirstParagraph"/>
      </w:pPr>
      <w:r>
        <w:t xml:space="preserve">This is conceptually consistent with the PFN paradigm and with continued- (pre)training approaches on real-world data (e.g., Real-TabPFN; TabDPT).</w:t>
      </w:r>
      <w:r>
        <w:t xml:space="preserve"> </w:t>
      </w:r>
      <w:hyperlink r:id="rId23">
        <w:r>
          <w:rPr>
            <w:rStyle w:val="Hyperlink"/>
          </w:rPr>
          <w:t xml:space="preserve">[57]</w:t>
        </w:r>
      </w:hyperlink>
    </w:p>
    <w:bookmarkEnd w:id="58"/>
    <w:bookmarkStart w:id="59" w:name="Xd0a502841b21a279cb31016e6da16bd3c7f9e53"/>
    <w:p>
      <w:pPr>
        <w:pStyle w:val="Heading4"/>
      </w:pPr>
      <w:r>
        <w:t xml:space="preserve">Augmentation ideas that match TabICLv2 inductive biases</w:t>
      </w:r>
    </w:p>
    <w:p>
      <w:pPr>
        <w:pStyle w:val="FirstParagraph"/>
      </w:pPr>
      <w:r>
        <w:t xml:space="preserve">TabICLv2 already uses shuffling/ensembling mechanisms and aims to break feature symmetries (repeated feature grouping + shuffles).</w:t>
      </w:r>
      <w:r>
        <w:t xml:space="preserve"> </w:t>
      </w:r>
      <w:hyperlink r:id="rId21">
        <w:r>
          <w:rPr>
            <w:rStyle w:val="Hyperlink"/>
          </w:rPr>
          <w:t xml:space="preserve">[58]</w:t>
        </w:r>
      </w:hyperlink>
      <w:r>
        <w:br/>
      </w:r>
      <w:r>
        <w:t xml:space="preserve">Augmentations commonly aligned with this family:</w:t>
      </w:r>
    </w:p>
    <w:p>
      <w:pPr>
        <w:pStyle w:val="Compact"/>
        <w:numPr>
          <w:ilvl w:val="0"/>
          <w:numId w:val="1023"/>
        </w:numPr>
      </w:pPr>
      <w:r>
        <w:rPr>
          <w:b/>
          <w:bCs/>
        </w:rPr>
        <w:t xml:space="preserve">Column permutations</w:t>
      </w:r>
      <w:r>
        <w:t xml:space="preserve"> </w:t>
      </w:r>
      <w:r>
        <w:t xml:space="preserve">(preserve target; simulate different feature orderings)</w:t>
      </w:r>
    </w:p>
    <w:p>
      <w:pPr>
        <w:pStyle w:val="Compact"/>
        <w:numPr>
          <w:ilvl w:val="0"/>
          <w:numId w:val="1023"/>
        </w:numPr>
      </w:pPr>
      <w:r>
        <w:rPr>
          <w:b/>
          <w:bCs/>
        </w:rPr>
        <w:t xml:space="preserve">Row subsampling</w:t>
      </w:r>
      <w:r>
        <w:t xml:space="preserve"> </w:t>
      </w:r>
      <w:r>
        <w:t xml:space="preserve">(vary context/query sizes)</w:t>
      </w:r>
    </w:p>
    <w:p>
      <w:pPr>
        <w:pStyle w:val="Compact"/>
        <w:numPr>
          <w:ilvl w:val="0"/>
          <w:numId w:val="1023"/>
        </w:numPr>
      </w:pPr>
      <w:r>
        <w:rPr>
          <w:b/>
          <w:bCs/>
        </w:rPr>
        <w:t xml:space="preserve">Noise injection / rescaling</w:t>
      </w:r>
      <w:r>
        <w:t xml:space="preserve"> </w:t>
      </w:r>
      <w:r>
        <w:t xml:space="preserve">for numeric columns</w:t>
      </w:r>
    </w:p>
    <w:p>
      <w:pPr>
        <w:pStyle w:val="Compact"/>
        <w:numPr>
          <w:ilvl w:val="0"/>
          <w:numId w:val="1023"/>
        </w:numPr>
      </w:pPr>
      <w:r>
        <w:rPr>
          <w:b/>
          <w:bCs/>
        </w:rPr>
        <w:t xml:space="preserve">Category remapping / grouping</w:t>
      </w:r>
      <w:r>
        <w:t xml:space="preserve"> </w:t>
      </w:r>
      <w:r>
        <w:t xml:space="preserve">for categorical columns</w:t>
      </w:r>
    </w:p>
    <w:p>
      <w:pPr>
        <w:pStyle w:val="Compact"/>
        <w:numPr>
          <w:ilvl w:val="0"/>
          <w:numId w:val="1023"/>
        </w:numPr>
      </w:pPr>
      <w:r>
        <w:rPr>
          <w:b/>
          <w:bCs/>
        </w:rPr>
        <w:t xml:space="preserve">Missingness simulation</w:t>
      </w:r>
      <w:r>
        <w:t xml:space="preserve"> </w:t>
      </w:r>
      <w:r>
        <w:t xml:space="preserve">(mask and impute patterns) aligned with the library’s missing-value handling</w:t>
      </w:r>
      <w:r>
        <w:t xml:space="preserve"> </w:t>
      </w:r>
      <w:hyperlink r:id="rId22">
        <w:r>
          <w:rPr>
            <w:rStyle w:val="Hyperlink"/>
          </w:rPr>
          <w:t xml:space="preserve">[59]</w:t>
        </w:r>
      </w:hyperlink>
    </w:p>
    <w:bookmarkEnd w:id="59"/>
    <w:bookmarkStart w:id="61" w:name="X8131b9e943636bba12cab6d85f7fafea9179121"/>
    <w:p>
      <w:pPr>
        <w:pStyle w:val="Heading4"/>
      </w:pPr>
      <w:r>
        <w:t xml:space="preserve">Hyperparameter suggestions (heuristic, because TabICLv2 fine-tuning is not fully specified)</w:t>
      </w:r>
    </w:p>
    <w:p>
      <w:pPr>
        <w:pStyle w:val="FirstParagraph"/>
      </w:pPr>
      <w:r>
        <w:t xml:space="preserve">Primary sources that motivate fine-tuning / continued pretraining behavior:</w:t>
      </w:r>
    </w:p>
    <w:p>
      <w:pPr>
        <w:pStyle w:val="Compact"/>
        <w:numPr>
          <w:ilvl w:val="0"/>
          <w:numId w:val="1024"/>
        </w:numPr>
      </w:pPr>
      <w:r>
        <w:rPr>
          <w:b/>
          <w:bCs/>
        </w:rPr>
        <w:t xml:space="preserve">Real-TabPFN</w:t>
      </w:r>
      <w:r>
        <w:t xml:space="preserve">: shows gains from continued pretraining on curated real datasets.</w:t>
      </w:r>
      <w:r>
        <w:t xml:space="preserve"> </w:t>
      </w:r>
      <w:hyperlink r:id="rId23">
        <w:r>
          <w:rPr>
            <w:rStyle w:val="Hyperlink"/>
          </w:rPr>
          <w:t xml:space="preserve">[60]</w:t>
        </w:r>
      </w:hyperlink>
    </w:p>
    <w:p>
      <w:pPr>
        <w:pStyle w:val="Compact"/>
        <w:numPr>
          <w:ilvl w:val="0"/>
          <w:numId w:val="1024"/>
        </w:numPr>
      </w:pPr>
      <w:r>
        <w:rPr>
          <w:b/>
          <w:bCs/>
        </w:rPr>
        <w:t xml:space="preserve">TabDPT</w:t>
      </w:r>
      <w:r>
        <w:t xml:space="preserve">: explores pretraining at scale on real tabular data.</w:t>
      </w:r>
      <w:r>
        <w:t xml:space="preserve"> </w:t>
      </w:r>
      <w:hyperlink r:id="rId60">
        <w:r>
          <w:rPr>
            <w:rStyle w:val="Hyperlink"/>
          </w:rPr>
          <w:t xml:space="preserve">[61]</w:t>
        </w:r>
      </w:hyperlink>
    </w:p>
    <w:p>
      <w:pPr>
        <w:pStyle w:val="Compact"/>
        <w:numPr>
          <w:ilvl w:val="0"/>
          <w:numId w:val="1024"/>
        </w:numPr>
      </w:pPr>
      <w:r>
        <w:rPr>
          <w:b/>
          <w:bCs/>
        </w:rPr>
        <w:t xml:space="preserve">TuneTables</w:t>
      </w:r>
      <w:r>
        <w:t xml:space="preserve">: parameter-efficient tuning for PFNs.</w:t>
      </w:r>
      <w:r>
        <w:t xml:space="preserve"> </w:t>
      </w:r>
      <w:hyperlink r:id="rId24">
        <w:r>
          <w:rPr>
            <w:rStyle w:val="Hyperlink"/>
          </w:rPr>
          <w:t xml:space="preserve">[62]</w:t>
        </w:r>
      </w:hyperlink>
    </w:p>
    <w:p>
      <w:pPr>
        <w:pStyle w:val="FirstParagraph"/>
      </w:pPr>
      <w:r>
        <w:t xml:space="preserve">Given these, practical starting ranges (rule-of-thumb, not from TabICLv2 paper):</w:t>
      </w:r>
    </w:p>
    <w:p>
      <w:pPr>
        <w:pStyle w:val="Compact"/>
        <w:numPr>
          <w:ilvl w:val="0"/>
          <w:numId w:val="1025"/>
        </w:numPr>
      </w:pPr>
      <w:r>
        <w:t xml:space="preserve">Optimizer: AdamW or Muon (Muon is used in TabICLv2 pretraining).</w:t>
      </w:r>
      <w:r>
        <w:t xml:space="preserve"> </w:t>
      </w:r>
      <w:hyperlink r:id="rId21">
        <w:r>
          <w:rPr>
            <w:rStyle w:val="Hyperlink"/>
          </w:rPr>
          <w:t xml:space="preserve">[34]</w:t>
        </w:r>
      </w:hyperlink>
    </w:p>
    <w:p>
      <w:pPr>
        <w:pStyle w:val="Compact"/>
        <w:numPr>
          <w:ilvl w:val="0"/>
          <w:numId w:val="1025"/>
        </w:numPr>
      </w:pPr>
      <w:r>
        <w:t xml:space="preserve">Learning rate: 1e-5 to 1e-4 for full-model fine-tuning; smaller (1e-6 to 5e-5) if you see rapid overfitting</w:t>
      </w:r>
    </w:p>
    <w:p>
      <w:pPr>
        <w:pStyle w:val="Compact"/>
        <w:numPr>
          <w:ilvl w:val="0"/>
          <w:numId w:val="1025"/>
        </w:numPr>
      </w:pPr>
      <w:r>
        <w:t xml:space="preserve">Steps: 1k–20k episodes depending on dataset size and validation behavior</w:t>
      </w:r>
    </w:p>
    <w:p>
      <w:pPr>
        <w:pStyle w:val="Compact"/>
        <w:numPr>
          <w:ilvl w:val="0"/>
          <w:numId w:val="1025"/>
        </w:numPr>
      </w:pPr>
      <w:r>
        <w:t xml:space="preserve">Early stopping: monitor episodic validation loss / downstream validation metric (AUC/logloss/RMSE)</w:t>
      </w:r>
    </w:p>
    <w:p>
      <w:pPr>
        <w:pStyle w:val="Compact"/>
        <w:numPr>
          <w:ilvl w:val="0"/>
          <w:numId w:val="1025"/>
        </w:numPr>
      </w:pPr>
      <w:r>
        <w:t xml:space="preserve">Regularization: weight decay (small), gradient clipping; TabICLv2 pretraining explicitly uses clipping and cautious weight decay, suggesting stabilizers matter.</w:t>
      </w:r>
      <w:r>
        <w:t xml:space="preserve"> </w:t>
      </w:r>
      <w:hyperlink r:id="rId21">
        <w:r>
          <w:rPr>
            <w:rStyle w:val="Hyperlink"/>
          </w:rPr>
          <w:t xml:space="preserve">[34]</w:t>
        </w:r>
      </w:hyperlink>
    </w:p>
    <w:bookmarkEnd w:id="61"/>
    <w:bookmarkStart w:id="62" w:name="pytorch-oriented-fine-tuning-skeleton"/>
    <w:p>
      <w:pPr>
        <w:pStyle w:val="Heading4"/>
      </w:pPr>
      <w:r>
        <w:t xml:space="preserve">PyTorch-oriented fine-tuning skeleton</w:t>
      </w:r>
    </w:p>
    <w:p>
      <w:pPr>
        <w:pStyle w:val="FirstParagraph"/>
      </w:pPr>
      <w:r>
        <w:t xml:space="preserve">The official TabICLv2 repo is “pip + sklearn interface” oriented, and pretraining code for v2 is not yet described as released in the README; therefore treat this code as a</w:t>
      </w:r>
      <w:r>
        <w:t xml:space="preserve"> </w:t>
      </w:r>
      <w:r>
        <w:rPr>
          <w:b/>
          <w:bCs/>
        </w:rPr>
        <w:t xml:space="preserve">template</w:t>
      </w:r>
      <w:r>
        <w:t xml:space="preserve"> </w:t>
      </w:r>
      <w:r>
        <w:t xml:space="preserve">you adapt to the internal</w:t>
      </w:r>
      <w:r>
        <w:t xml:space="preserve"> </w:t>
      </w:r>
      <w:r>
        <w:rPr>
          <w:rStyle w:val="VerbatimChar"/>
        </w:rPr>
        <w:t xml:space="preserve">tabicl</w:t>
      </w:r>
      <w:r>
        <w:t xml:space="preserve"> </w:t>
      </w:r>
      <w:r>
        <w:t xml:space="preserve">model object you can import.</w:t>
      </w:r>
      <w:r>
        <w:t xml:space="preserve"> </w:t>
      </w:r>
      <w:hyperlink r:id="rId22">
        <w:r>
          <w:rPr>
            <w:rStyle w:val="Hyperlink"/>
          </w:rPr>
          <w:t xml:space="preserve">[63]</w:t>
        </w:r>
      </w:hyperlink>
    </w:p>
    <w:p>
      <w:pPr>
        <w:pStyle w:val="SourceCode"/>
      </w:pPr>
      <w:r>
        <w:rPr>
          <w:rStyle w:val="VerbatimChar"/>
        </w:rPr>
        <w:t xml:space="preserve"># PSEUDOCODE / TEMPLATE: episodic fine-tuning for PFN-style tabular models</w:t>
      </w:r>
      <w:r>
        <w:br/>
      </w:r>
      <w:r>
        <w:br/>
      </w:r>
      <w:r>
        <w:rPr>
          <w:rStyle w:val="VerbatimChar"/>
        </w:rPr>
        <w:t xml:space="preserve">import torch</w:t>
      </w:r>
      <w:r>
        <w:br/>
      </w:r>
      <w:r>
        <w:rPr>
          <w:rStyle w:val="VerbatimChar"/>
        </w:rPr>
        <w:t xml:space="preserve">from torch.utils.data import Dataset, DataLoader</w:t>
      </w:r>
      <w:r>
        <w:br/>
      </w:r>
      <w:r>
        <w:br/>
      </w:r>
      <w:r>
        <w:rPr>
          <w:rStyle w:val="VerbatimChar"/>
        </w:rPr>
        <w:t xml:space="preserve">class EpisodicTabularDataset(Dataset):</w:t>
      </w:r>
      <w:r>
        <w:br/>
      </w:r>
      <w:r>
        <w:rPr>
          <w:rStyle w:val="VerbatimChar"/>
        </w:rPr>
        <w:t xml:space="preserve">    def __init__(self, X, y, n_context_range=(256, 2048), n_query=256, rng_seed=0):</w:t>
      </w:r>
      <w:r>
        <w:br/>
      </w:r>
      <w:r>
        <w:rPr>
          <w:rStyle w:val="VerbatimChar"/>
        </w:rPr>
        <w:t xml:space="preserve">        self.X = X</w:t>
      </w:r>
      <w:r>
        <w:br/>
      </w:r>
      <w:r>
        <w:rPr>
          <w:rStyle w:val="VerbatimChar"/>
        </w:rPr>
        <w:t xml:space="preserve">        self.y = y</w:t>
      </w:r>
      <w:r>
        <w:br/>
      </w:r>
      <w:r>
        <w:rPr>
          <w:rStyle w:val="VerbatimChar"/>
        </w:rPr>
        <w:t xml:space="preserve">        self.n_context_range = n_context_range</w:t>
      </w:r>
      <w:r>
        <w:br/>
      </w:r>
      <w:r>
        <w:rPr>
          <w:rStyle w:val="VerbatimChar"/>
        </w:rPr>
        <w:t xml:space="preserve">        self.n_query = n_query</w:t>
      </w:r>
      <w:r>
        <w:br/>
      </w:r>
      <w:r>
        <w:rPr>
          <w:rStyle w:val="VerbatimChar"/>
        </w:rPr>
        <w:t xml:space="preserve">        self.rng = torch.Generator().manual_seed(rng_seed)</w:t>
      </w:r>
      <w:r>
        <w:br/>
      </w:r>
      <w:r>
        <w:br/>
      </w:r>
      <w:r>
        <w:rPr>
          <w:rStyle w:val="VerbatimChar"/>
        </w:rPr>
        <w:t xml:space="preserve">    def __len__(self):</w:t>
      </w:r>
      <w:r>
        <w:br/>
      </w:r>
      <w:r>
        <w:rPr>
          <w:rStyle w:val="VerbatimChar"/>
        </w:rPr>
        <w:t xml:space="preserve">        # Define "infinite" episodes by looping; DataLoader can sample many steps</w:t>
      </w:r>
      <w:r>
        <w:br/>
      </w:r>
      <w:r>
        <w:rPr>
          <w:rStyle w:val="VerbatimChar"/>
        </w:rPr>
        <w:t xml:space="preserve">        return 10_000_000</w:t>
      </w:r>
      <w:r>
        <w:br/>
      </w:r>
      <w:r>
        <w:br/>
      </w:r>
      <w:r>
        <w:rPr>
          <w:rStyle w:val="VerbatimChar"/>
        </w:rPr>
        <w:t xml:space="preserve">    def __getitem__(self, idx):</w:t>
      </w:r>
      <w:r>
        <w:br/>
      </w:r>
      <w:r>
        <w:rPr>
          <w:rStyle w:val="VerbatimChar"/>
        </w:rPr>
        <w:t xml:space="preserve">        n = self.X.shape[0]</w:t>
      </w:r>
      <w:r>
        <w:br/>
      </w:r>
      <w:r>
        <w:rPr>
          <w:rStyle w:val="VerbatimChar"/>
        </w:rPr>
        <w:t xml:space="preserve">        # Sample context/query sizes</w:t>
      </w:r>
      <w:r>
        <w:br/>
      </w:r>
      <w:r>
        <w:rPr>
          <w:rStyle w:val="VerbatimChar"/>
        </w:rPr>
        <w:t xml:space="preserve">        n_context = int(torch.randint(</w:t>
      </w:r>
      <w:r>
        <w:br/>
      </w:r>
      <w:r>
        <w:rPr>
          <w:rStyle w:val="VerbatimChar"/>
        </w:rPr>
        <w:t xml:space="preserve">            low=self.n_context_range[0],</w:t>
      </w:r>
      <w:r>
        <w:br/>
      </w:r>
      <w:r>
        <w:rPr>
          <w:rStyle w:val="VerbatimChar"/>
        </w:rPr>
        <w:t xml:space="preserve">            high=self.n_context_range[1] + 1,</w:t>
      </w:r>
      <w:r>
        <w:br/>
      </w:r>
      <w:r>
        <w:rPr>
          <w:rStyle w:val="VerbatimChar"/>
        </w:rPr>
        <w:t xml:space="preserve">            size=(1,),</w:t>
      </w:r>
      <w:r>
        <w:br/>
      </w:r>
      <w:r>
        <w:rPr>
          <w:rStyle w:val="VerbatimChar"/>
        </w:rPr>
        <w:t xml:space="preserve">            generator=self.rng</w:t>
      </w:r>
      <w:r>
        <w:br/>
      </w:r>
      <w:r>
        <w:rPr>
          <w:rStyle w:val="VerbatimChar"/>
        </w:rPr>
        <w:t xml:space="preserve">        ).item())</w:t>
      </w:r>
      <w:r>
        <w:br/>
      </w:r>
      <w:r>
        <w:br/>
      </w:r>
      <w:r>
        <w:rPr>
          <w:rStyle w:val="VerbatimChar"/>
        </w:rPr>
        <w:t xml:space="preserve">        # Sample row indices without replacement</w:t>
      </w:r>
      <w:r>
        <w:br/>
      </w:r>
      <w:r>
        <w:rPr>
          <w:rStyle w:val="VerbatimChar"/>
        </w:rPr>
        <w:t xml:space="preserve">        perm = torch.randperm(n, generator=self.rng)</w:t>
      </w:r>
      <w:r>
        <w:br/>
      </w:r>
      <w:r>
        <w:rPr>
          <w:rStyle w:val="VerbatimChar"/>
        </w:rPr>
        <w:t xml:space="preserve">        ctx_idx = perm[:n_context]</w:t>
      </w:r>
      <w:r>
        <w:br/>
      </w:r>
      <w:r>
        <w:rPr>
          <w:rStyle w:val="VerbatimChar"/>
        </w:rPr>
        <w:t xml:space="preserve">        qry_idx = perm[n_context:n_context + self.n_query]</w:t>
      </w:r>
      <w:r>
        <w:br/>
      </w:r>
      <w:r>
        <w:br/>
      </w:r>
      <w:r>
        <w:rPr>
          <w:rStyle w:val="VerbatimChar"/>
        </w:rPr>
        <w:t xml:space="preserve">        Xc, yc = self.X[ctx_idx], self.y[ctx_idx]</w:t>
      </w:r>
      <w:r>
        <w:br/>
      </w:r>
      <w:r>
        <w:rPr>
          <w:rStyle w:val="VerbatimChar"/>
        </w:rPr>
        <w:t xml:space="preserve">        Xq, yq = self.X[qry_idx], self.y[qry_idx]</w:t>
      </w:r>
      <w:r>
        <w:br/>
      </w:r>
      <w:r>
        <w:rPr>
          <w:rStyle w:val="VerbatimChar"/>
        </w:rPr>
        <w:t xml:space="preserve">        return Xc, yc, Xq, yq</w:t>
      </w:r>
      <w:r>
        <w:br/>
      </w:r>
      <w:r>
        <w:br/>
      </w:r>
      <w:r>
        <w:rPr>
          <w:rStyle w:val="VerbatimChar"/>
        </w:rPr>
        <w:t xml:space="preserve">def collate_episodes(batch):</w:t>
      </w:r>
      <w:r>
        <w:br/>
      </w:r>
      <w:r>
        <w:rPr>
          <w:rStyle w:val="VerbatimChar"/>
        </w:rPr>
        <w:t xml:space="preserve">    # Variable-size contexts =&gt; keep as lists; your model must handle ragged batching</w:t>
      </w:r>
      <w:r>
        <w:br/>
      </w:r>
      <w:r>
        <w:rPr>
          <w:rStyle w:val="VerbatimChar"/>
        </w:rPr>
        <w:t xml:space="preserve">    Xc, yc, Xq, yq = zip(*batch)</w:t>
      </w:r>
      <w:r>
        <w:br/>
      </w:r>
      <w:r>
        <w:rPr>
          <w:rStyle w:val="VerbatimChar"/>
        </w:rPr>
        <w:t xml:space="preserve">    return list(Xc), list(yc), list(Xq), list(yq)</w:t>
      </w:r>
      <w:r>
        <w:br/>
      </w:r>
      <w:r>
        <w:br/>
      </w:r>
      <w:r>
        <w:rPr>
          <w:rStyle w:val="VerbatimChar"/>
        </w:rPr>
        <w:t xml:space="preserve"># model = ...  # load TabICLv2 backbone weights</w:t>
      </w:r>
      <w:r>
        <w:br/>
      </w:r>
      <w:r>
        <w:rPr>
          <w:rStyle w:val="VerbatimChar"/>
        </w:rPr>
        <w:t xml:space="preserve"># model.train()</w:t>
      </w:r>
      <w:r>
        <w:br/>
      </w:r>
      <w:r>
        <w:br/>
      </w:r>
      <w:r>
        <w:rPr>
          <w:rStyle w:val="VerbatimChar"/>
        </w:rPr>
        <w:t xml:space="preserve">optimizer = torch.optim.AdamW(model.parameters(), lr=3e-5, weight_decay=1e-2)</w:t>
      </w:r>
      <w:r>
        <w:br/>
      </w:r>
      <w:r>
        <w:rPr>
          <w:rStyle w:val="VerbatimChar"/>
        </w:rPr>
        <w:t xml:space="preserve">scaler = torch.cuda.amp.GradScaler(enabled=True)  # AMP if desired</w:t>
      </w:r>
      <w:r>
        <w:br/>
      </w:r>
      <w:r>
        <w:br/>
      </w:r>
      <w:r>
        <w:rPr>
          <w:rStyle w:val="VerbatimChar"/>
        </w:rPr>
        <w:t xml:space="preserve">loader = DataLoader(</w:t>
      </w:r>
      <w:r>
        <w:br/>
      </w:r>
      <w:r>
        <w:rPr>
          <w:rStyle w:val="VerbatimChar"/>
        </w:rPr>
        <w:t xml:space="preserve">    EpisodicTabularDataset(X_train_tensor, y_train_tensor),</w:t>
      </w:r>
      <w:r>
        <w:br/>
      </w:r>
      <w:r>
        <w:rPr>
          <w:rStyle w:val="VerbatimChar"/>
        </w:rPr>
        <w:t xml:space="preserve">    batch_size=4,</w:t>
      </w:r>
      <w:r>
        <w:br/>
      </w:r>
      <w:r>
        <w:rPr>
          <w:rStyle w:val="VerbatimChar"/>
        </w:rPr>
        <w:t xml:space="preserve">    num_workers=0,</w:t>
      </w:r>
      <w:r>
        <w:br/>
      </w:r>
      <w:r>
        <w:rPr>
          <w:rStyle w:val="VerbatimChar"/>
        </w:rPr>
        <w:t xml:space="preserve">    collate_fn=collate_episodes,</w:t>
      </w:r>
      <w:r>
        <w:br/>
      </w:r>
      <w:r>
        <w:rPr>
          <w:rStyle w:val="VerbatimChar"/>
        </w:rPr>
        <w:t xml:space="preserve">)</w:t>
      </w:r>
      <w:r>
        <w:br/>
      </w:r>
      <w:r>
        <w:br/>
      </w:r>
      <w:r>
        <w:rPr>
          <w:rStyle w:val="VerbatimChar"/>
        </w:rPr>
        <w:t xml:space="preserve">for step, (Xc_list, yc_list, Xq_list, yq_list) in enumerate(loader):</w:t>
      </w:r>
      <w:r>
        <w:br/>
      </w:r>
      <w:r>
        <w:rPr>
          <w:rStyle w:val="VerbatimChar"/>
        </w:rPr>
        <w:t xml:space="preserve">    optimizer.zero_grad(set_to_none=True)</w:t>
      </w:r>
      <w:r>
        <w:br/>
      </w:r>
      <w:r>
        <w:br/>
      </w:r>
      <w:r>
        <w:rPr>
          <w:rStyle w:val="VerbatimChar"/>
        </w:rPr>
        <w:t xml:space="preserve">    with torch.cuda.amp.autocast(enabled=True):</w:t>
      </w:r>
      <w:r>
        <w:br/>
      </w:r>
      <w:r>
        <w:rPr>
          <w:rStyle w:val="VerbatimChar"/>
        </w:rPr>
        <w:t xml:space="preserve">        # preds = model(Xc_list, yc_list, Xq_list)  # model-dependent</w:t>
      </w:r>
      <w:r>
        <w:br/>
      </w:r>
      <w:r>
        <w:rPr>
          <w:rStyle w:val="VerbatimChar"/>
        </w:rPr>
        <w:t xml:space="preserve">        # loss = task_loss(preds, yq_list)</w:t>
      </w:r>
      <w:r>
        <w:br/>
      </w:r>
      <w:r>
        <w:rPr>
          <w:rStyle w:val="VerbatimChar"/>
        </w:rPr>
        <w:t xml:space="preserve">        loss = ...</w:t>
      </w:r>
      <w:r>
        <w:br/>
      </w:r>
      <w:r>
        <w:br/>
      </w:r>
      <w:r>
        <w:rPr>
          <w:rStyle w:val="VerbatimChar"/>
        </w:rPr>
        <w:t xml:space="preserve">    scaler.scale(loss).backward()</w:t>
      </w:r>
      <w:r>
        <w:br/>
      </w:r>
      <w:r>
        <w:rPr>
          <w:rStyle w:val="VerbatimChar"/>
        </w:rPr>
        <w:t xml:space="preserve">    torch.nn.utils.clip_grad_norm_(model.parameters(), max_norm=1.0)</w:t>
      </w:r>
      <w:r>
        <w:br/>
      </w:r>
      <w:r>
        <w:rPr>
          <w:rStyle w:val="VerbatimChar"/>
        </w:rPr>
        <w:t xml:space="preserve">    scaler.step(optimizer)</w:t>
      </w:r>
      <w:r>
        <w:br/>
      </w:r>
      <w:r>
        <w:rPr>
          <w:rStyle w:val="VerbatimChar"/>
        </w:rPr>
        <w:t xml:space="preserve">    scaler.update()</w:t>
      </w:r>
      <w:r>
        <w:br/>
      </w:r>
      <w:r>
        <w:br/>
      </w:r>
      <w:r>
        <w:rPr>
          <w:rStyle w:val="VerbatimChar"/>
        </w:rPr>
        <w:t xml:space="preserve">    if step % 100 == 0:</w:t>
      </w:r>
      <w:r>
        <w:br/>
      </w:r>
      <w:r>
        <w:rPr>
          <w:rStyle w:val="VerbatimChar"/>
        </w:rPr>
        <w:t xml:space="preserve">        print(step, float(loss))</w:t>
      </w:r>
      <w:r>
        <w:br/>
      </w:r>
      <w:r>
        <w:rPr>
          <w:rStyle w:val="VerbatimChar"/>
        </w:rPr>
        <w:t xml:space="preserve">    if step == 5000:</w:t>
      </w:r>
      <w:r>
        <w:br/>
      </w:r>
      <w:r>
        <w:rPr>
          <w:rStyle w:val="VerbatimChar"/>
        </w:rPr>
        <w:t xml:space="preserve">        break</w:t>
      </w:r>
    </w:p>
    <w:p>
      <w:pPr>
        <w:pStyle w:val="FirstParagraph"/>
      </w:pPr>
      <w:r>
        <w:rPr>
          <w:b/>
          <w:bCs/>
        </w:rPr>
        <w:t xml:space="preserve">What to monitor (checkpoints):</w:t>
      </w:r>
    </w:p>
    <w:p>
      <w:pPr>
        <w:pStyle w:val="Compact"/>
        <w:numPr>
          <w:ilvl w:val="0"/>
          <w:numId w:val="1026"/>
        </w:numPr>
      </w:pPr>
      <w:r>
        <w:t xml:space="preserve">Episodic validation loss trend (should fall, then plateau)</w:t>
      </w:r>
    </w:p>
    <w:p>
      <w:pPr>
        <w:pStyle w:val="Compact"/>
        <w:numPr>
          <w:ilvl w:val="0"/>
          <w:numId w:val="1026"/>
        </w:numPr>
      </w:pPr>
      <w:r>
        <w:t xml:space="preserve">Downstream dataset validation metric aligned with your task (AUC/logloss/RMSE)</w:t>
      </w:r>
    </w:p>
    <w:p>
      <w:pPr>
        <w:pStyle w:val="Compact"/>
        <w:numPr>
          <w:ilvl w:val="0"/>
          <w:numId w:val="1026"/>
        </w:numPr>
      </w:pPr>
      <w:r>
        <w:t xml:space="preserve">Calibration and overconfidence (especially for classification where temperature controls exist)</w:t>
      </w:r>
      <w:r>
        <w:t xml:space="preserve"> </w:t>
      </w:r>
      <w:hyperlink r:id="rId22">
        <w:r>
          <w:rPr>
            <w:rStyle w:val="Hyperlink"/>
          </w:rPr>
          <w:t xml:space="preserve">[64]</w:t>
        </w:r>
      </w:hyperlink>
    </w:p>
    <w:bookmarkEnd w:id="62"/>
    <w:bookmarkStart w:id="63" w:name="X2677c5ee001306b9dc76a666cdf68f75f4868c9"/>
    <w:p>
      <w:pPr>
        <w:pStyle w:val="Heading4"/>
      </w:pPr>
      <w:r>
        <w:t xml:space="preserve">“Transformers/Trainer” style command examples</w:t>
      </w:r>
    </w:p>
    <w:p>
      <w:pPr>
        <w:pStyle w:val="FirstParagraph"/>
      </w:pPr>
      <w:r>
        <w:t xml:space="preserve">TabICLv2 is not a standard Hugging Face Transformers</w:t>
      </w:r>
      <w:r>
        <w:t xml:space="preserve"> </w:t>
      </w:r>
      <w:r>
        <w:rPr>
          <w:rStyle w:val="VerbatimChar"/>
        </w:rPr>
        <w:t xml:space="preserve">PreTrainedModel</w:t>
      </w:r>
      <w:r>
        <w:t xml:space="preserve"> </w:t>
      </w:r>
      <w:r>
        <w:t xml:space="preserve">in the repo README, so a</w:t>
      </w:r>
      <w:r>
        <w:t xml:space="preserve"> </w:t>
      </w:r>
      <w:r>
        <w:rPr>
          <w:rStyle w:val="VerbatimChar"/>
        </w:rPr>
        <w:t xml:space="preserve">transformers.Trainer</w:t>
      </w:r>
      <w:r>
        <w:t xml:space="preserve"> </w:t>
      </w:r>
      <w:r>
        <w:t xml:space="preserve">setup typically requires a wrapper. For a more standard execution interface, you can rely on distributed launchers used broadly in PyTorch ecosystems, such as:</w:t>
      </w:r>
    </w:p>
    <w:p>
      <w:pPr>
        <w:pStyle w:val="SourceCode"/>
      </w:pPr>
      <w:r>
        <w:rPr>
          <w:rStyle w:val="VerbatimChar"/>
        </w:rPr>
        <w:t xml:space="preserve"># Generic torch distributed launch</w:t>
      </w:r>
      <w:r>
        <w:br/>
      </w:r>
      <w:r>
        <w:rPr>
          <w:rStyle w:val="VerbatimChar"/>
        </w:rPr>
        <w:t xml:space="preserve">torchrun --standalone --nproc_per_node=8 finetune_tabiclv2.py --lr 3e-5 --steps 5000</w:t>
      </w:r>
    </w:p>
    <w:p>
      <w:pPr>
        <w:pStyle w:val="FirstParagraph"/>
      </w:pPr>
      <w:r>
        <w:t xml:space="preserve">The TabICL repo’s v1 training scripts demonstrate the project’s own convention of using</w:t>
      </w:r>
      <w:r>
        <w:t xml:space="preserve"> </w:t>
      </w:r>
      <w:r>
        <w:rPr>
          <w:rStyle w:val="VerbatimChar"/>
        </w:rPr>
        <w:t xml:space="preserve">torchrun</w:t>
      </w:r>
      <w:r>
        <w:t xml:space="preserve"> </w:t>
      </w:r>
      <w:r>
        <w:t xml:space="preserve">entrypoints for staged training, which you can mirror for fine-tuning jobs.</w:t>
      </w:r>
      <w:r>
        <w:t xml:space="preserve"> </w:t>
      </w:r>
      <w:hyperlink r:id="rId43">
        <w:r>
          <w:rPr>
            <w:rStyle w:val="Hyperlink"/>
          </w:rPr>
          <w:t xml:space="preserve">[65]</w:t>
        </w:r>
      </w:hyperlink>
    </w:p>
    <w:bookmarkEnd w:id="63"/>
    <w:bookmarkEnd w:id="64"/>
    <w:bookmarkEnd w:id="65"/>
    <w:bookmarkStart w:id="72" w:name="evaluation-and-baselines"/>
    <w:p>
      <w:pPr>
        <w:pStyle w:val="Heading2"/>
      </w:pPr>
      <w:r>
        <w:t xml:space="preserve">Evaluation and baselines</w:t>
      </w:r>
    </w:p>
    <w:bookmarkStart w:id="67" w:name="recommended-metrics"/>
    <w:p>
      <w:pPr>
        <w:pStyle w:val="Heading3"/>
      </w:pPr>
      <w:r>
        <w:t xml:space="preserve">Recommended metrics</w:t>
      </w:r>
    </w:p>
    <w:p>
      <w:pPr>
        <w:pStyle w:val="FirstParagraph"/>
      </w:pPr>
      <w:r>
        <w:t xml:space="preserve">If you want comparability with reported TabICLv2 results and common tabular benchmarks:</w:t>
      </w:r>
    </w:p>
    <w:p>
      <w:pPr>
        <w:pStyle w:val="Compact"/>
        <w:numPr>
          <w:ilvl w:val="0"/>
          <w:numId w:val="1027"/>
        </w:numPr>
      </w:pPr>
      <w:r>
        <w:rPr>
          <w:b/>
          <w:bCs/>
        </w:rPr>
        <w:t xml:space="preserve">Binary classification</w:t>
      </w:r>
      <w:r>
        <w:t xml:space="preserve">: ROC AUC (for ranking-based performance), plus log-loss for calibration-sensitive evaluation</w:t>
      </w:r>
    </w:p>
    <w:p>
      <w:pPr>
        <w:pStyle w:val="Compact"/>
        <w:numPr>
          <w:ilvl w:val="0"/>
          <w:numId w:val="1027"/>
        </w:numPr>
      </w:pPr>
      <w:r>
        <w:rPr>
          <w:b/>
          <w:bCs/>
        </w:rPr>
        <w:t xml:space="preserve">Multiclass classification</w:t>
      </w:r>
      <w:r>
        <w:t xml:space="preserve">: log-loss is commonly used for aggregation and ranking</w:t>
      </w:r>
    </w:p>
    <w:p>
      <w:pPr>
        <w:pStyle w:val="Compact"/>
        <w:numPr>
          <w:ilvl w:val="0"/>
          <w:numId w:val="1027"/>
        </w:numPr>
      </w:pPr>
      <w:r>
        <w:rPr>
          <w:b/>
          <w:bCs/>
        </w:rPr>
        <w:t xml:space="preserve">Regression</w:t>
      </w:r>
      <w:r>
        <w:t xml:space="preserve">: RMSE is a common headline metric in these benchmarks</w:t>
      </w:r>
    </w:p>
    <w:p>
      <w:pPr>
        <w:pStyle w:val="FirstParagraph"/>
      </w:pPr>
      <w:r>
        <w:t xml:space="preserve">TabICLv2 reports TabArena evaluation via ROC AUC (binary), log-loss (multiclass), and RMSE (regression) with repeated cross-validation.</w:t>
      </w:r>
      <w:r>
        <w:t xml:space="preserve"> </w:t>
      </w:r>
      <w:hyperlink r:id="rId21">
        <w:r>
          <w:rPr>
            <w:rStyle w:val="Hyperlink"/>
          </w:rPr>
          <w:t xml:space="preserve">[66]</w:t>
        </w:r>
      </w:hyperlink>
      <w:r>
        <w:br/>
      </w:r>
      <w:r>
        <w:t xml:space="preserve">TabArena also uses these metrics in its Elo computation (per its paper PDF excerpt).</w:t>
      </w:r>
      <w:r>
        <w:t xml:space="preserve"> </w:t>
      </w:r>
      <w:hyperlink r:id="rId66">
        <w:r>
          <w:rPr>
            <w:rStyle w:val="Hyperlink"/>
          </w:rPr>
          <w:t xml:space="preserve">[67]</w:t>
        </w:r>
      </w:hyperlink>
    </w:p>
    <w:bookmarkEnd w:id="67"/>
    <w:bookmarkStart w:id="68" w:name="X90cb9eff0cce46d1897f4fc8de5ed1c9721ca59"/>
    <w:p>
      <w:pPr>
        <w:pStyle w:val="Heading3"/>
      </w:pPr>
      <w:r>
        <w:t xml:space="preserve">Benchmark suites used in the TabICLv2 paper</w:t>
      </w:r>
    </w:p>
    <w:p>
      <w:pPr>
        <w:pStyle w:val="FirstParagraph"/>
      </w:pPr>
      <w:r>
        <w:rPr>
          <w:b/>
          <w:bCs/>
        </w:rPr>
        <w:t xml:space="preserve">TabArena</w:t>
      </w:r>
      <w:r>
        <w:t xml:space="preserve"> </w:t>
      </w:r>
      <w:r>
        <w:t xml:space="preserve">and</w:t>
      </w:r>
      <w:r>
        <w:t xml:space="preserve"> </w:t>
      </w:r>
      <w:r>
        <w:rPr>
          <w:b/>
          <w:bCs/>
        </w:rPr>
        <w:t xml:space="preserve">TALENT</w:t>
      </w:r>
      <w:r>
        <w:t xml:space="preserve"> </w:t>
      </w:r>
      <w:r>
        <w:t xml:space="preserve">are the primary benchmark suites used in the TabICLv2 evaluation section.</w:t>
      </w:r>
      <w:r>
        <w:t xml:space="preserve"> </w:t>
      </w:r>
      <w:hyperlink r:id="rId21">
        <w:r>
          <w:rPr>
            <w:rStyle w:val="Hyperlink"/>
          </w:rPr>
          <w:t xml:space="preserve">[68]</w:t>
        </w:r>
      </w:hyperlink>
    </w:p>
    <w:p>
      <w:pPr>
        <w:pStyle w:val="BodyText"/>
      </w:pPr>
      <w:r>
        <w:t xml:space="preserve">From TabICLv2’s description:</w:t>
      </w:r>
    </w:p>
    <w:p>
      <w:pPr>
        <w:pStyle w:val="Compact"/>
        <w:numPr>
          <w:ilvl w:val="0"/>
          <w:numId w:val="1028"/>
        </w:numPr>
      </w:pPr>
      <w:r>
        <w:t xml:space="preserve">TabArena: 51 datasets (38 classification ≤10 classes, 13 regression), repeated cross-validation; TabICLv2 uses ensembling and reports results with a fixed number of estimators to match baselines.</w:t>
      </w:r>
      <w:r>
        <w:t xml:space="preserve"> </w:t>
      </w:r>
      <w:hyperlink r:id="rId21">
        <w:r>
          <w:rPr>
            <w:rStyle w:val="Hyperlink"/>
          </w:rPr>
          <w:t xml:space="preserve">[66]</w:t>
        </w:r>
      </w:hyperlink>
    </w:p>
    <w:p>
      <w:pPr>
        <w:pStyle w:val="Compact"/>
        <w:numPr>
          <w:ilvl w:val="0"/>
          <w:numId w:val="1028"/>
        </w:numPr>
      </w:pPr>
      <w:r>
        <w:t xml:space="preserve">TALENT: 300 datasets with fixed splits (64/16/20), validation-based hyperparameter selection for baselines; TabICLv2 uses 32 estimators in TALENT comparisons.</w:t>
      </w:r>
      <w:r>
        <w:t xml:space="preserve"> </w:t>
      </w:r>
      <w:hyperlink r:id="rId21">
        <w:r>
          <w:rPr>
            <w:rStyle w:val="Hyperlink"/>
          </w:rPr>
          <w:t xml:space="preserve">[69]</w:t>
        </w:r>
      </w:hyperlink>
    </w:p>
    <w:p>
      <w:pPr>
        <w:pStyle w:val="FirstParagraph"/>
      </w:pPr>
      <w:r>
        <w:t xml:space="preserve">TabICLv2 emphasizes “improvability” as a primary aggregated measure (relative error gap to best method per dataset), and reports Pareto comparisons vs runtime.</w:t>
      </w:r>
      <w:r>
        <w:t xml:space="preserve"> </w:t>
      </w:r>
      <w:hyperlink r:id="rId21">
        <w:r>
          <w:rPr>
            <w:rStyle w:val="Hyperlink"/>
          </w:rPr>
          <w:t xml:space="preserve">[70]</w:t>
        </w:r>
      </w:hyperlink>
    </w:p>
    <w:bookmarkEnd w:id="68"/>
    <w:bookmarkStart w:id="69" w:name="X99e01b087380260ed39c7a0a9833df2158c2c6f"/>
    <w:p>
      <w:pPr>
        <w:pStyle w:val="Heading3"/>
      </w:pPr>
      <w:r>
        <w:t xml:space="preserve">Statistical significance and robustness checks</w:t>
      </w:r>
    </w:p>
    <w:p>
      <w:pPr>
        <w:pStyle w:val="FirstParagraph"/>
      </w:pPr>
      <w:r>
        <w:t xml:space="preserve">TabArena’s design explicitly uses</w:t>
      </w:r>
      <w:r>
        <w:t xml:space="preserve"> </w:t>
      </w:r>
      <w:r>
        <w:rPr>
          <w:b/>
          <w:bCs/>
        </w:rPr>
        <w:t xml:space="preserve">bootstrapping to obtain confidence intervals</w:t>
      </w:r>
      <w:r>
        <w:t xml:space="preserve"> </w:t>
      </w:r>
      <w:r>
        <w:t xml:space="preserve">for aggregated metrics like Elo (the PDF excerpt mentions 200 rounds of bootstrapping for 95% CIs).</w:t>
      </w:r>
      <w:r>
        <w:t xml:space="preserve"> </w:t>
      </w:r>
      <w:hyperlink r:id="rId66">
        <w:r>
          <w:rPr>
            <w:rStyle w:val="Hyperlink"/>
          </w:rPr>
          <w:t xml:space="preserve">[67]</w:t>
        </w:r>
      </w:hyperlink>
      <w:r>
        <w:br/>
      </w:r>
      <w:r>
        <w:t xml:space="preserve">TabICLv2’s synthetic prior filtering also uses a bootstrap test (ExtraTrees improvability vs constant baseline) as a data-quality filter.</w:t>
      </w:r>
      <w:r>
        <w:t xml:space="preserve"> </w:t>
      </w:r>
      <w:hyperlink r:id="rId21">
        <w:r>
          <w:rPr>
            <w:rStyle w:val="Hyperlink"/>
          </w:rPr>
          <w:t xml:space="preserve">[31]</w:t>
        </w:r>
      </w:hyperlink>
    </w:p>
    <w:p>
      <w:pPr>
        <w:pStyle w:val="BodyText"/>
      </w:pPr>
      <w:r>
        <w:t xml:space="preserve">For your own evaluation on a new dataset collection, a standard, rigorous approach consistent with these sources is:</w:t>
      </w:r>
    </w:p>
    <w:p>
      <w:pPr>
        <w:pStyle w:val="Compact"/>
        <w:numPr>
          <w:ilvl w:val="0"/>
          <w:numId w:val="1029"/>
        </w:numPr>
      </w:pPr>
      <w:r>
        <w:t xml:space="preserve">Use repeated CV or repeated train/val/test splits (depending on benchmark convention)</w:t>
      </w:r>
    </w:p>
    <w:p>
      <w:pPr>
        <w:pStyle w:val="Compact"/>
        <w:numPr>
          <w:ilvl w:val="0"/>
          <w:numId w:val="1029"/>
        </w:numPr>
      </w:pPr>
      <w:r>
        <w:t xml:space="preserve">Use paired bootstrap over datasets (or over CV folds) for confidence intervals</w:t>
      </w:r>
    </w:p>
    <w:p>
      <w:pPr>
        <w:pStyle w:val="Compact"/>
        <w:numPr>
          <w:ilvl w:val="0"/>
          <w:numId w:val="1029"/>
        </w:numPr>
      </w:pPr>
      <w:r>
        <w:t xml:space="preserve">Prefer paired tests across datasets (e.g., bootstrap of mean difference, Wilcoxon signed-rank) when comparing two methods across many datasets</w:t>
      </w:r>
    </w:p>
    <w:bookmarkEnd w:id="69"/>
    <w:bookmarkStart w:id="70" w:name="practical-baseline-expectations"/>
    <w:p>
      <w:pPr>
        <w:pStyle w:val="Heading3"/>
      </w:pPr>
      <w:r>
        <w:t xml:space="preserve">Practical baseline expectations</w:t>
      </w:r>
    </w:p>
    <w:p>
      <w:pPr>
        <w:pStyle w:val="FirstParagraph"/>
      </w:pPr>
      <w:r>
        <w:t xml:space="preserve">The TabICLv2 abstract claims that it surpasses</w:t>
      </w:r>
      <w:r>
        <w:t xml:space="preserve"> </w:t>
      </w:r>
      <w:r>
        <w:rPr>
          <w:b/>
          <w:bCs/>
        </w:rPr>
        <w:t xml:space="preserve">RealTabPFN-2.5</w:t>
      </w:r>
      <w:r>
        <w:t xml:space="preserve"> </w:t>
      </w:r>
      <w:r>
        <w:t xml:space="preserve">on TabArena and TALENT without tuning, and it reports substantial speed advantages vs TabPFN-2.5 for larger scales.</w:t>
      </w:r>
      <w:r>
        <w:t xml:space="preserve"> </w:t>
      </w:r>
      <w:hyperlink r:id="rId21">
        <w:r>
          <w:rPr>
            <w:rStyle w:val="Hyperlink"/>
          </w:rPr>
          <w:t xml:space="preserve">[71]</w:t>
        </w:r>
      </w:hyperlink>
      <w:r>
        <w:br/>
      </w:r>
      <w:r>
        <w:t xml:space="preserve">In the experiments section, TabICLv2 reports an H100 speedup of</w:t>
      </w:r>
      <w:r>
        <w:t xml:space="preserve"> </w:t>
      </w:r>
      <w:r>
        <w:rPr>
          <w:b/>
          <w:bCs/>
        </w:rPr>
        <w:t xml:space="preserve">10.6× at 50K samples</w:t>
      </w:r>
      <w:r>
        <w:t xml:space="preserve"> </w:t>
      </w:r>
      <w:r>
        <w:t xml:space="preserve">in a runtime comparison (with 100 features, classification, 500 test samples, 8 estimators).</w:t>
      </w:r>
      <w:r>
        <w:t xml:space="preserve"> </w:t>
      </w:r>
      <w:hyperlink r:id="rId21">
        <w:r>
          <w:rPr>
            <w:rStyle w:val="Hyperlink"/>
          </w:rPr>
          <w:t xml:space="preserve">[70]</w:t>
        </w:r>
      </w:hyperlink>
    </w:p>
    <w:p>
      <w:pPr>
        <w:pStyle w:val="BodyText"/>
      </w:pPr>
      <w:r>
        <w:t xml:space="preserve">For non-TFM baselines, the TabICLv2 paper and repo both treat gradient-boosted trees like CatBoost/XGBoost as key reference competitors, and claim TabICLv2 outperforms heavily tuned versions in the reported benchmark settings.</w:t>
      </w:r>
      <w:r>
        <w:t xml:space="preserve"> </w:t>
      </w:r>
      <w:hyperlink r:id="rId21">
        <w:r>
          <w:rPr>
            <w:rStyle w:val="Hyperlink"/>
          </w:rPr>
          <w:t xml:space="preserve">[72]</w:t>
        </w:r>
      </w:hyperlink>
    </w:p>
    <w:bookmarkEnd w:id="70"/>
    <w:bookmarkStart w:id="71" w:name="evaluation-script-fragments-minimal"/>
    <w:p>
      <w:pPr>
        <w:pStyle w:val="Heading3"/>
      </w:pPr>
      <w:r>
        <w:t xml:space="preserve">Evaluation script fragments (minimal)</w:t>
      </w:r>
    </w:p>
    <w:p>
      <w:pPr>
        <w:pStyle w:val="FirstParagraph"/>
      </w:pPr>
      <w:r>
        <w:t xml:space="preserve">A minimal evaluation loop (single dataset, fitted once, then predict) matches the scikit interface described in the repo:</w:t>
      </w:r>
    </w:p>
    <w:p>
      <w:pPr>
        <w:pStyle w:val="SourceCode"/>
      </w:pPr>
      <w:r>
        <w:rPr>
          <w:rStyle w:val="VerbatimChar"/>
        </w:rPr>
        <w:t xml:space="preserve">from tabicl import TabICLClassifier</w:t>
      </w:r>
      <w:r>
        <w:br/>
      </w:r>
      <w:r>
        <w:rPr>
          <w:rStyle w:val="VerbatimChar"/>
        </w:rPr>
        <w:t xml:space="preserve">from sklearn.metrics import roc_auc_score, log_loss</w:t>
      </w:r>
      <w:r>
        <w:br/>
      </w:r>
      <w:r>
        <w:br/>
      </w:r>
      <w:r>
        <w:rPr>
          <w:rStyle w:val="VerbatimChar"/>
        </w:rPr>
        <w:t xml:space="preserve">clf = TabICLClassifier(n_estimators=8, kv_cache=True)</w:t>
      </w:r>
      <w:r>
        <w:br/>
      </w:r>
      <w:r>
        <w:rPr>
          <w:rStyle w:val="VerbatimChar"/>
        </w:rPr>
        <w:t xml:space="preserve">clf.fit(X_train, y_train)</w:t>
      </w:r>
      <w:r>
        <w:br/>
      </w:r>
      <w:r>
        <w:rPr>
          <w:rStyle w:val="VerbatimChar"/>
        </w:rPr>
        <w:t xml:space="preserve">proba = clf.predict_proba(X_test)</w:t>
      </w:r>
      <w:r>
        <w:br/>
      </w:r>
      <w:r>
        <w:br/>
      </w:r>
      <w:r>
        <w:rPr>
          <w:rStyle w:val="VerbatimChar"/>
        </w:rPr>
        <w:t xml:space="preserve">print("logloss:", log_loss(y_test, proba))</w:t>
      </w:r>
      <w:r>
        <w:br/>
      </w:r>
      <w:r>
        <w:rPr>
          <w:rStyle w:val="VerbatimChar"/>
        </w:rPr>
        <w:t xml:space="preserve"># For binary problems (assuming proba[:, 1] exists):</w:t>
      </w:r>
      <w:r>
        <w:br/>
      </w:r>
      <w:r>
        <w:rPr>
          <w:rStyle w:val="VerbatimChar"/>
        </w:rPr>
        <w:t xml:space="preserve">print("auc:", roc_auc_score(y_test, proba[:, 1]))</w:t>
      </w:r>
    </w:p>
    <w:p>
      <w:pPr>
        <w:pStyle w:val="FirstParagraph"/>
      </w:pPr>
      <w:r>
        <w:t xml:space="preserve">This aligns with the “fit stores data; predict runs ICL; KV caching speeds repeat predicts” workflow.</w:t>
      </w:r>
      <w:r>
        <w:t xml:space="preserve"> </w:t>
      </w:r>
      <w:hyperlink r:id="rId22">
        <w:r>
          <w:rPr>
            <w:rStyle w:val="Hyperlink"/>
          </w:rPr>
          <w:t xml:space="preserve">[43]</w:t>
        </w:r>
      </w:hyperlink>
    </w:p>
    <w:bookmarkEnd w:id="71"/>
    <w:bookmarkEnd w:id="72"/>
    <w:bookmarkStart w:id="96" w:name="X8fb6051cfa3cd6eda6dd6c282c6e08a451d3b15"/>
    <w:p>
      <w:pPr>
        <w:pStyle w:val="Heading2"/>
      </w:pPr>
      <w:r>
        <w:t xml:space="preserve">License analysis and ecosystem comparison</w:t>
      </w:r>
    </w:p>
    <w:bookmarkStart w:id="74" w:name="X1ef981a62c01b6ae23485f60d1d6d0ee25f5f9f"/>
    <w:p>
      <w:pPr>
        <w:pStyle w:val="Heading3"/>
      </w:pPr>
      <w:r>
        <w:t xml:space="preserve">License of the official TabICL/TabICLv2 repository</w:t>
      </w:r>
    </w:p>
    <w:p>
      <w:pPr>
        <w:pStyle w:val="FirstParagraph"/>
      </w:pPr>
      <w:r>
        <w:t xml:space="preserve">The repo includes a</w:t>
      </w:r>
      <w:r>
        <w:t xml:space="preserve"> </w:t>
      </w:r>
      <w:r>
        <w:rPr>
          <w:rStyle w:val="VerbatimChar"/>
        </w:rPr>
        <w:t xml:space="preserve">LICENSE</w:t>
      </w:r>
      <w:r>
        <w:t xml:space="preserve"> </w:t>
      </w:r>
      <w:r>
        <w:t xml:space="preserve">file whose main license is</w:t>
      </w:r>
      <w:r>
        <w:t xml:space="preserve"> </w:t>
      </w:r>
      <w:r>
        <w:rPr>
          <w:b/>
          <w:bCs/>
        </w:rPr>
        <w:t xml:space="preserve">BSD 3-Clause License</w:t>
      </w:r>
      <w:r>
        <w:t xml:space="preserve"> </w:t>
      </w:r>
      <w:r>
        <w:t xml:space="preserve">(“Soda team @ Inria”, 2025).</w:t>
      </w:r>
      <w:r>
        <w:t xml:space="preserve"> </w:t>
      </w:r>
      <w:hyperlink r:id="rId73">
        <w:r>
          <w:rPr>
            <w:rStyle w:val="Hyperlink"/>
          </w:rPr>
          <w:t xml:space="preserve">[73]</w:t>
        </w:r>
      </w:hyperlink>
    </w:p>
    <w:p>
      <w:pPr>
        <w:pStyle w:val="BodyText"/>
      </w:pPr>
      <w:r>
        <w:rPr>
          <w:b/>
          <w:bCs/>
        </w:rPr>
        <w:t xml:space="preserve">BSD-3-Clause summary (practical reading, not legal advice):</w:t>
      </w:r>
    </w:p>
    <w:p>
      <w:pPr>
        <w:pStyle w:val="Compact"/>
        <w:numPr>
          <w:ilvl w:val="0"/>
          <w:numId w:val="1030"/>
        </w:numPr>
      </w:pPr>
      <w:r>
        <w:rPr>
          <w:b/>
          <w:bCs/>
        </w:rPr>
        <w:t xml:space="preserve">Commercial use</w:t>
      </w:r>
      <w:r>
        <w:t xml:space="preserve">: permitted (BSD licenses are permissive and allow use “with or without modification” in source/binary forms).</w:t>
      </w:r>
      <w:r>
        <w:t xml:space="preserve"> </w:t>
      </w:r>
      <w:hyperlink r:id="rId73">
        <w:r>
          <w:rPr>
            <w:rStyle w:val="Hyperlink"/>
          </w:rPr>
          <w:t xml:space="preserve">[73]</w:t>
        </w:r>
      </w:hyperlink>
    </w:p>
    <w:p>
      <w:pPr>
        <w:pStyle w:val="Compact"/>
        <w:numPr>
          <w:ilvl w:val="0"/>
          <w:numId w:val="1030"/>
        </w:numPr>
      </w:pPr>
      <w:r>
        <w:rPr>
          <w:b/>
          <w:bCs/>
        </w:rPr>
        <w:t xml:space="preserve">Attribution / notice requirements</w:t>
      </w:r>
      <w:r>
        <w:t xml:space="preserve">:</w:t>
      </w:r>
    </w:p>
    <w:p>
      <w:pPr>
        <w:pStyle w:val="Compact"/>
        <w:numPr>
          <w:ilvl w:val="0"/>
          <w:numId w:val="1030"/>
        </w:numPr>
      </w:pPr>
      <w:r>
        <w:t xml:space="preserve">Must retain copyright notice + license conditions in source</w:t>
      </w:r>
    </w:p>
    <w:p>
      <w:pPr>
        <w:pStyle w:val="Compact"/>
        <w:numPr>
          <w:ilvl w:val="0"/>
          <w:numId w:val="1030"/>
        </w:numPr>
      </w:pPr>
      <w:r>
        <w:t xml:space="preserve">Must reproduce them in binary distributions’ documentation/materials</w:t>
      </w:r>
    </w:p>
    <w:p>
      <w:pPr>
        <w:pStyle w:val="Compact"/>
        <w:numPr>
          <w:ilvl w:val="0"/>
          <w:numId w:val="1030"/>
        </w:numPr>
      </w:pPr>
      <w:r>
        <w:t xml:space="preserve">Cannot use the copyright holder/contributors’ names to endorse/promote derived products without permission</w:t>
      </w:r>
      <w:r>
        <w:t xml:space="preserve"> </w:t>
      </w:r>
      <w:hyperlink r:id="rId73">
        <w:r>
          <w:rPr>
            <w:rStyle w:val="Hyperlink"/>
          </w:rPr>
          <w:t xml:space="preserve">[73]</w:t>
        </w:r>
      </w:hyperlink>
    </w:p>
    <w:p>
      <w:pPr>
        <w:pStyle w:val="Compact"/>
        <w:numPr>
          <w:ilvl w:val="0"/>
          <w:numId w:val="1030"/>
        </w:numPr>
      </w:pPr>
      <w:r>
        <w:rPr>
          <w:b/>
          <w:bCs/>
        </w:rPr>
        <w:t xml:space="preserve">Patent grant</w:t>
      </w:r>
      <w:r>
        <w:t xml:space="preserve">: BSD-3-Clause does</w:t>
      </w:r>
      <w:r>
        <w:t xml:space="preserve"> </w:t>
      </w:r>
      <w:r>
        <w:rPr>
          <w:b/>
          <w:bCs/>
        </w:rPr>
        <w:t xml:space="preserve">not</w:t>
      </w:r>
      <w:r>
        <w:t xml:space="preserve"> </w:t>
      </w:r>
      <w:r>
        <w:t xml:space="preserve">include an explicit patent license grant (unlike Apache-2.0), so if patent risk matters, consult counsel. (This is a typical property of BSD-style licenses; the file excerpt itself is about redistribution conditions and disclaimers.)</w:t>
      </w:r>
      <w:r>
        <w:t xml:space="preserve"> </w:t>
      </w:r>
      <w:hyperlink r:id="rId73">
        <w:r>
          <w:rPr>
            <w:rStyle w:val="Hyperlink"/>
          </w:rPr>
          <w:t xml:space="preserve">[73]</w:t>
        </w:r>
      </w:hyperlink>
    </w:p>
    <w:bookmarkEnd w:id="74"/>
    <w:bookmarkStart w:id="75" w:name="X09c7bbf7ec2cf35eb63c48f4111b5fb89f2ab5d"/>
    <w:p>
      <w:pPr>
        <w:pStyle w:val="Heading3"/>
      </w:pPr>
      <w:r>
        <w:t xml:space="preserve">Mixed licensing inside the repository (forecasting code)</w:t>
      </w:r>
    </w:p>
    <w:p>
      <w:pPr>
        <w:pStyle w:val="FirstParagraph"/>
      </w:pPr>
      <w:r>
        <w:t xml:space="preserve">The license file also states that code in</w:t>
      </w:r>
      <w:r>
        <w:t xml:space="preserve"> </w:t>
      </w:r>
      <w:r>
        <w:rPr>
          <w:rStyle w:val="VerbatimChar"/>
        </w:rPr>
        <w:t xml:space="preserve">src/tabicl/forecast</w:t>
      </w:r>
      <w:r>
        <w:t xml:space="preserve"> </w:t>
      </w:r>
      <w:r>
        <w:t xml:space="preserve">is derived work from TabPFN-TS and is under the</w:t>
      </w:r>
      <w:r>
        <w:t xml:space="preserve"> </w:t>
      </w:r>
      <w:r>
        <w:rPr>
          <w:b/>
          <w:bCs/>
        </w:rPr>
        <w:t xml:space="preserve">Apache License 2.0</w:t>
      </w:r>
      <w:r>
        <w:t xml:space="preserve"> </w:t>
      </w:r>
      <w:r>
        <w:t xml:space="preserve">(the license text for Apache-2.0 is included).</w:t>
      </w:r>
      <w:r>
        <w:t xml:space="preserve"> </w:t>
      </w:r>
      <w:hyperlink r:id="rId73">
        <w:r>
          <w:rPr>
            <w:rStyle w:val="Hyperlink"/>
          </w:rPr>
          <w:t xml:space="preserve">[74]</w:t>
        </w:r>
      </w:hyperlink>
    </w:p>
    <w:p>
      <w:pPr>
        <w:pStyle w:val="BodyText"/>
      </w:pPr>
      <w:r>
        <w:t xml:space="preserve">Apache-2.0 headline implications:</w:t>
      </w:r>
    </w:p>
    <w:p>
      <w:pPr>
        <w:pStyle w:val="Compact"/>
        <w:numPr>
          <w:ilvl w:val="0"/>
          <w:numId w:val="1031"/>
        </w:numPr>
      </w:pPr>
      <w:r>
        <w:rPr>
          <w:b/>
          <w:bCs/>
        </w:rPr>
        <w:t xml:space="preserve">Commercial use</w:t>
      </w:r>
      <w:r>
        <w:t xml:space="preserve"> </w:t>
      </w:r>
      <w:r>
        <w:t xml:space="preserve">is permitted.</w:t>
      </w:r>
    </w:p>
    <w:p>
      <w:pPr>
        <w:pStyle w:val="Compact"/>
        <w:numPr>
          <w:ilvl w:val="0"/>
          <w:numId w:val="1031"/>
        </w:numPr>
      </w:pPr>
      <w:r>
        <w:t xml:space="preserve">Requires preserving license/notice; includes explicit patent license + patent termination provisions (as part of the Apache-2.0 terms).</w:t>
      </w:r>
      <w:r>
        <w:t xml:space="preserve"> </w:t>
      </w:r>
      <w:hyperlink r:id="rId73">
        <w:r>
          <w:rPr>
            <w:rStyle w:val="Hyperlink"/>
          </w:rPr>
          <w:t xml:space="preserve">[75]</w:t>
        </w:r>
      </w:hyperlink>
    </w:p>
    <w:bookmarkEnd w:id="75"/>
    <w:bookmarkStart w:id="76" w:name="license-for-hosted-model-weights"/>
    <w:p>
      <w:pPr>
        <w:pStyle w:val="Heading3"/>
      </w:pPr>
      <w:r>
        <w:t xml:space="preserve">License for hosted model weights</w:t>
      </w:r>
    </w:p>
    <w:p>
      <w:pPr>
        <w:pStyle w:val="FirstParagraph"/>
      </w:pPr>
      <w:r>
        <w:t xml:space="preserve">The Hugging Face model page for</w:t>
      </w:r>
      <w:r>
        <w:t xml:space="preserve"> </w:t>
      </w:r>
      <w:r>
        <w:rPr>
          <w:rStyle w:val="VerbatimChar"/>
        </w:rPr>
        <w:t xml:space="preserve">jingang/TabICL</w:t>
      </w:r>
      <w:r>
        <w:t xml:space="preserve"> </w:t>
      </w:r>
      <w:r>
        <w:t xml:space="preserve">lists</w:t>
      </w:r>
      <w:r>
        <w:t xml:space="preserve"> </w:t>
      </w:r>
      <w:r>
        <w:rPr>
          <w:b/>
          <w:bCs/>
        </w:rPr>
        <w:t xml:space="preserve">License: bsd-3-clause</w:t>
      </w:r>
      <w:r>
        <w:t xml:space="preserve"> </w:t>
      </w:r>
      <w:r>
        <w:t xml:space="preserve">and references both the TabICL and TabICLv2 arXiv papers.</w:t>
      </w:r>
      <w:r>
        <w:t xml:space="preserve"> </w:t>
      </w:r>
      <w:hyperlink r:id="rId27">
        <w:r>
          <w:rPr>
            <w:rStyle w:val="Hyperlink"/>
          </w:rPr>
          <w:t xml:space="preserve">[76]</w:t>
        </w:r>
      </w:hyperlink>
      <w:r>
        <w:br/>
      </w:r>
      <w:r>
        <w:t xml:space="preserve">This suggests that at least the published checkpoints on that page are intended to be used under BSD-3-Clause terms (again: confirm any additional files/NOTICES in the model repo if you redistribute).</w:t>
      </w:r>
      <w:r>
        <w:t xml:space="preserve"> </w:t>
      </w:r>
      <w:hyperlink r:id="rId27">
        <w:r>
          <w:rPr>
            <w:rStyle w:val="Hyperlink"/>
          </w:rPr>
          <w:t xml:space="preserve">[77]</w:t>
        </w:r>
      </w:hyperlink>
    </w:p>
    <w:bookmarkEnd w:id="76"/>
    <w:bookmarkStart w:id="79" w:name="ecosystem-map-what-exists-today"/>
    <w:p>
      <w:pPr>
        <w:pStyle w:val="Heading3"/>
      </w:pPr>
      <w:r>
        <w:t xml:space="preserve">Ecosystem map: what exists today</w:t>
      </w:r>
    </w:p>
    <w:p>
      <w:pPr>
        <w:pStyle w:val="Compact"/>
        <w:numPr>
          <w:ilvl w:val="0"/>
          <w:numId w:val="1032"/>
        </w:numPr>
      </w:pPr>
      <w:r>
        <w:t xml:space="preserve">Official</w:t>
      </w:r>
      <w:r>
        <w:t xml:space="preserve"> </w:t>
      </w:r>
      <w:r>
        <w:rPr>
          <w:rStyle w:val="VerbatimChar"/>
        </w:rPr>
        <w:t xml:space="preserve">tabicl</w:t>
      </w:r>
      <w:r>
        <w:t xml:space="preserve"> </w:t>
      </w:r>
      <w:r>
        <w:t xml:space="preserve">repo (inference + sklearn API + configuration + offloading).</w:t>
      </w:r>
      <w:r>
        <w:t xml:space="preserve"> </w:t>
      </w:r>
      <w:hyperlink r:id="rId22">
        <w:r>
          <w:rPr>
            <w:rStyle w:val="Hyperlink"/>
          </w:rPr>
          <w:t xml:space="preserve">[78]</w:t>
        </w:r>
      </w:hyperlink>
    </w:p>
    <w:p>
      <w:pPr>
        <w:pStyle w:val="Compact"/>
        <w:numPr>
          <w:ilvl w:val="0"/>
          <w:numId w:val="1032"/>
        </w:numPr>
      </w:pPr>
      <w:r>
        <w:t xml:space="preserve">A minimal educational implementation,</w:t>
      </w:r>
      <w:r>
        <w:t xml:space="preserve"> </w:t>
      </w:r>
      <w:r>
        <w:rPr>
          <w:rStyle w:val="VerbatimChar"/>
        </w:rPr>
        <w:t xml:space="preserve">soda-inria/nanotabicl</w:t>
      </w:r>
      <w:r>
        <w:t xml:space="preserve">, advertised as ~170 LOC and including “full model (including RoPE, QASSMax, etc.) with speed optimizations,” but without the full inference wrappers/offloading of the main repo.</w:t>
      </w:r>
      <w:r>
        <w:t xml:space="preserve"> </w:t>
      </w:r>
      <w:hyperlink r:id="rId77">
        <w:r>
          <w:rPr>
            <w:rStyle w:val="Hyperlink"/>
          </w:rPr>
          <w:t xml:space="preserve">[79]</w:t>
        </w:r>
      </w:hyperlink>
    </w:p>
    <w:p>
      <w:pPr>
        <w:pStyle w:val="Compact"/>
        <w:numPr>
          <w:ilvl w:val="0"/>
          <w:numId w:val="1032"/>
        </w:numPr>
      </w:pPr>
      <w:r>
        <w:t xml:space="preserve">Integration into AutoML tooling: AutoGluon documentation explicitly shows downloading TabICLv2 checkpoints from Hugging Face and using TabICL within its tabular predictor workflows.</w:t>
      </w:r>
      <w:r>
        <w:t xml:space="preserve"> </w:t>
      </w:r>
      <w:hyperlink r:id="rId78">
        <w:r>
          <w:rPr>
            <w:rStyle w:val="Hyperlink"/>
          </w:rPr>
          <w:t xml:space="preserve">[80]</w:t>
        </w:r>
      </w:hyperlink>
    </w:p>
    <w:bookmarkEnd w:id="79"/>
    <w:bookmarkStart w:id="93" w:name="competitors-and-adjacent-models"/>
    <w:p>
      <w:pPr>
        <w:pStyle w:val="Heading3"/>
      </w:pPr>
      <w:r>
        <w:t xml:space="preserve">Competitors and adjacent models</w:t>
      </w:r>
    </w:p>
    <w:p>
      <w:pPr>
        <w:pStyle w:val="FirstParagraph"/>
      </w:pPr>
      <w:r>
        <w:t xml:space="preserve">A key caveat: the term “table model” spans multiple problem families. TabICLv2 is aimed at</w:t>
      </w:r>
      <w:r>
        <w:t xml:space="preserve"> </w:t>
      </w:r>
      <w:r>
        <w:rPr>
          <w:b/>
          <w:bCs/>
        </w:rPr>
        <w:t xml:space="preserve">predictive ML on tabular arrays</w:t>
      </w:r>
      <w:r>
        <w:t xml:space="preserve"> </w:t>
      </w:r>
      <w:r>
        <w:t xml:space="preserve">(rows = instances). Models like TaBERT/TAPAS/TURL are aimed at</w:t>
      </w:r>
      <w:r>
        <w:t xml:space="preserve"> </w:t>
      </w:r>
      <w:r>
        <w:rPr>
          <w:b/>
          <w:bCs/>
        </w:rPr>
        <w:t xml:space="preserve">NL reasoning over relational tables</w:t>
      </w:r>
      <w:r>
        <w:t xml:space="preserve"> </w:t>
      </w:r>
      <w:r>
        <w:t xml:space="preserve">(tables + text), and “TableFormer” is often about</w:t>
      </w:r>
      <w:r>
        <w:t xml:space="preserve"> </w:t>
      </w:r>
      <w:r>
        <w:rPr>
          <w:b/>
          <w:bCs/>
        </w:rPr>
        <w:t xml:space="preserve">table structure recognition from images</w:t>
      </w:r>
      <w:r>
        <w:t xml:space="preserve">.</w:t>
      </w:r>
    </w:p>
    <w:bookmarkStart w:id="88" w:name="X73362bb2321b5804237d97224d7838a03edeab8"/>
    <w:p>
      <w:pPr>
        <w:pStyle w:val="Heading4"/>
      </w:pPr>
      <w:r>
        <w:t xml:space="preserve">Comparison table: tabular prediction foundation models (PFN-style / TFM)</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Primary source</w:t>
            </w:r>
          </w:p>
        </w:tc>
        <w:tc>
          <w:tcPr/>
          <w:p>
            <w:pPr>
              <w:pStyle w:val="Compact"/>
            </w:pPr>
            <w:r>
              <w:t xml:space="preserve">Pretraining data</w:t>
            </w:r>
          </w:p>
        </w:tc>
        <w:tc>
          <w:tcPr/>
          <w:p>
            <w:pPr>
              <w:pStyle w:val="Compact"/>
            </w:pPr>
            <w:r>
              <w:t xml:space="preserve">Output types</w:t>
            </w:r>
          </w:p>
        </w:tc>
        <w:tc>
          <w:tcPr/>
          <w:p>
            <w:pPr>
              <w:pStyle w:val="Compact"/>
            </w:pPr>
            <w:r>
              <w:t xml:space="preserve">Scaling strategy</w:t>
            </w:r>
          </w:p>
        </w:tc>
        <w:tc>
          <w:tcPr/>
          <w:p>
            <w:pPr>
              <w:pStyle w:val="Compact"/>
            </w:pPr>
            <w:r>
              <w:t xml:space="preserve">Strengths</w:t>
            </w:r>
          </w:p>
        </w:tc>
        <w:tc>
          <w:tcPr/>
          <w:p>
            <w:pPr>
              <w:pStyle w:val="Compact"/>
            </w:pPr>
            <w:r>
              <w:t xml:space="preserve">Weaknesses / caveats</w:t>
            </w:r>
          </w:p>
        </w:tc>
      </w:tr>
      <w:tr>
        <w:tc>
          <w:tcPr/>
          <w:p>
            <w:pPr>
              <w:pStyle w:val="Compact"/>
            </w:pPr>
            <w:r>
              <w:t xml:space="preserve">TabICLv2</w:t>
            </w:r>
          </w:p>
        </w:tc>
        <w:tc>
          <w:tcPr/>
          <w:p>
            <w:pPr>
              <w:pStyle w:val="Compact"/>
            </w:pPr>
            <w:hyperlink r:id="rId21">
              <w:r>
                <w:rPr>
                  <w:rStyle w:val="Hyperlink"/>
                </w:rPr>
                <w:t xml:space="preserve">[81]</w:t>
              </w:r>
            </w:hyperlink>
          </w:p>
        </w:tc>
        <w:tc>
          <w:tcPr/>
          <w:p>
            <w:pPr>
              <w:pStyle w:val="Compact"/>
            </w:pPr>
            <w:r>
              <w:t xml:space="preserve">Synthetic prior only</w:t>
            </w:r>
          </w:p>
        </w:tc>
        <w:tc>
          <w:tcPr/>
          <w:p>
            <w:pPr>
              <w:pStyle w:val="Compact"/>
            </w:pPr>
            <w:r>
              <w:t xml:space="preserve">Classification + regression (999 quantiles)</w:t>
            </w:r>
            <w:r>
              <w:t xml:space="preserve"> </w:t>
            </w:r>
            <w:hyperlink r:id="rId21">
              <w:r>
                <w:rPr>
                  <w:rStyle w:val="Hyperlink"/>
                </w:rPr>
                <w:t xml:space="preserve">[82]</w:t>
              </w:r>
            </w:hyperlink>
          </w:p>
        </w:tc>
        <w:tc>
          <w:tcPr/>
          <w:p>
            <w:pPr>
              <w:pStyle w:val="Compact"/>
            </w:pPr>
            <w:r>
              <w:t xml:space="preserve">QASSMax + selective QKV + CPU/disk offloading</w:t>
            </w:r>
            <w:r>
              <w:t xml:space="preserve"> </w:t>
            </w:r>
            <w:hyperlink r:id="rId21">
              <w:r>
                <w:rPr>
                  <w:rStyle w:val="Hyperlink"/>
                </w:rPr>
                <w:t xml:space="preserve">[83]</w:t>
              </w:r>
            </w:hyperlink>
          </w:p>
        </w:tc>
        <w:tc>
          <w:tcPr/>
          <w:p>
            <w:pPr>
              <w:pStyle w:val="Compact"/>
            </w:pPr>
            <w:r>
              <w:t xml:space="preserve">Strong benchmark results without tuning; designed for large contexts</w:t>
            </w:r>
            <w:r>
              <w:t xml:space="preserve"> </w:t>
            </w:r>
            <w:hyperlink r:id="rId21">
              <w:r>
                <w:rPr>
                  <w:rStyle w:val="Hyperlink"/>
                </w:rPr>
                <w:t xml:space="preserve">[70]</w:t>
              </w:r>
            </w:hyperlink>
          </w:p>
        </w:tc>
        <w:tc>
          <w:tcPr/>
          <w:p>
            <w:pPr>
              <w:pStyle w:val="Compact"/>
            </w:pPr>
            <w:r>
              <w:t xml:space="preserve">Pretraining code for v2 not yet described as released in repo README; fine-tuning recipe not turnkey</w:t>
            </w:r>
            <w:r>
              <w:t xml:space="preserve"> </w:t>
            </w:r>
            <w:hyperlink r:id="rId22">
              <w:r>
                <w:rPr>
                  <w:rStyle w:val="Hyperlink"/>
                </w:rPr>
                <w:t xml:space="preserve">[84]</w:t>
              </w:r>
            </w:hyperlink>
          </w:p>
        </w:tc>
      </w:tr>
      <w:tr>
        <w:tc>
          <w:tcPr/>
          <w:p>
            <w:pPr>
              <w:pStyle w:val="Compact"/>
            </w:pPr>
            <w:r>
              <w:t xml:space="preserve">TabICL (v1)</w:t>
            </w:r>
          </w:p>
        </w:tc>
        <w:tc>
          <w:tcPr/>
          <w:p>
            <w:pPr>
              <w:pStyle w:val="Compact"/>
            </w:pPr>
            <w:hyperlink r:id="rId80">
              <w:r>
                <w:rPr>
                  <w:rStyle w:val="Hyperlink"/>
                </w:rPr>
                <w:t xml:space="preserve">[85]</w:t>
              </w:r>
            </w:hyperlink>
          </w:p>
        </w:tc>
        <w:tc>
          <w:tcPr/>
          <w:p>
            <w:pPr>
              <w:pStyle w:val="Compact"/>
            </w:pPr>
            <w:r>
              <w:t xml:space="preserve">Synthetic prior only</w:t>
            </w:r>
          </w:p>
        </w:tc>
        <w:tc>
          <w:tcPr/>
          <w:p>
            <w:pPr>
              <w:pStyle w:val="Compact"/>
            </w:pPr>
            <w:r>
              <w:t xml:space="preserve">Classification (v1)</w:t>
            </w:r>
          </w:p>
        </w:tc>
        <w:tc>
          <w:tcPr/>
          <w:p>
            <w:pPr>
              <w:pStyle w:val="Compact"/>
            </w:pPr>
            <w:r>
              <w:t xml:space="preserve">“Compression then ICL” for speed</w:t>
            </w:r>
          </w:p>
        </w:tc>
        <w:tc>
          <w:tcPr/>
          <w:p>
            <w:pPr>
              <w:pStyle w:val="Compact"/>
            </w:pPr>
            <w:r>
              <w:t xml:space="preserve">Open pretraining scripts; scalable vs earlier TabPFN designs</w:t>
            </w:r>
            <w:r>
              <w:t xml:space="preserve"> </w:t>
            </w:r>
            <w:hyperlink r:id="rId22">
              <w:r>
                <w:rPr>
                  <w:rStyle w:val="Hyperlink"/>
                </w:rPr>
                <w:t xml:space="preserve">[86]</w:t>
              </w:r>
            </w:hyperlink>
          </w:p>
        </w:tc>
        <w:tc>
          <w:tcPr/>
          <w:p>
            <w:pPr>
              <w:pStyle w:val="Compact"/>
            </w:pPr>
            <w:r>
              <w:t xml:space="preserve">Earlier checkpoint; v2 supersedes in accuracy/features</w:t>
            </w:r>
            <w:r>
              <w:t xml:space="preserve"> </w:t>
            </w:r>
            <w:hyperlink r:id="rId22">
              <w:r>
                <w:rPr>
                  <w:rStyle w:val="Hyperlink"/>
                </w:rPr>
                <w:t xml:space="preserve">[87]</w:t>
              </w:r>
            </w:hyperlink>
          </w:p>
        </w:tc>
      </w:tr>
      <w:tr>
        <w:tc>
          <w:tcPr/>
          <w:p>
            <w:pPr>
              <w:pStyle w:val="Compact"/>
            </w:pPr>
            <w:r>
              <w:t xml:space="preserve">TabPFN</w:t>
            </w:r>
          </w:p>
        </w:tc>
        <w:tc>
          <w:tcPr/>
          <w:p>
            <w:pPr>
              <w:pStyle w:val="Compact"/>
            </w:pPr>
            <w:hyperlink r:id="rId81">
              <w:r>
                <w:rPr>
                  <w:rStyle w:val="Hyperlink"/>
                </w:rPr>
                <w:t xml:space="preserve">[88]</w:t>
              </w:r>
            </w:hyperlink>
          </w:p>
        </w:tc>
        <w:tc>
          <w:tcPr/>
          <w:p>
            <w:pPr>
              <w:pStyle w:val="Compact"/>
            </w:pPr>
            <w:r>
              <w:t xml:space="preserve">Synthetic (SCM-style)</w:t>
            </w:r>
          </w:p>
        </w:tc>
        <w:tc>
          <w:tcPr/>
          <w:p>
            <w:pPr>
              <w:pStyle w:val="Compact"/>
            </w:pPr>
            <w:r>
              <w:t xml:space="preserve">Primarily classification in early versions</w:t>
            </w:r>
          </w:p>
        </w:tc>
        <w:tc>
          <w:tcPr/>
          <w:p>
            <w:pPr>
              <w:pStyle w:val="Compact"/>
            </w:pPr>
            <w:r>
              <w:t xml:space="preserve">ICL over rows</w:t>
            </w:r>
          </w:p>
        </w:tc>
        <w:tc>
          <w:tcPr/>
          <w:p>
            <w:pPr>
              <w:pStyle w:val="Compact"/>
            </w:pPr>
            <w:r>
              <w:t xml:space="preserve">Landmark method; strong small-data performance</w:t>
            </w:r>
            <w:r>
              <w:t xml:space="preserve"> </w:t>
            </w:r>
            <w:hyperlink r:id="rId81">
              <w:r>
                <w:rPr>
                  <w:rStyle w:val="Hyperlink"/>
                </w:rPr>
                <w:t xml:space="preserve">[89]</w:t>
              </w:r>
            </w:hyperlink>
          </w:p>
        </w:tc>
        <w:tc>
          <w:tcPr/>
          <w:p>
            <w:pPr>
              <w:pStyle w:val="Compact"/>
            </w:pPr>
            <w:r>
              <w:t xml:space="preserve">Small-context limitations historically emphasized; scaling needs extra techniques (varies by version)</w:t>
            </w:r>
            <w:r>
              <w:t xml:space="preserve"> </w:t>
            </w:r>
            <w:hyperlink r:id="rId24">
              <w:r>
                <w:rPr>
                  <w:rStyle w:val="Hyperlink"/>
                </w:rPr>
                <w:t xml:space="preserve">[90]</w:t>
              </w:r>
            </w:hyperlink>
          </w:p>
        </w:tc>
      </w:tr>
      <w:tr>
        <w:tc>
          <w:tcPr/>
          <w:p>
            <w:pPr>
              <w:pStyle w:val="Compact"/>
            </w:pPr>
            <w:r>
              <w:t xml:space="preserve">TabPFN-2.5</w:t>
            </w:r>
          </w:p>
        </w:tc>
        <w:tc>
          <w:tcPr/>
          <w:p>
            <w:pPr>
              <w:pStyle w:val="Compact"/>
            </w:pPr>
            <w:hyperlink r:id="rId82">
              <w:r>
                <w:rPr>
                  <w:rStyle w:val="Hyperlink"/>
                </w:rPr>
                <w:t xml:space="preserve">[91]</w:t>
              </w:r>
            </w:hyperlink>
          </w:p>
        </w:tc>
        <w:tc>
          <w:tcPr/>
          <w:p>
            <w:pPr>
              <w:pStyle w:val="Compact"/>
            </w:pPr>
            <w:r>
              <w:t xml:space="preserve">Synthetic tasks</w:t>
            </w:r>
          </w:p>
        </w:tc>
        <w:tc>
          <w:tcPr/>
          <w:p>
            <w:pPr>
              <w:pStyle w:val="Compact"/>
            </w:pPr>
            <w:r>
              <w:t xml:space="preserve">Classification + regression</w:t>
            </w:r>
          </w:p>
        </w:tc>
        <w:tc>
          <w:tcPr/>
          <w:p>
            <w:pPr>
              <w:pStyle w:val="Compact"/>
            </w:pPr>
            <w:r>
              <w:t xml:space="preserve">Larger/deeper v2-family; distillation engine</w:t>
            </w:r>
          </w:p>
        </w:tc>
        <w:tc>
          <w:tcPr/>
          <w:p>
            <w:pPr>
              <w:pStyle w:val="Compact"/>
            </w:pPr>
            <w:r>
              <w:t xml:space="preserve">SOTA claims on TabArena in its report; distillation for deployment</w:t>
            </w:r>
            <w:r>
              <w:t xml:space="preserve"> </w:t>
            </w:r>
            <w:hyperlink r:id="rId82">
              <w:r>
                <w:rPr>
                  <w:rStyle w:val="Hyperlink"/>
                </w:rPr>
                <w:t xml:space="preserve">[92]</w:t>
              </w:r>
            </w:hyperlink>
          </w:p>
        </w:tc>
        <w:tc>
          <w:tcPr/>
          <w:p>
            <w:pPr>
              <w:pStyle w:val="Compact"/>
            </w:pPr>
            <w:r>
              <w:t xml:space="preserve">Some artifacts / training details not fully open in all variants; heavy model compared to smaller baselines (context-dependent).</w:t>
            </w:r>
            <w:r>
              <w:t xml:space="preserve"> </w:t>
            </w:r>
            <w:hyperlink r:id="rId21">
              <w:r>
                <w:rPr>
                  <w:rStyle w:val="Hyperlink"/>
                </w:rPr>
                <w:t xml:space="preserve">[93]</w:t>
              </w:r>
            </w:hyperlink>
          </w:p>
        </w:tc>
      </w:tr>
      <w:tr>
        <w:tc>
          <w:tcPr/>
          <w:p>
            <w:pPr>
              <w:pStyle w:val="Compact"/>
            </w:pPr>
            <w:r>
              <w:t xml:space="preserve">Real-TabPFN</w:t>
            </w:r>
          </w:p>
        </w:tc>
        <w:tc>
          <w:tcPr/>
          <w:p>
            <w:pPr>
              <w:pStyle w:val="Compact"/>
            </w:pPr>
            <w:hyperlink r:id="rId23">
              <w:r>
                <w:rPr>
                  <w:rStyle w:val="Hyperlink"/>
                </w:rPr>
                <w:t xml:space="preserve">[60]</w:t>
              </w:r>
            </w:hyperlink>
          </w:p>
        </w:tc>
        <w:tc>
          <w:tcPr/>
          <w:p>
            <w:pPr>
              <w:pStyle w:val="Compact"/>
            </w:pPr>
            <w:r>
              <w:t xml:space="preserve">Continued pretraining on curated real datasets</w:t>
            </w:r>
          </w:p>
        </w:tc>
        <w:tc>
          <w:tcPr/>
          <w:p>
            <w:pPr>
              <w:pStyle w:val="Compact"/>
            </w:pPr>
            <w:r>
              <w:t xml:space="preserve">Classification/regression (v2-family)</w:t>
            </w:r>
          </w:p>
        </w:tc>
        <w:tc>
          <w:tcPr/>
          <w:p>
            <w:pPr>
              <w:pStyle w:val="Compact"/>
            </w:pPr>
            <w:r>
              <w:t xml:space="preserve">“Continue pretrain” to shift prior</w:t>
            </w:r>
          </w:p>
        </w:tc>
        <w:tc>
          <w:tcPr/>
          <w:p>
            <w:pPr>
              <w:pStyle w:val="Compact"/>
            </w:pPr>
            <w:r>
              <w:t xml:space="preserve">Demonstrates gains from real-world continued pretraining</w:t>
            </w:r>
            <w:r>
              <w:t xml:space="preserve"> </w:t>
            </w:r>
            <w:hyperlink r:id="rId23">
              <w:r>
                <w:rPr>
                  <w:rStyle w:val="Hyperlink"/>
                </w:rPr>
                <w:t xml:space="preserve">[94]</w:t>
              </w:r>
            </w:hyperlink>
          </w:p>
        </w:tc>
        <w:tc>
          <w:tcPr/>
          <w:p>
            <w:pPr>
              <w:pStyle w:val="Compact"/>
            </w:pPr>
            <w:r>
              <w:t xml:space="preserve">Requires curated real corpora + training pipeline; not “training-free” to build</w:t>
            </w:r>
            <w:r>
              <w:t xml:space="preserve"> </w:t>
            </w:r>
            <w:hyperlink r:id="rId23">
              <w:r>
                <w:rPr>
                  <w:rStyle w:val="Hyperlink"/>
                </w:rPr>
                <w:t xml:space="preserve">[94]</w:t>
              </w:r>
            </w:hyperlink>
          </w:p>
        </w:tc>
      </w:tr>
      <w:tr>
        <w:tc>
          <w:tcPr/>
          <w:p>
            <w:pPr>
              <w:pStyle w:val="Compact"/>
            </w:pPr>
            <w:r>
              <w:t xml:space="preserve">TabDPT</w:t>
            </w:r>
          </w:p>
        </w:tc>
        <w:tc>
          <w:tcPr/>
          <w:p>
            <w:pPr>
              <w:pStyle w:val="Compact"/>
            </w:pPr>
            <w:hyperlink r:id="rId60">
              <w:r>
                <w:rPr>
                  <w:rStyle w:val="Hyperlink"/>
                </w:rPr>
                <w:t xml:space="preserve">[61]</w:t>
              </w:r>
            </w:hyperlink>
          </w:p>
        </w:tc>
        <w:tc>
          <w:tcPr/>
          <w:p>
            <w:pPr>
              <w:pStyle w:val="Compact"/>
            </w:pPr>
            <w:r>
              <w:t xml:space="preserve">Primarily real tabular data at scale</w:t>
            </w:r>
          </w:p>
        </w:tc>
        <w:tc>
          <w:tcPr/>
          <w:p>
            <w:pPr>
              <w:pStyle w:val="Compact"/>
            </w:pPr>
            <w:r>
              <w:t xml:space="preserve">Classification + regression</w:t>
            </w:r>
          </w:p>
        </w:tc>
        <w:tc>
          <w:tcPr/>
          <w:p>
            <w:pPr>
              <w:pStyle w:val="Compact"/>
            </w:pPr>
            <w:r>
              <w:t xml:space="preserve">Real-data scaling; retrieval + SSL ideas (per companion materials)</w:t>
            </w:r>
            <w:r>
              <w:t xml:space="preserve"> </w:t>
            </w:r>
            <w:hyperlink r:id="rId83">
              <w:r>
                <w:rPr>
                  <w:rStyle w:val="Hyperlink"/>
                </w:rPr>
                <w:t xml:space="preserve">[95]</w:t>
              </w:r>
            </w:hyperlink>
          </w:p>
        </w:tc>
        <w:tc>
          <w:tcPr/>
          <w:p>
            <w:pPr>
              <w:pStyle w:val="Compact"/>
            </w:pPr>
            <w:r>
              <w:t xml:space="preserve">Shows real-data pretraining competitiveness; open pipeline signals</w:t>
            </w:r>
            <w:r>
              <w:t xml:space="preserve"> </w:t>
            </w:r>
            <w:hyperlink r:id="rId60">
              <w:r>
                <w:rPr>
                  <w:rStyle w:val="Hyperlink"/>
                </w:rPr>
                <w:t xml:space="preserve">[96]</w:t>
              </w:r>
            </w:hyperlink>
          </w:p>
        </w:tc>
        <w:tc>
          <w:tcPr/>
          <w:p>
            <w:pPr>
              <w:pStyle w:val="Compact"/>
            </w:pPr>
            <w:r>
              <w:t xml:space="preserve">Different design goals vs pure PFN; operational complexity depends on implementation</w:t>
            </w:r>
            <w:r>
              <w:t xml:space="preserve"> </w:t>
            </w:r>
            <w:hyperlink r:id="rId60">
              <w:r>
                <w:rPr>
                  <w:rStyle w:val="Hyperlink"/>
                </w:rPr>
                <w:t xml:space="preserve">[96]</w:t>
              </w:r>
            </w:hyperlink>
          </w:p>
        </w:tc>
      </w:tr>
      <w:tr>
        <w:tc>
          <w:tcPr/>
          <w:p>
            <w:pPr>
              <w:pStyle w:val="Compact"/>
            </w:pPr>
            <w:r>
              <w:t xml:space="preserve">Mitra</w:t>
            </w:r>
          </w:p>
        </w:tc>
        <w:tc>
          <w:tcPr/>
          <w:p>
            <w:pPr>
              <w:pStyle w:val="Compact"/>
            </w:pPr>
            <w:hyperlink r:id="rId84">
              <w:r>
                <w:rPr>
                  <w:rStyle w:val="Hyperlink"/>
                </w:rPr>
                <w:t xml:space="preserve">[97]</w:t>
              </w:r>
            </w:hyperlink>
          </w:p>
        </w:tc>
        <w:tc>
          <w:tcPr/>
          <w:p>
            <w:pPr>
              <w:pStyle w:val="Compact"/>
            </w:pPr>
            <w:r>
              <w:t xml:space="preserve">Mixed synthetic priors</w:t>
            </w:r>
          </w:p>
        </w:tc>
        <w:tc>
          <w:tcPr/>
          <w:p>
            <w:pPr>
              <w:pStyle w:val="Compact"/>
            </w:pPr>
            <w:r>
              <w:t xml:space="preserve">Classification + regression</w:t>
            </w:r>
          </w:p>
        </w:tc>
        <w:tc>
          <w:tcPr/>
          <w:p>
            <w:pPr>
              <w:pStyle w:val="Compact"/>
            </w:pPr>
            <w:r>
              <w:t xml:space="preserve">Prior mixture design</w:t>
            </w:r>
          </w:p>
        </w:tc>
        <w:tc>
          <w:tcPr/>
          <w:p>
            <w:pPr>
              <w:pStyle w:val="Compact"/>
            </w:pPr>
            <w:r>
              <w:t xml:space="preserve">Focuses on prior design principles; strong benchmark claims</w:t>
            </w:r>
            <w:r>
              <w:t xml:space="preserve"> </w:t>
            </w:r>
            <w:hyperlink r:id="rId84">
              <w:r>
                <w:rPr>
                  <w:rStyle w:val="Hyperlink"/>
                </w:rPr>
                <w:t xml:space="preserve">[98]</w:t>
              </w:r>
            </w:hyperlink>
          </w:p>
        </w:tc>
        <w:tc>
          <w:tcPr/>
          <w:p>
            <w:pPr>
              <w:pStyle w:val="Compact"/>
            </w:pPr>
            <w:r>
              <w:t xml:space="preserve">Trade-offs depend on priors; may emphasize fine-tuning vs ICL performance in some tool docs</w:t>
            </w:r>
            <w:r>
              <w:t xml:space="preserve"> </w:t>
            </w:r>
            <w:hyperlink r:id="rId85">
              <w:r>
                <w:rPr>
                  <w:rStyle w:val="Hyperlink"/>
                </w:rPr>
                <w:t xml:space="preserve">[99]</w:t>
              </w:r>
            </w:hyperlink>
          </w:p>
        </w:tc>
      </w:tr>
      <w:tr>
        <w:tc>
          <w:tcPr/>
          <w:p>
            <w:pPr>
              <w:pStyle w:val="Compact"/>
            </w:pPr>
            <w:r>
              <w:t xml:space="preserve">LimiX</w:t>
            </w:r>
          </w:p>
        </w:tc>
        <w:tc>
          <w:tcPr/>
          <w:p>
            <w:pPr>
              <w:pStyle w:val="Compact"/>
            </w:pPr>
            <w:hyperlink r:id="rId25">
              <w:r>
                <w:rPr>
                  <w:rStyle w:val="Hyperlink"/>
                </w:rPr>
                <w:t xml:space="preserve">[100]</w:t>
              </w:r>
            </w:hyperlink>
          </w:p>
        </w:tc>
        <w:tc>
          <w:tcPr/>
          <w:p>
            <w:pPr>
              <w:pStyle w:val="Compact"/>
            </w:pPr>
            <w:r>
              <w:t xml:space="preserve">Structured-data pretraining (paper claims broad task scope)</w:t>
            </w:r>
          </w:p>
        </w:tc>
        <w:tc>
          <w:tcPr/>
          <w:p>
            <w:pPr>
              <w:pStyle w:val="Compact"/>
            </w:pPr>
            <w:r>
              <w:t xml:space="preserve">Multi-task (classification/regression/imputation/etc.)</w:t>
            </w:r>
          </w:p>
        </w:tc>
        <w:tc>
          <w:tcPr/>
          <w:p>
            <w:pPr>
              <w:pStyle w:val="Compact"/>
            </w:pPr>
            <w:r>
              <w:t xml:space="preserve">Unified model/inference recipes</w:t>
            </w:r>
          </w:p>
        </w:tc>
        <w:tc>
          <w:tcPr/>
          <w:p>
            <w:pPr>
              <w:pStyle w:val="Compact"/>
            </w:pPr>
            <w:r>
              <w:t xml:space="preserve">Broad task coverage; aims to avoid bespoke pipelines</w:t>
            </w:r>
            <w:r>
              <w:t xml:space="preserve"> </w:t>
            </w:r>
            <w:hyperlink r:id="rId25">
              <w:r>
                <w:rPr>
                  <w:rStyle w:val="Hyperlink"/>
                </w:rPr>
                <w:t xml:space="preserve">[100]</w:t>
              </w:r>
            </w:hyperlink>
          </w:p>
        </w:tc>
        <w:tc>
          <w:tcPr/>
          <w:p>
            <w:pPr>
              <w:pStyle w:val="Compact"/>
            </w:pPr>
            <w:r>
              <w:t xml:space="preserve">Different scope; details depend on released artifacts and training recipe</w:t>
            </w:r>
            <w:r>
              <w:t xml:space="preserve"> </w:t>
            </w:r>
            <w:hyperlink r:id="rId25">
              <w:r>
                <w:rPr>
                  <w:rStyle w:val="Hyperlink"/>
                </w:rPr>
                <w:t xml:space="preserve">[101]</w:t>
              </w:r>
            </w:hyperlink>
          </w:p>
        </w:tc>
      </w:tr>
      <w:tr>
        <w:tc>
          <w:tcPr/>
          <w:p>
            <w:pPr>
              <w:pStyle w:val="Compact"/>
            </w:pPr>
            <w:r>
              <w:t xml:space="preserve">Orion-MSP</w:t>
            </w:r>
          </w:p>
        </w:tc>
        <w:tc>
          <w:tcPr/>
          <w:p>
            <w:pPr>
              <w:pStyle w:val="Compact"/>
            </w:pPr>
            <w:hyperlink r:id="rId86">
              <w:r>
                <w:rPr>
                  <w:rStyle w:val="Hyperlink"/>
                </w:rPr>
                <w:t xml:space="preserve">[102]</w:t>
              </w:r>
            </w:hyperlink>
          </w:p>
        </w:tc>
        <w:tc>
          <w:tcPr/>
          <w:p>
            <w:pPr>
              <w:pStyle w:val="Compact"/>
            </w:pPr>
            <w:r>
              <w:t xml:space="preserve">TFM-style ICL training (per paper)</w:t>
            </w:r>
          </w:p>
        </w:tc>
        <w:tc>
          <w:tcPr/>
          <w:p>
            <w:pPr>
              <w:pStyle w:val="Compact"/>
            </w:pPr>
            <w:r>
              <w:t xml:space="preserve">Tabular ICL tasks</w:t>
            </w:r>
          </w:p>
        </w:tc>
        <w:tc>
          <w:tcPr/>
          <w:p>
            <w:pPr>
              <w:pStyle w:val="Compact"/>
            </w:pPr>
            <w:r>
              <w:t xml:space="preserve">Multi-scale sparse attention + Perceiver memory</w:t>
            </w:r>
          </w:p>
        </w:tc>
        <w:tc>
          <w:tcPr/>
          <w:p>
            <w:pPr>
              <w:pStyle w:val="Compact"/>
            </w:pPr>
            <w:r>
              <w:t xml:space="preserve">Addresses width scaling + multi-scale interactions</w:t>
            </w:r>
            <w:r>
              <w:t xml:space="preserve"> </w:t>
            </w:r>
            <w:hyperlink r:id="rId86">
              <w:r>
                <w:rPr>
                  <w:rStyle w:val="Hyperlink"/>
                </w:rPr>
                <w:t xml:space="preserve">[102]</w:t>
              </w:r>
            </w:hyperlink>
          </w:p>
        </w:tc>
        <w:tc>
          <w:tcPr/>
          <w:p>
            <w:pPr>
              <w:pStyle w:val="Compact"/>
            </w:pPr>
            <w:r>
              <w:t xml:space="preserve">Separate codebase; comparative results depend on benchmark alignment</w:t>
            </w:r>
            <w:r>
              <w:t xml:space="preserve"> </w:t>
            </w:r>
            <w:hyperlink r:id="rId86">
              <w:r>
                <w:rPr>
                  <w:rStyle w:val="Hyperlink"/>
                </w:rPr>
                <w:t xml:space="preserve">[103]</w:t>
              </w:r>
            </w:hyperlink>
          </w:p>
        </w:tc>
      </w:tr>
      <w:tr>
        <w:tc>
          <w:tcPr/>
          <w:p>
            <w:pPr>
              <w:pStyle w:val="Compact"/>
            </w:pPr>
            <w:r>
              <w:t xml:space="preserve">Chunked TabPFN</w:t>
            </w:r>
          </w:p>
        </w:tc>
        <w:tc>
          <w:tcPr/>
          <w:p>
            <w:pPr>
              <w:pStyle w:val="Compact"/>
            </w:pPr>
            <w:hyperlink r:id="rId87">
              <w:r>
                <w:rPr>
                  <w:rStyle w:val="Hyperlink"/>
                </w:rPr>
                <w:t xml:space="preserve">[104]</w:t>
              </w:r>
            </w:hyperlink>
          </w:p>
        </w:tc>
        <w:tc>
          <w:tcPr/>
          <w:p>
            <w:pPr>
              <w:pStyle w:val="Compact"/>
            </w:pPr>
            <w:r>
              <w:t xml:space="preserve">Builds on TabPFN framework</w:t>
            </w:r>
          </w:p>
        </w:tc>
        <w:tc>
          <w:tcPr/>
          <w:p>
            <w:pPr>
              <w:pStyle w:val="Compact"/>
            </w:pPr>
            <w:r>
              <w:t xml:space="preserve">Classification (focus)</w:t>
            </w:r>
          </w:p>
        </w:tc>
        <w:tc>
          <w:tcPr/>
          <w:p>
            <w:pPr>
              <w:pStyle w:val="Compact"/>
            </w:pPr>
            <w:r>
              <w:t xml:space="preserve">Tiled/block attention for long contexts</w:t>
            </w:r>
          </w:p>
        </w:tc>
        <w:tc>
          <w:tcPr/>
          <w:p>
            <w:pPr>
              <w:pStyle w:val="Compact"/>
            </w:pPr>
            <w:r>
              <w:t xml:space="preserve">Enables longer contexts “without preprocessing” per claim</w:t>
            </w:r>
            <w:r>
              <w:t xml:space="preserve"> </w:t>
            </w:r>
            <w:hyperlink r:id="rId87">
              <w:r>
                <w:rPr>
                  <w:rStyle w:val="Hyperlink"/>
                </w:rPr>
                <w:t xml:space="preserve">[105]</w:t>
              </w:r>
            </w:hyperlink>
          </w:p>
        </w:tc>
        <w:tc>
          <w:tcPr/>
          <w:p>
            <w:pPr>
              <w:pStyle w:val="Compact"/>
            </w:pPr>
            <w:r>
              <w:t xml:space="preserve">Specific to TabPFN framing; complexity/accuracy trade-offs vary</w:t>
            </w:r>
            <w:r>
              <w:t xml:space="preserve"> </w:t>
            </w:r>
            <w:hyperlink r:id="rId87">
              <w:r>
                <w:rPr>
                  <w:rStyle w:val="Hyperlink"/>
                </w:rPr>
                <w:t xml:space="preserve">[105]</w:t>
              </w:r>
            </w:hyperlink>
          </w:p>
        </w:tc>
      </w:tr>
      <w:tr>
        <w:tc>
          <w:tcPr/>
          <w:p>
            <w:pPr>
              <w:pStyle w:val="Compact"/>
            </w:pPr>
            <w:r>
              <w:t xml:space="preserve">Drift-Resilient TabPFN</w:t>
            </w:r>
          </w:p>
        </w:tc>
        <w:tc>
          <w:tcPr/>
          <w:p>
            <w:pPr>
              <w:pStyle w:val="Compact"/>
            </w:pPr>
            <w:hyperlink r:id="rId26">
              <w:r>
                <w:rPr>
                  <w:rStyle w:val="Hyperlink"/>
                </w:rPr>
                <w:t xml:space="preserve">[106]</w:t>
              </w:r>
            </w:hyperlink>
          </w:p>
        </w:tc>
        <w:tc>
          <w:tcPr/>
          <w:p>
            <w:pPr>
              <w:pStyle w:val="Compact"/>
            </w:pPr>
            <w:r>
              <w:t xml:space="preserve">Synthetic priors with temporal drift</w:t>
            </w:r>
          </w:p>
        </w:tc>
        <w:tc>
          <w:tcPr/>
          <w:p>
            <w:pPr>
              <w:pStyle w:val="Compact"/>
            </w:pPr>
            <w:r>
              <w:t xml:space="preserve">Drift-aware classification</w:t>
            </w:r>
          </w:p>
        </w:tc>
        <w:tc>
          <w:tcPr/>
          <w:p>
            <w:pPr>
              <w:pStyle w:val="Compact"/>
            </w:pPr>
            <w:r>
              <w:t xml:space="preserve">Time-varying SCM priors</w:t>
            </w:r>
          </w:p>
        </w:tc>
        <w:tc>
          <w:tcPr/>
          <w:p>
            <w:pPr>
              <w:pStyle w:val="Compact"/>
            </w:pPr>
            <w:r>
              <w:t xml:space="preserve">Targets temporal distribution shift explicitly</w:t>
            </w:r>
            <w:r>
              <w:t xml:space="preserve"> </w:t>
            </w:r>
            <w:hyperlink r:id="rId26">
              <w:r>
                <w:rPr>
                  <w:rStyle w:val="Hyperlink"/>
                </w:rPr>
                <w:t xml:space="preserve">[107]</w:t>
              </w:r>
            </w:hyperlink>
          </w:p>
        </w:tc>
        <w:tc>
          <w:tcPr/>
          <w:p>
            <w:pPr>
              <w:pStyle w:val="Compact"/>
            </w:pPr>
            <w:r>
              <w:t xml:space="preserve">Specialized to drift setting; not general IID-only benchmark target</w:t>
            </w:r>
            <w:r>
              <w:t xml:space="preserve"> </w:t>
            </w:r>
            <w:hyperlink r:id="rId26">
              <w:r>
                <w:rPr>
                  <w:rStyle w:val="Hyperlink"/>
                </w:rPr>
                <w:t xml:space="preserve">[107]</w:t>
              </w:r>
            </w:hyperlink>
          </w:p>
        </w:tc>
      </w:tr>
    </w:tbl>
    <w:bookmarkEnd w:id="88"/>
    <w:bookmarkStart w:id="92" w:name="X3c70567db65399ec8ae8d6143915b1491f8f02c"/>
    <w:p>
      <w:pPr>
        <w:pStyle w:val="Heading4"/>
      </w:pPr>
      <w:r>
        <w:t xml:space="preserve">Comparison table: table understanding / multimodal table models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Primary source</w:t>
            </w:r>
          </w:p>
        </w:tc>
        <w:tc>
          <w:tcPr/>
          <w:p>
            <w:pPr>
              <w:pStyle w:val="Compact"/>
            </w:pPr>
            <w:r>
              <w:t xml:space="preserve">Input modality</w:t>
            </w:r>
          </w:p>
        </w:tc>
        <w:tc>
          <w:tcPr/>
          <w:p>
            <w:pPr>
              <w:pStyle w:val="Compact"/>
            </w:pPr>
            <w:r>
              <w:t xml:space="preserve">Pretraining objective</w:t>
            </w:r>
          </w:p>
        </w:tc>
        <w:tc>
          <w:tcPr/>
          <w:p>
            <w:pPr>
              <w:pStyle w:val="Compact"/>
            </w:pPr>
            <w:r>
              <w:t xml:space="preserve">Typical downstream task</w:t>
            </w:r>
          </w:p>
        </w:tc>
        <w:tc>
          <w:tcPr/>
          <w:p>
            <w:pPr>
              <w:pStyle w:val="Compact"/>
            </w:pPr>
            <w:r>
              <w:t xml:space="preserve">Strengths</w:t>
            </w:r>
          </w:p>
        </w:tc>
        <w:tc>
          <w:tcPr/>
          <w:p>
            <w:pPr>
              <w:pStyle w:val="Compact"/>
            </w:pPr>
            <w:r>
              <w:t xml:space="preserve">Weaknesses / mismatch vs TabICLv2</w:t>
            </w:r>
          </w:p>
        </w:tc>
      </w:tr>
      <w:tr>
        <w:tc>
          <w:tcPr/>
          <w:p>
            <w:pPr>
              <w:pStyle w:val="Compact"/>
            </w:pPr>
            <w:r>
              <w:t xml:space="preserve">TaBERT</w:t>
            </w:r>
          </w:p>
        </w:tc>
        <w:tc>
          <w:tcPr/>
          <w:p>
            <w:pPr>
              <w:pStyle w:val="Compact"/>
            </w:pPr>
            <w:hyperlink r:id="rId89">
              <w:r>
                <w:rPr>
                  <w:rStyle w:val="Hyperlink"/>
                </w:rPr>
                <w:t xml:space="preserve">[108]</w:t>
              </w:r>
            </w:hyperlink>
          </w:p>
        </w:tc>
        <w:tc>
          <w:tcPr/>
          <w:p>
            <w:pPr>
              <w:pStyle w:val="Compact"/>
            </w:pPr>
            <w:r>
              <w:t xml:space="preserve">Text + tables</w:t>
            </w:r>
          </w:p>
        </w:tc>
        <w:tc>
          <w:tcPr/>
          <w:p>
            <w:pPr>
              <w:pStyle w:val="Compact"/>
            </w:pPr>
            <w:r>
              <w:t xml:space="preserve">Joint text-table representation learning on large table corpus</w:t>
            </w:r>
          </w:p>
        </w:tc>
        <w:tc>
          <w:tcPr/>
          <w:p>
            <w:pPr>
              <w:pStyle w:val="Compact"/>
            </w:pPr>
            <w:r>
              <w:t xml:space="preserve">Semantic parsing / text-to-SQL / table QA</w:t>
            </w:r>
          </w:p>
        </w:tc>
        <w:tc>
          <w:tcPr/>
          <w:p>
            <w:pPr>
              <w:pStyle w:val="Compact"/>
            </w:pPr>
            <w:r>
              <w:t xml:space="preserve">Strong for NLP over tables</w:t>
            </w:r>
          </w:p>
        </w:tc>
        <w:tc>
          <w:tcPr/>
          <w:p>
            <w:pPr>
              <w:pStyle w:val="Compact"/>
            </w:pPr>
            <w:r>
              <w:t xml:space="preserve">Not designed for supervised tabular prediction (rows-as-instances)</w:t>
            </w:r>
          </w:p>
        </w:tc>
      </w:tr>
      <w:tr>
        <w:tc>
          <w:tcPr/>
          <w:p>
            <w:pPr>
              <w:pStyle w:val="Compact"/>
            </w:pPr>
            <w:r>
              <w:t xml:space="preserve">TAPAS</w:t>
            </w:r>
          </w:p>
        </w:tc>
        <w:tc>
          <w:tcPr/>
          <w:p>
            <w:pPr>
              <w:pStyle w:val="Compact"/>
            </w:pPr>
            <w:hyperlink r:id="rId90">
              <w:r>
                <w:rPr>
                  <w:rStyle w:val="Hyperlink"/>
                </w:rPr>
                <w:t xml:space="preserve">[109]</w:t>
              </w:r>
            </w:hyperlink>
          </w:p>
        </w:tc>
        <w:tc>
          <w:tcPr/>
          <w:p>
            <w:pPr>
              <w:pStyle w:val="Compact"/>
            </w:pPr>
            <w:r>
              <w:t xml:space="preserve">Text + tables</w:t>
            </w:r>
          </w:p>
        </w:tc>
        <w:tc>
          <w:tcPr/>
          <w:p>
            <w:pPr>
              <w:pStyle w:val="Compact"/>
            </w:pPr>
            <w:r>
              <w:t xml:space="preserve">Table parsing via pretraining + weak supervision</w:t>
            </w:r>
          </w:p>
        </w:tc>
        <w:tc>
          <w:tcPr/>
          <w:p>
            <w:pPr>
              <w:pStyle w:val="Compact"/>
            </w:pPr>
            <w:r>
              <w:t xml:space="preserve">Question answering over tables</w:t>
            </w:r>
          </w:p>
        </w:tc>
        <w:tc>
          <w:tcPr/>
          <w:p>
            <w:pPr>
              <w:pStyle w:val="Compact"/>
            </w:pPr>
            <w:r>
              <w:t xml:space="preserve">End-to-end QA without logical forms</w:t>
            </w:r>
          </w:p>
        </w:tc>
        <w:tc>
          <w:tcPr/>
          <w:p>
            <w:pPr>
              <w:pStyle w:val="Compact"/>
            </w:pPr>
            <w:r>
              <w:t xml:space="preserve">Different problem: NL QA, not tabular predictive ML</w:t>
            </w:r>
          </w:p>
        </w:tc>
      </w:tr>
      <w:tr>
        <w:tc>
          <w:tcPr/>
          <w:p>
            <w:pPr>
              <w:pStyle w:val="Compact"/>
            </w:pPr>
            <w:r>
              <w:t xml:space="preserve">TURL</w:t>
            </w:r>
          </w:p>
        </w:tc>
        <w:tc>
          <w:tcPr/>
          <w:p>
            <w:pPr>
              <w:pStyle w:val="Compact"/>
            </w:pPr>
            <w:hyperlink r:id="rId91">
              <w:r>
                <w:rPr>
                  <w:rStyle w:val="Hyperlink"/>
                </w:rPr>
                <w:t xml:space="preserve">[110]</w:t>
              </w:r>
            </w:hyperlink>
          </w:p>
        </w:tc>
        <w:tc>
          <w:tcPr/>
          <w:p>
            <w:pPr>
              <w:pStyle w:val="Compact"/>
            </w:pPr>
            <w:r>
              <w:t xml:space="preserve">Relational web tables (entity-centric)</w:t>
            </w:r>
          </w:p>
        </w:tc>
        <w:tc>
          <w:tcPr/>
          <w:p>
            <w:pPr>
              <w:pStyle w:val="Compact"/>
            </w:pPr>
            <w:r>
              <w:t xml:space="preserve">Masked Entity Recovery + structure-aware transformer</w:t>
            </w:r>
          </w:p>
        </w:tc>
        <w:tc>
          <w:tcPr/>
          <w:p>
            <w:pPr>
              <w:pStyle w:val="Compact"/>
            </w:pPr>
            <w:r>
              <w:t xml:space="preserve">Table understanding tasks (augmentation, relation extraction, etc.)</w:t>
            </w:r>
          </w:p>
        </w:tc>
        <w:tc>
          <w:tcPr/>
          <w:p>
            <w:pPr>
              <w:pStyle w:val="Compact"/>
            </w:pPr>
            <w:r>
              <w:t xml:space="preserve">Strong table semantic representations</w:t>
            </w:r>
          </w:p>
        </w:tc>
        <w:tc>
          <w:tcPr/>
          <w:p>
            <w:pPr>
              <w:pStyle w:val="Compact"/>
            </w:pPr>
            <w:r>
              <w:t xml:space="preserve">Different outputs/tasks than predictive tabular classification/regression</w:t>
            </w:r>
          </w:p>
        </w:tc>
      </w:tr>
      <w:tr>
        <w:tc>
          <w:tcPr/>
          <w:p>
            <w:pPr>
              <w:pStyle w:val="Compact"/>
            </w:pPr>
            <w:r>
              <w:t xml:space="preserve">TableFormer (structure recognition)</w:t>
            </w:r>
          </w:p>
        </w:tc>
        <w:tc>
          <w:tcPr/>
          <w:p>
            <w:pPr>
              <w:pStyle w:val="Compact"/>
            </w:pPr>
            <w:hyperlink r:id="rId51">
              <w:r>
                <w:rPr>
                  <w:rStyle w:val="Hyperlink"/>
                </w:rPr>
                <w:t xml:space="preserve">[49]</w:t>
              </w:r>
            </w:hyperlink>
          </w:p>
        </w:tc>
        <w:tc>
          <w:tcPr/>
          <w:p>
            <w:pPr>
              <w:pStyle w:val="Compact"/>
            </w:pPr>
            <w:r>
              <w:t xml:space="preserve">Table images</w:t>
            </w:r>
          </w:p>
        </w:tc>
        <w:tc>
          <w:tcPr/>
          <w:p>
            <w:pPr>
              <w:pStyle w:val="Compact"/>
            </w:pPr>
            <w:r>
              <w:t xml:space="preserve">Predict structure + cell boxes (end-to-end)</w:t>
            </w:r>
          </w:p>
        </w:tc>
        <w:tc>
          <w:tcPr/>
          <w:p>
            <w:pPr>
              <w:pStyle w:val="Compact"/>
            </w:pPr>
            <w:r>
              <w:t xml:space="preserve">OCR/table extraction pipeline component</w:t>
            </w:r>
          </w:p>
        </w:tc>
        <w:tc>
          <w:tcPr/>
          <w:p>
            <w:pPr>
              <w:pStyle w:val="Compact"/>
            </w:pPr>
            <w:r>
              <w:t xml:space="preserve">Good for converting images → structured tables</w:t>
            </w:r>
          </w:p>
        </w:tc>
        <w:tc>
          <w:tcPr/>
          <w:p>
            <w:pPr>
              <w:pStyle w:val="Compact"/>
            </w:pPr>
            <w:r>
              <w:t xml:space="preserve">Complementary: use before TabICLv2, not a predictor on its own</w:t>
            </w:r>
          </w:p>
        </w:tc>
      </w:tr>
      <w:tr>
        <w:tc>
          <w:tcPr/>
          <w:p>
            <w:pPr>
              <w:pStyle w:val="Compact"/>
            </w:pPr>
            <w:r>
              <w:t xml:space="preserve">Table Transformer (PubTables-1M line)</w:t>
            </w:r>
          </w:p>
        </w:tc>
        <w:tc>
          <w:tcPr/>
          <w:p>
            <w:pPr>
              <w:pStyle w:val="Compact"/>
            </w:pPr>
            <w:hyperlink r:id="rId52">
              <w:r>
                <w:rPr>
                  <w:rStyle w:val="Hyperlink"/>
                </w:rPr>
                <w:t xml:space="preserve">[50]</w:t>
              </w:r>
            </w:hyperlink>
          </w:p>
        </w:tc>
        <w:tc>
          <w:tcPr/>
          <w:p>
            <w:pPr>
              <w:pStyle w:val="Compact"/>
            </w:pPr>
            <w:r>
              <w:t xml:space="preserve">Table images</w:t>
            </w:r>
          </w:p>
        </w:tc>
        <w:tc>
          <w:tcPr/>
          <w:p>
            <w:pPr>
              <w:pStyle w:val="Compact"/>
            </w:pPr>
            <w:r>
              <w:t xml:space="preserve">DETR-style detection + structure recognition</w:t>
            </w:r>
          </w:p>
        </w:tc>
        <w:tc>
          <w:tcPr/>
          <w:p>
            <w:pPr>
              <w:pStyle w:val="Compact"/>
            </w:pPr>
            <w:r>
              <w:t xml:space="preserve">Document table extraction</w:t>
            </w:r>
          </w:p>
        </w:tc>
        <w:tc>
          <w:tcPr/>
          <w:p>
            <w:pPr>
              <w:pStyle w:val="Compact"/>
            </w:pPr>
            <w:r>
              <w:t xml:space="preserve">Practical OCR/table parsing tooling</w:t>
            </w:r>
          </w:p>
        </w:tc>
        <w:tc>
          <w:tcPr/>
          <w:p>
            <w:pPr>
              <w:pStyle w:val="Compact"/>
            </w:pPr>
            <w:r>
              <w:t xml:space="preserve">Complementary pre-step, not a predictive TFM</w:t>
            </w:r>
          </w:p>
        </w:tc>
      </w:tr>
    </w:tbl>
    <w:bookmarkEnd w:id="92"/>
    <w:bookmarkEnd w:id="93"/>
    <w:bookmarkStart w:id="95" w:name="X2ffc0a19c84411124287695a5627a2fb2ea9cda"/>
    <w:p>
      <w:pPr>
        <w:pStyle w:val="Heading3"/>
      </w:pPr>
      <w:r>
        <w:t xml:space="preserve">Short checklist: applying TabICLv2 to a new dataset</w:t>
      </w:r>
    </w:p>
    <w:p>
      <w:pPr>
        <w:pStyle w:val="Compact"/>
        <w:numPr>
          <w:ilvl w:val="0"/>
          <w:numId w:val="1033"/>
        </w:numPr>
      </w:pPr>
      <w:r>
        <w:t xml:space="preserve">Confirm your task is</w:t>
      </w:r>
      <w:r>
        <w:t xml:space="preserve"> </w:t>
      </w:r>
      <w:r>
        <w:rPr>
          <w:b/>
          <w:bCs/>
        </w:rPr>
        <w:t xml:space="preserve">IID tabular prediction</w:t>
      </w:r>
      <w:r>
        <w:t xml:space="preserve"> </w:t>
      </w:r>
      <w:r>
        <w:t xml:space="preserve">(classification/regression), not NL table QA.</w:t>
      </w:r>
      <w:r>
        <w:t xml:space="preserve"> </w:t>
      </w:r>
      <w:hyperlink r:id="rId94">
        <w:r>
          <w:rPr>
            <w:rStyle w:val="Hyperlink"/>
          </w:rPr>
          <w:t xml:space="preserve">[111]</w:t>
        </w:r>
      </w:hyperlink>
    </w:p>
    <w:p>
      <w:pPr>
        <w:pStyle w:val="Compact"/>
        <w:numPr>
          <w:ilvl w:val="0"/>
          <w:numId w:val="1033"/>
        </w:numPr>
      </w:pPr>
      <w:r>
        <w:t xml:space="preserve">Prepare</w:t>
      </w:r>
      <w:r>
        <w:t xml:space="preserve"> </w:t>
      </w:r>
      <w:r>
        <w:rPr>
          <w:rStyle w:val="VerbatimChar"/>
        </w:rPr>
        <w:t xml:space="preserve">X</w:t>
      </w:r>
      <w:r>
        <w:t xml:space="preserve"> </w:t>
      </w:r>
      <w:r>
        <w:t xml:space="preserve">as a</w:t>
      </w:r>
      <w:r>
        <w:t xml:space="preserve"> </w:t>
      </w:r>
      <w:r>
        <w:rPr>
          <w:b/>
          <w:bCs/>
        </w:rPr>
        <w:t xml:space="preserve">pandas DataFrame</w:t>
      </w:r>
      <w:r>
        <w:t xml:space="preserve"> </w:t>
      </w:r>
      <w:r>
        <w:t xml:space="preserve">when possible (better type detection); keep the label</w:t>
      </w:r>
      <w:r>
        <w:t xml:space="preserve"> </w:t>
      </w:r>
      <w:r>
        <w:rPr>
          <w:rStyle w:val="VerbatimChar"/>
        </w:rPr>
        <w:t xml:space="preserve">y</w:t>
      </w:r>
      <w:r>
        <w:t xml:space="preserve"> </w:t>
      </w:r>
      <w:r>
        <w:t xml:space="preserve">separate.</w:t>
      </w:r>
      <w:r>
        <w:t xml:space="preserve"> </w:t>
      </w:r>
      <w:hyperlink r:id="rId22">
        <w:r>
          <w:rPr>
            <w:rStyle w:val="Hyperlink"/>
          </w:rPr>
          <w:t xml:space="preserve">[40]</w:t>
        </w:r>
      </w:hyperlink>
    </w:p>
    <w:p>
      <w:pPr>
        <w:pStyle w:val="Compact"/>
        <w:numPr>
          <w:ilvl w:val="0"/>
          <w:numId w:val="1033"/>
        </w:numPr>
      </w:pPr>
      <w:r>
        <w:t xml:space="preserve">Start with defaults (</w:t>
      </w:r>
      <w:r>
        <w:rPr>
          <w:rStyle w:val="VerbatimChar"/>
        </w:rPr>
        <w:t xml:space="preserve">TabICLClassifier()</w:t>
      </w:r>
      <w:r>
        <w:t xml:space="preserve"> </w:t>
      </w:r>
      <w:r>
        <w:t xml:space="preserve">/</w:t>
      </w:r>
      <w:r>
        <w:t xml:space="preserve"> </w:t>
      </w:r>
      <w:r>
        <w:rPr>
          <w:rStyle w:val="VerbatimChar"/>
        </w:rPr>
        <w:t xml:space="preserve">TabICLRegressor()</w:t>
      </w:r>
      <w:r>
        <w:t xml:space="preserve">) and measure baseline metrics.</w:t>
      </w:r>
      <w:r>
        <w:t xml:space="preserve"> </w:t>
      </w:r>
      <w:hyperlink r:id="rId22">
        <w:r>
          <w:rPr>
            <w:rStyle w:val="Hyperlink"/>
          </w:rPr>
          <w:t xml:space="preserve">[39]</w:t>
        </w:r>
      </w:hyperlink>
    </w:p>
    <w:p>
      <w:pPr>
        <w:pStyle w:val="Compact"/>
        <w:numPr>
          <w:ilvl w:val="0"/>
          <w:numId w:val="1033"/>
        </w:numPr>
      </w:pPr>
      <w:r>
        <w:t xml:space="preserve">If your data has mixed types (text/datetime), add a</w:t>
      </w:r>
      <w:r>
        <w:t xml:space="preserve"> </w:t>
      </w:r>
      <w:r>
        <w:rPr>
          <w:rStyle w:val="VerbatimChar"/>
        </w:rPr>
        <w:t xml:space="preserve">skrub.TableVectorizer</w:t>
      </w:r>
      <w:r>
        <w:t xml:space="preserve"> </w:t>
      </w:r>
      <w:r>
        <w:t xml:space="preserve">preprocessing pipeline.</w:t>
      </w:r>
      <w:r>
        <w:t xml:space="preserve"> </w:t>
      </w:r>
      <w:hyperlink r:id="rId22">
        <w:r>
          <w:rPr>
            <w:rStyle w:val="Hyperlink"/>
          </w:rPr>
          <w:t xml:space="preserve">[51]</w:t>
        </w:r>
      </w:hyperlink>
    </w:p>
    <w:p>
      <w:pPr>
        <w:pStyle w:val="Compact"/>
        <w:numPr>
          <w:ilvl w:val="0"/>
          <w:numId w:val="1033"/>
        </w:numPr>
      </w:pPr>
      <w:r>
        <w:t xml:space="preserve">Set</w:t>
      </w:r>
      <w:r>
        <w:t xml:space="preserve"> </w:t>
      </w:r>
      <w:r>
        <w:rPr>
          <w:rStyle w:val="VerbatimChar"/>
        </w:rPr>
        <w:t xml:space="preserve">n_estimators</w:t>
      </w:r>
      <w:r>
        <w:t xml:space="preserve"> </w:t>
      </w:r>
      <w:r>
        <w:t xml:space="preserve">based on your latency budget; increase for accuracy if needed.</w:t>
      </w:r>
      <w:r>
        <w:t xml:space="preserve"> </w:t>
      </w:r>
      <w:hyperlink r:id="rId22">
        <w:r>
          <w:rPr>
            <w:rStyle w:val="Hyperlink"/>
          </w:rPr>
          <w:t xml:space="preserve">[42]</w:t>
        </w:r>
      </w:hyperlink>
    </w:p>
    <w:p>
      <w:pPr>
        <w:pStyle w:val="Compact"/>
        <w:numPr>
          <w:ilvl w:val="0"/>
          <w:numId w:val="1033"/>
        </w:numPr>
      </w:pPr>
      <w:r>
        <w:t xml:space="preserve">If you call</w:t>
      </w:r>
      <w:r>
        <w:t xml:space="preserve"> </w:t>
      </w:r>
      <w:r>
        <w:rPr>
          <w:rStyle w:val="VerbatimChar"/>
        </w:rPr>
        <w:t xml:space="preserve">predict</w:t>
      </w:r>
      <w:r>
        <w:t xml:space="preserve"> </w:t>
      </w:r>
      <w:r>
        <w:t xml:space="preserve">repeatedly on the same training data, enable</w:t>
      </w:r>
      <w:r>
        <w:t xml:space="preserve"> </w:t>
      </w:r>
      <w:r>
        <w:rPr>
          <w:rStyle w:val="VerbatimChar"/>
        </w:rPr>
        <w:t xml:space="preserve">kv_cache=True</w:t>
      </w:r>
      <w:r>
        <w:t xml:space="preserve">.</w:t>
      </w:r>
      <w:r>
        <w:t xml:space="preserve"> </w:t>
      </w:r>
      <w:hyperlink r:id="rId22">
        <w:r>
          <w:rPr>
            <w:rStyle w:val="Hyperlink"/>
          </w:rPr>
          <w:t xml:space="preserve">[112]</w:t>
        </w:r>
      </w:hyperlink>
    </w:p>
    <w:p>
      <w:pPr>
        <w:pStyle w:val="Compact"/>
        <w:numPr>
          <w:ilvl w:val="0"/>
          <w:numId w:val="1033"/>
        </w:numPr>
      </w:pPr>
      <w:r>
        <w:t xml:space="preserve">For large datasets, enable GPU if available; use</w:t>
      </w:r>
      <w:r>
        <w:t xml:space="preserve"> </w:t>
      </w:r>
      <w:r>
        <w:rPr>
          <w:rStyle w:val="VerbatimChar"/>
        </w:rPr>
        <w:t xml:space="preserve">use_amp="auto"</w:t>
      </w:r>
      <w:r>
        <w:t xml:space="preserve"> </w:t>
      </w:r>
      <w:r>
        <w:t xml:space="preserve">and (on Hopper)</w:t>
      </w:r>
      <w:r>
        <w:t xml:space="preserve"> </w:t>
      </w:r>
      <w:r>
        <w:rPr>
          <w:rStyle w:val="VerbatimChar"/>
        </w:rPr>
        <w:t xml:space="preserve">use_fa3="auto"</w:t>
      </w:r>
      <w:r>
        <w:t xml:space="preserve"> </w:t>
      </w:r>
      <w:r>
        <w:t xml:space="preserve">to improve throughput.</w:t>
      </w:r>
      <w:r>
        <w:t xml:space="preserve"> </w:t>
      </w:r>
      <w:hyperlink r:id="rId22">
        <w:r>
          <w:rPr>
            <w:rStyle w:val="Hyperlink"/>
          </w:rPr>
          <w:t xml:space="preserve">[113]</w:t>
        </w:r>
      </w:hyperlink>
    </w:p>
    <w:p>
      <w:pPr>
        <w:pStyle w:val="Compact"/>
        <w:numPr>
          <w:ilvl w:val="0"/>
          <w:numId w:val="1033"/>
        </w:numPr>
      </w:pPr>
      <w:r>
        <w:t xml:space="preserve">If you hit memory limits, set</w:t>
      </w:r>
      <w:r>
        <w:t xml:space="preserve"> </w:t>
      </w:r>
      <w:r>
        <w:rPr>
          <w:rStyle w:val="VerbatimChar"/>
        </w:rPr>
        <w:t xml:space="preserve">offload_mode="auto"</w:t>
      </w:r>
      <w:r>
        <w:t xml:space="preserve"> </w:t>
      </w:r>
      <w:r>
        <w:t xml:space="preserve">and provide</w:t>
      </w:r>
      <w:r>
        <w:t xml:space="preserve"> </w:t>
      </w:r>
      <w:r>
        <w:rPr>
          <w:rStyle w:val="VerbatimChar"/>
        </w:rPr>
        <w:t xml:space="preserve">disk_offload_dir</w:t>
      </w:r>
      <w:r>
        <w:t xml:space="preserve"> </w:t>
      </w:r>
      <w:r>
        <w:t xml:space="preserve">(and ensure enough disk space).</w:t>
      </w:r>
      <w:r>
        <w:t xml:space="preserve"> </w:t>
      </w:r>
      <w:hyperlink r:id="rId22">
        <w:r>
          <w:rPr>
            <w:rStyle w:val="Hyperlink"/>
          </w:rPr>
          <w:t xml:space="preserve">[114]</w:t>
        </w:r>
      </w:hyperlink>
    </w:p>
    <w:p>
      <w:pPr>
        <w:pStyle w:val="Compact"/>
        <w:numPr>
          <w:ilvl w:val="0"/>
          <w:numId w:val="1033"/>
        </w:numPr>
      </w:pPr>
      <w:r>
        <w:t xml:space="preserve">Evaluate with metrics that match your objective (AUC/log-loss/RMSE), and compute uncertainty via bootstrapping if comparing models.</w:t>
      </w:r>
      <w:r>
        <w:t xml:space="preserve"> </w:t>
      </w:r>
      <w:hyperlink r:id="rId66">
        <w:r>
          <w:rPr>
            <w:rStyle w:val="Hyperlink"/>
          </w:rPr>
          <w:t xml:space="preserve">[115]</w:t>
        </w:r>
      </w:hyperlink>
    </w:p>
    <w:p>
      <w:pPr>
        <w:pStyle w:val="Compact"/>
        <w:numPr>
          <w:ilvl w:val="0"/>
          <w:numId w:val="1033"/>
        </w:numPr>
      </w:pPr>
      <w:r>
        <w:t xml:space="preserve">If baseline performance is insufficient, consider Tier B (context optimization) or Tier C (episodic fine-tuning), noting these are research-level integrations for TabICLv2 today.</w:t>
      </w:r>
      <w:r>
        <w:t xml:space="preserve"> </w:t>
      </w:r>
      <w:hyperlink r:id="rId24">
        <w:r>
          <w:rPr>
            <w:rStyle w:val="Hyperlink"/>
          </w:rPr>
          <w:t xml:space="preserve">[116]</w:t>
        </w:r>
      </w:hyperlink>
    </w:p>
    <w:bookmarkEnd w:id="95"/>
    <w:bookmarkEnd w:id="96"/>
    <w:bookmarkEnd w:id="97"/>
    <w:bookmarkEnd w:id="98"/>
    <w:p>
      <w:r>
        <w:pict>
          <v:rect style="width:0;height:1.5pt" o:hralign="center" o:hrstd="t" o:hr="t"/>
        </w:pict>
      </w:r>
    </w:p>
    <w:bookmarkStart w:id="99"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[15]</w:t>
        </w:r>
      </w:hyperlink>
      <w:r>
        <w:t xml:space="preserve"> </w:t>
      </w:r>
      <w:hyperlink r:id="rId21">
        <w:r>
          <w:rPr>
            <w:rStyle w:val="Hyperlink"/>
          </w:rPr>
          <w:t xml:space="preserve">[18]</w:t>
        </w:r>
      </w:hyperlink>
      <w:r>
        <w:t xml:space="preserve"> </w:t>
      </w:r>
      <w:hyperlink r:id="rId21">
        <w:r>
          <w:rPr>
            <w:rStyle w:val="Hyperlink"/>
          </w:rPr>
          <w:t xml:space="preserve">[20]</w:t>
        </w:r>
      </w:hyperlink>
      <w:r>
        <w:t xml:space="preserve"> </w:t>
      </w:r>
      <w:hyperlink r:id="rId21">
        <w:r>
          <w:rPr>
            <w:rStyle w:val="Hyperlink"/>
          </w:rPr>
          <w:t xml:space="preserve">[21]</w:t>
        </w:r>
      </w:hyperlink>
      <w:r>
        <w:t xml:space="preserve"> </w:t>
      </w:r>
      <w:hyperlink r:id="rId21">
        <w:r>
          <w:rPr>
            <w:rStyle w:val="Hyperlink"/>
          </w:rPr>
          <w:t xml:space="preserve">[22]</w:t>
        </w:r>
      </w:hyperlink>
      <w:r>
        <w:t xml:space="preserve"> </w:t>
      </w:r>
      <w:hyperlink r:id="rId21">
        <w:r>
          <w:rPr>
            <w:rStyle w:val="Hyperlink"/>
          </w:rPr>
          <w:t xml:space="preserve">[23]</w:t>
        </w:r>
      </w:hyperlink>
      <w:r>
        <w:t xml:space="preserve"> </w:t>
      </w:r>
      <w:hyperlink r:id="rId21">
        <w:r>
          <w:rPr>
            <w:rStyle w:val="Hyperlink"/>
          </w:rPr>
          <w:t xml:space="preserve">[24]</w:t>
        </w:r>
      </w:hyperlink>
      <w:r>
        <w:t xml:space="preserve"> </w:t>
      </w:r>
      <w:hyperlink r:id="rId21">
        <w:r>
          <w:rPr>
            <w:rStyle w:val="Hyperlink"/>
          </w:rPr>
          <w:t xml:space="preserve">[25]</w:t>
        </w:r>
      </w:hyperlink>
      <w:r>
        <w:t xml:space="preserve"> </w:t>
      </w:r>
      <w:hyperlink r:id="rId21">
        <w:r>
          <w:rPr>
            <w:rStyle w:val="Hyperlink"/>
          </w:rPr>
          <w:t xml:space="preserve">[26]</w:t>
        </w:r>
      </w:hyperlink>
      <w:r>
        <w:t xml:space="preserve"> </w:t>
      </w:r>
      <w:hyperlink r:id="rId21">
        <w:r>
          <w:rPr>
            <w:rStyle w:val="Hyperlink"/>
          </w:rPr>
          <w:t xml:space="preserve">[27]</w:t>
        </w:r>
      </w:hyperlink>
      <w:r>
        <w:t xml:space="preserve"> </w:t>
      </w:r>
      <w:hyperlink r:id="rId21">
        <w:r>
          <w:rPr>
            <w:rStyle w:val="Hyperlink"/>
          </w:rPr>
          <w:t xml:space="preserve">[28]</w:t>
        </w:r>
      </w:hyperlink>
      <w:r>
        <w:t xml:space="preserve"> </w:t>
      </w:r>
      <w:hyperlink r:id="rId21">
        <w:r>
          <w:rPr>
            <w:rStyle w:val="Hyperlink"/>
          </w:rPr>
          <w:t xml:space="preserve">[29]</w:t>
        </w:r>
      </w:hyperlink>
      <w:r>
        <w:t xml:space="preserve"> </w:t>
      </w:r>
      <w:hyperlink r:id="rId21">
        <w:r>
          <w:rPr>
            <w:rStyle w:val="Hyperlink"/>
          </w:rPr>
          <w:t xml:space="preserve">[30]</w:t>
        </w:r>
      </w:hyperlink>
      <w:r>
        <w:t xml:space="preserve"> </w:t>
      </w:r>
      <w:hyperlink r:id="rId21">
        <w:r>
          <w:rPr>
            <w:rStyle w:val="Hyperlink"/>
          </w:rPr>
          <w:t xml:space="preserve">[31]</w:t>
        </w:r>
      </w:hyperlink>
      <w:r>
        <w:t xml:space="preserve"> </w:t>
      </w:r>
      <w:hyperlink r:id="rId21">
        <w:r>
          <w:rPr>
            <w:rStyle w:val="Hyperlink"/>
          </w:rPr>
          <w:t xml:space="preserve">[32]</w:t>
        </w:r>
      </w:hyperlink>
      <w:r>
        <w:t xml:space="preserve"> </w:t>
      </w:r>
      <w:hyperlink r:id="rId21">
        <w:r>
          <w:rPr>
            <w:rStyle w:val="Hyperlink"/>
          </w:rPr>
          <w:t xml:space="preserve">[33]</w:t>
        </w:r>
      </w:hyperlink>
      <w:r>
        <w:t xml:space="preserve"> </w:t>
      </w:r>
      <w:hyperlink r:id="rId21">
        <w:r>
          <w:rPr>
            <w:rStyle w:val="Hyperlink"/>
          </w:rPr>
          <w:t xml:space="preserve">[34]</w:t>
        </w:r>
      </w:hyperlink>
      <w:r>
        <w:t xml:space="preserve"> </w:t>
      </w:r>
      <w:hyperlink r:id="rId21">
        <w:r>
          <w:rPr>
            <w:rStyle w:val="Hyperlink"/>
          </w:rPr>
          <w:t xml:space="preserve">[35]</w:t>
        </w:r>
      </w:hyperlink>
      <w:r>
        <w:t xml:space="preserve"> </w:t>
      </w:r>
      <w:hyperlink r:id="rId21">
        <w:r>
          <w:rPr>
            <w:rStyle w:val="Hyperlink"/>
          </w:rPr>
          <w:t xml:space="preserve">[36]</w:t>
        </w:r>
      </w:hyperlink>
      <w:r>
        <w:t xml:space="preserve"> </w:t>
      </w:r>
      <w:hyperlink r:id="rId21">
        <w:r>
          <w:rPr>
            <w:rStyle w:val="Hyperlink"/>
          </w:rPr>
          <w:t xml:space="preserve">[45]</w:t>
        </w:r>
      </w:hyperlink>
      <w:r>
        <w:t xml:space="preserve"> </w:t>
      </w:r>
      <w:hyperlink r:id="rId21">
        <w:r>
          <w:rPr>
            <w:rStyle w:val="Hyperlink"/>
          </w:rPr>
          <w:t xml:space="preserve">[46]</w:t>
        </w:r>
      </w:hyperlink>
      <w:r>
        <w:t xml:space="preserve"> </w:t>
      </w:r>
      <w:hyperlink r:id="rId21">
        <w:r>
          <w:rPr>
            <w:rStyle w:val="Hyperlink"/>
          </w:rPr>
          <w:t xml:space="preserve">[47]</w:t>
        </w:r>
      </w:hyperlink>
      <w:r>
        <w:t xml:space="preserve"> </w:t>
      </w:r>
      <w:hyperlink r:id="rId21">
        <w:r>
          <w:rPr>
            <w:rStyle w:val="Hyperlink"/>
          </w:rPr>
          <w:t xml:space="preserve">[52]</w:t>
        </w:r>
      </w:hyperlink>
      <w:r>
        <w:t xml:space="preserve"> </w:t>
      </w:r>
      <w:hyperlink r:id="rId21">
        <w:r>
          <w:rPr>
            <w:rStyle w:val="Hyperlink"/>
          </w:rPr>
          <w:t xml:space="preserve">[56]</w:t>
        </w:r>
      </w:hyperlink>
      <w:r>
        <w:t xml:space="preserve"> </w:t>
      </w:r>
      <w:hyperlink r:id="rId21">
        <w:r>
          <w:rPr>
            <w:rStyle w:val="Hyperlink"/>
          </w:rPr>
          <w:t xml:space="preserve">[58]</w:t>
        </w:r>
      </w:hyperlink>
      <w:r>
        <w:t xml:space="preserve"> </w:t>
      </w:r>
      <w:hyperlink r:id="rId21">
        <w:r>
          <w:rPr>
            <w:rStyle w:val="Hyperlink"/>
          </w:rPr>
          <w:t xml:space="preserve">[66]</w:t>
        </w:r>
      </w:hyperlink>
      <w:r>
        <w:t xml:space="preserve"> </w:t>
      </w:r>
      <w:hyperlink r:id="rId21">
        <w:r>
          <w:rPr>
            <w:rStyle w:val="Hyperlink"/>
          </w:rPr>
          <w:t xml:space="preserve">[68]</w:t>
        </w:r>
      </w:hyperlink>
      <w:r>
        <w:t xml:space="preserve"> </w:t>
      </w:r>
      <w:hyperlink r:id="rId21">
        <w:r>
          <w:rPr>
            <w:rStyle w:val="Hyperlink"/>
          </w:rPr>
          <w:t xml:space="preserve">[69]</w:t>
        </w:r>
      </w:hyperlink>
      <w:r>
        <w:t xml:space="preserve"> </w:t>
      </w:r>
      <w:hyperlink r:id="rId21">
        <w:r>
          <w:rPr>
            <w:rStyle w:val="Hyperlink"/>
          </w:rPr>
          <w:t xml:space="preserve">[70]</w:t>
        </w:r>
      </w:hyperlink>
      <w:r>
        <w:t xml:space="preserve"> </w:t>
      </w:r>
      <w:hyperlink r:id="rId21">
        <w:r>
          <w:rPr>
            <w:rStyle w:val="Hyperlink"/>
          </w:rPr>
          <w:t xml:space="preserve">[71]</w:t>
        </w:r>
      </w:hyperlink>
      <w:r>
        <w:t xml:space="preserve"> </w:t>
      </w:r>
      <w:hyperlink r:id="rId21">
        <w:r>
          <w:rPr>
            <w:rStyle w:val="Hyperlink"/>
          </w:rPr>
          <w:t xml:space="preserve">[72]</w:t>
        </w:r>
      </w:hyperlink>
      <w:r>
        <w:t xml:space="preserve"> </w:t>
      </w:r>
      <w:hyperlink r:id="rId21">
        <w:r>
          <w:rPr>
            <w:rStyle w:val="Hyperlink"/>
          </w:rPr>
          <w:t xml:space="preserve">[81]</w:t>
        </w:r>
      </w:hyperlink>
      <w:r>
        <w:t xml:space="preserve"> </w:t>
      </w:r>
      <w:hyperlink r:id="rId21">
        <w:r>
          <w:rPr>
            <w:rStyle w:val="Hyperlink"/>
          </w:rPr>
          <w:t xml:space="preserve">[82]</w:t>
        </w:r>
      </w:hyperlink>
      <w:r>
        <w:t xml:space="preserve"> </w:t>
      </w:r>
      <w:hyperlink r:id="rId21">
        <w:r>
          <w:rPr>
            <w:rStyle w:val="Hyperlink"/>
          </w:rPr>
          <w:t xml:space="preserve">[83]</w:t>
        </w:r>
      </w:hyperlink>
      <w:r>
        <w:t xml:space="preserve"> </w:t>
      </w:r>
      <w:hyperlink r:id="rId21">
        <w:r>
          <w:rPr>
            <w:rStyle w:val="Hyperlink"/>
          </w:rPr>
          <w:t xml:space="preserve">[93]</w:t>
        </w:r>
      </w:hyperlink>
      <w:r>
        <w:t xml:space="preserve"> </w:t>
      </w:r>
      <w:r>
        <w:t xml:space="preserve">TabICLv2: A better, faster, scalable, and open tabular foundation model</w:t>
      </w:r>
    </w:p>
    <w:p>
      <w:pPr>
        <w:pStyle w:val="BodyText"/>
      </w:pPr>
      <w:hyperlink r:id="rId21">
        <w:r>
          <w:rPr>
            <w:rStyle w:val="Hyperlink"/>
          </w:rPr>
          <w:t xml:space="preserve">https://arxiv.org/html/2602.11139</w:t>
        </w:r>
      </w:hyperlink>
    </w:p>
    <w:p>
      <w:pPr>
        <w:pStyle w:val="BodyText"/>
      </w:pPr>
      <w:hyperlink r:id="rId22">
        <w:r>
          <w:rPr>
            <w:rStyle w:val="Hyperlink"/>
          </w:rPr>
          <w:t xml:space="preserve">[2]</w:t>
        </w:r>
      </w:hyperlink>
      <w:r>
        <w:t xml:space="preserve"> </w:t>
      </w:r>
      <w:hyperlink r:id="rId22">
        <w:r>
          <w:rPr>
            <w:rStyle w:val="Hyperlink"/>
          </w:rPr>
          <w:t xml:space="preserve">[13]</w:t>
        </w:r>
      </w:hyperlink>
      <w:r>
        <w:t xml:space="preserve"> </w:t>
      </w:r>
      <w:hyperlink r:id="rId22">
        <w:r>
          <w:rPr>
            <w:rStyle w:val="Hyperlink"/>
          </w:rPr>
          <w:t xml:space="preserve">[14]</w:t>
        </w:r>
      </w:hyperlink>
      <w:r>
        <w:t xml:space="preserve"> </w:t>
      </w:r>
      <w:hyperlink r:id="rId22">
        <w:r>
          <w:rPr>
            <w:rStyle w:val="Hyperlink"/>
          </w:rPr>
          <w:t xml:space="preserve">[19]</w:t>
        </w:r>
      </w:hyperlink>
      <w:r>
        <w:t xml:space="preserve"> </w:t>
      </w:r>
      <w:hyperlink r:id="rId22">
        <w:r>
          <w:rPr>
            <w:rStyle w:val="Hyperlink"/>
          </w:rPr>
          <w:t xml:space="preserve">[37]</w:t>
        </w:r>
      </w:hyperlink>
      <w:r>
        <w:t xml:space="preserve"> </w:t>
      </w:r>
      <w:hyperlink r:id="rId22">
        <w:r>
          <w:rPr>
            <w:rStyle w:val="Hyperlink"/>
          </w:rPr>
          <w:t xml:space="preserve">[39]</w:t>
        </w:r>
      </w:hyperlink>
      <w:r>
        <w:t xml:space="preserve"> </w:t>
      </w:r>
      <w:hyperlink r:id="rId22">
        <w:r>
          <w:rPr>
            <w:rStyle w:val="Hyperlink"/>
          </w:rPr>
          <w:t xml:space="preserve">[40]</w:t>
        </w:r>
      </w:hyperlink>
      <w:r>
        <w:t xml:space="preserve"> </w:t>
      </w:r>
      <w:hyperlink r:id="rId22">
        <w:r>
          <w:rPr>
            <w:rStyle w:val="Hyperlink"/>
          </w:rPr>
          <w:t xml:space="preserve">[41]</w:t>
        </w:r>
      </w:hyperlink>
      <w:r>
        <w:t xml:space="preserve"> </w:t>
      </w:r>
      <w:hyperlink r:id="rId22">
        <w:r>
          <w:rPr>
            <w:rStyle w:val="Hyperlink"/>
          </w:rPr>
          <w:t xml:space="preserve">[42]</w:t>
        </w:r>
      </w:hyperlink>
      <w:r>
        <w:t xml:space="preserve"> </w:t>
      </w:r>
      <w:hyperlink r:id="rId22">
        <w:r>
          <w:rPr>
            <w:rStyle w:val="Hyperlink"/>
          </w:rPr>
          <w:t xml:space="preserve">[43]</w:t>
        </w:r>
      </w:hyperlink>
      <w:r>
        <w:t xml:space="preserve"> </w:t>
      </w:r>
      <w:hyperlink r:id="rId22">
        <w:r>
          <w:rPr>
            <w:rStyle w:val="Hyperlink"/>
          </w:rPr>
          <w:t xml:space="preserve">[44]</w:t>
        </w:r>
      </w:hyperlink>
      <w:r>
        <w:t xml:space="preserve"> </w:t>
      </w:r>
      <w:hyperlink r:id="rId22">
        <w:r>
          <w:rPr>
            <w:rStyle w:val="Hyperlink"/>
          </w:rPr>
          <w:t xml:space="preserve">[48]</w:t>
        </w:r>
      </w:hyperlink>
      <w:r>
        <w:t xml:space="preserve"> </w:t>
      </w:r>
      <w:hyperlink r:id="rId22">
        <w:r>
          <w:rPr>
            <w:rStyle w:val="Hyperlink"/>
          </w:rPr>
          <w:t xml:space="preserve">[51]</w:t>
        </w:r>
      </w:hyperlink>
      <w:r>
        <w:t xml:space="preserve"> </w:t>
      </w:r>
      <w:hyperlink r:id="rId22">
        <w:r>
          <w:rPr>
            <w:rStyle w:val="Hyperlink"/>
          </w:rPr>
          <w:t xml:space="preserve">[53]</w:t>
        </w:r>
      </w:hyperlink>
      <w:r>
        <w:t xml:space="preserve"> </w:t>
      </w:r>
      <w:hyperlink r:id="rId22">
        <w:r>
          <w:rPr>
            <w:rStyle w:val="Hyperlink"/>
          </w:rPr>
          <w:t xml:space="preserve">[59]</w:t>
        </w:r>
      </w:hyperlink>
      <w:r>
        <w:t xml:space="preserve"> </w:t>
      </w:r>
      <w:hyperlink r:id="rId22">
        <w:r>
          <w:rPr>
            <w:rStyle w:val="Hyperlink"/>
          </w:rPr>
          <w:t xml:space="preserve">[63]</w:t>
        </w:r>
      </w:hyperlink>
      <w:r>
        <w:t xml:space="preserve"> </w:t>
      </w:r>
      <w:hyperlink r:id="rId22">
        <w:r>
          <w:rPr>
            <w:rStyle w:val="Hyperlink"/>
          </w:rPr>
          <w:t xml:space="preserve">[64]</w:t>
        </w:r>
      </w:hyperlink>
      <w:r>
        <w:t xml:space="preserve"> </w:t>
      </w:r>
      <w:hyperlink r:id="rId22">
        <w:r>
          <w:rPr>
            <w:rStyle w:val="Hyperlink"/>
          </w:rPr>
          <w:t xml:space="preserve">[78]</w:t>
        </w:r>
      </w:hyperlink>
      <w:r>
        <w:t xml:space="preserve"> </w:t>
      </w:r>
      <w:hyperlink r:id="rId22">
        <w:r>
          <w:rPr>
            <w:rStyle w:val="Hyperlink"/>
          </w:rPr>
          <w:t xml:space="preserve">[84]</w:t>
        </w:r>
      </w:hyperlink>
      <w:r>
        <w:t xml:space="preserve"> </w:t>
      </w:r>
      <w:hyperlink r:id="rId22">
        <w:r>
          <w:rPr>
            <w:rStyle w:val="Hyperlink"/>
          </w:rPr>
          <w:t xml:space="preserve">[86]</w:t>
        </w:r>
      </w:hyperlink>
      <w:r>
        <w:t xml:space="preserve"> </w:t>
      </w:r>
      <w:hyperlink r:id="rId22">
        <w:r>
          <w:rPr>
            <w:rStyle w:val="Hyperlink"/>
          </w:rPr>
          <w:t xml:space="preserve">[87]</w:t>
        </w:r>
      </w:hyperlink>
      <w:r>
        <w:t xml:space="preserve"> </w:t>
      </w:r>
      <w:hyperlink r:id="rId22">
        <w:r>
          <w:rPr>
            <w:rStyle w:val="Hyperlink"/>
          </w:rPr>
          <w:t xml:space="preserve">[112]</w:t>
        </w:r>
      </w:hyperlink>
      <w:r>
        <w:t xml:space="preserve"> </w:t>
      </w:r>
      <w:hyperlink r:id="rId22">
        <w:r>
          <w:rPr>
            <w:rStyle w:val="Hyperlink"/>
          </w:rPr>
          <w:t xml:space="preserve">[113]</w:t>
        </w:r>
      </w:hyperlink>
      <w:r>
        <w:t xml:space="preserve"> </w:t>
      </w:r>
      <w:hyperlink r:id="rId22">
        <w:r>
          <w:rPr>
            <w:rStyle w:val="Hyperlink"/>
          </w:rPr>
          <w:t xml:space="preserve">[114]</w:t>
        </w:r>
      </w:hyperlink>
      <w:r>
        <w:t xml:space="preserve"> </w:t>
      </w:r>
      <w:r>
        <w:t xml:space="preserve">GitHub - soda-inria/tabicl: TabICLv2: A state-of-the-art tabular foundation model · GitHub</w:t>
      </w:r>
    </w:p>
    <w:p>
      <w:pPr>
        <w:pStyle w:val="BodyText"/>
      </w:pPr>
      <w:hyperlink r:id="rId22">
        <w:r>
          <w:rPr>
            <w:rStyle w:val="Hyperlink"/>
          </w:rPr>
          <w:t xml:space="preserve">https://github.com/soda-inria/tabicl</w:t>
        </w:r>
      </w:hyperlink>
    </w:p>
    <w:p>
      <w:pPr>
        <w:pStyle w:val="BodyText"/>
      </w:pPr>
      <w:hyperlink r:id="rId23">
        <w:r>
          <w:rPr>
            <w:rStyle w:val="Hyperlink"/>
          </w:rPr>
          <w:t xml:space="preserve">[3]</w:t>
        </w:r>
      </w:hyperlink>
      <w:r>
        <w:t xml:space="preserve"> </w:t>
      </w:r>
      <w:hyperlink r:id="rId23">
        <w:r>
          <w:rPr>
            <w:rStyle w:val="Hyperlink"/>
          </w:rPr>
          <w:t xml:space="preserve">[57]</w:t>
        </w:r>
      </w:hyperlink>
      <w:r>
        <w:t xml:space="preserve"> </w:t>
      </w:r>
      <w:hyperlink r:id="rId23">
        <w:r>
          <w:rPr>
            <w:rStyle w:val="Hyperlink"/>
          </w:rPr>
          <w:t xml:space="preserve">[60]</w:t>
        </w:r>
      </w:hyperlink>
      <w:r>
        <w:t xml:space="preserve"> </w:t>
      </w:r>
      <w:hyperlink r:id="rId23">
        <w:r>
          <w:rPr>
            <w:rStyle w:val="Hyperlink"/>
          </w:rPr>
          <w:t xml:space="preserve">[94]</w:t>
        </w:r>
      </w:hyperlink>
      <w:r>
        <w:t xml:space="preserve"> </w:t>
      </w:r>
      <w:r>
        <w:t xml:space="preserve">https://arxiv.org/html/2507.03971v1</w:t>
      </w:r>
    </w:p>
    <w:p>
      <w:pPr>
        <w:pStyle w:val="BodyText"/>
      </w:pPr>
      <w:hyperlink r:id="rId23">
        <w:r>
          <w:rPr>
            <w:rStyle w:val="Hyperlink"/>
          </w:rPr>
          <w:t xml:space="preserve">https://arxiv.org/html/2507.03971v1</w:t>
        </w:r>
      </w:hyperlink>
    </w:p>
    <w:p>
      <w:pPr>
        <w:pStyle w:val="BodyText"/>
      </w:pPr>
      <w:hyperlink r:id="rId24">
        <w:r>
          <w:rPr>
            <w:rStyle w:val="Hyperlink"/>
          </w:rPr>
          <w:t xml:space="preserve">[4]</w:t>
        </w:r>
      </w:hyperlink>
      <w:r>
        <w:t xml:space="preserve"> </w:t>
      </w:r>
      <w:hyperlink r:id="rId24">
        <w:r>
          <w:rPr>
            <w:rStyle w:val="Hyperlink"/>
          </w:rPr>
          <w:t xml:space="preserve">[54]</w:t>
        </w:r>
      </w:hyperlink>
      <w:r>
        <w:t xml:space="preserve"> </w:t>
      </w:r>
      <w:hyperlink r:id="rId24">
        <w:r>
          <w:rPr>
            <w:rStyle w:val="Hyperlink"/>
          </w:rPr>
          <w:t xml:space="preserve">[55]</w:t>
        </w:r>
      </w:hyperlink>
      <w:r>
        <w:t xml:space="preserve"> </w:t>
      </w:r>
      <w:hyperlink r:id="rId24">
        <w:r>
          <w:rPr>
            <w:rStyle w:val="Hyperlink"/>
          </w:rPr>
          <w:t xml:space="preserve">[62]</w:t>
        </w:r>
      </w:hyperlink>
      <w:r>
        <w:t xml:space="preserve"> </w:t>
      </w:r>
      <w:hyperlink r:id="rId24">
        <w:r>
          <w:rPr>
            <w:rStyle w:val="Hyperlink"/>
          </w:rPr>
          <w:t xml:space="preserve">[90]</w:t>
        </w:r>
      </w:hyperlink>
      <w:r>
        <w:t xml:space="preserve"> </w:t>
      </w:r>
      <w:hyperlink r:id="rId24">
        <w:r>
          <w:rPr>
            <w:rStyle w:val="Hyperlink"/>
          </w:rPr>
          <w:t xml:space="preserve">[116]</w:t>
        </w:r>
      </w:hyperlink>
      <w:r>
        <w:t xml:space="preserve"> </w:t>
      </w:r>
      <w:r>
        <w:t xml:space="preserve">https://arxiv.org/abs/2402.11137</w:t>
      </w:r>
    </w:p>
    <w:p>
      <w:pPr>
        <w:pStyle w:val="BodyText"/>
      </w:pPr>
      <w:hyperlink r:id="rId24">
        <w:r>
          <w:rPr>
            <w:rStyle w:val="Hyperlink"/>
          </w:rPr>
          <w:t xml:space="preserve">https://arxiv.org/abs/2402.11137</w:t>
        </w:r>
      </w:hyperlink>
    </w:p>
    <w:p>
      <w:pPr>
        <w:pStyle w:val="BodyText"/>
      </w:pPr>
      <w:hyperlink r:id="rId25">
        <w:r>
          <w:rPr>
            <w:rStyle w:val="Hyperlink"/>
          </w:rPr>
          <w:t xml:space="preserve">[5]</w:t>
        </w:r>
      </w:hyperlink>
      <w:r>
        <w:t xml:space="preserve"> </w:t>
      </w:r>
      <w:hyperlink r:id="rId25">
        <w:r>
          <w:rPr>
            <w:rStyle w:val="Hyperlink"/>
          </w:rPr>
          <w:t xml:space="preserve">[100]</w:t>
        </w:r>
      </w:hyperlink>
      <w:r>
        <w:t xml:space="preserve"> </w:t>
      </w:r>
      <w:hyperlink r:id="rId25">
        <w:r>
          <w:rPr>
            <w:rStyle w:val="Hyperlink"/>
          </w:rPr>
          <w:t xml:space="preserve">[101]</w:t>
        </w:r>
      </w:hyperlink>
      <w:r>
        <w:t xml:space="preserve"> </w:t>
      </w:r>
      <w:r>
        <w:t xml:space="preserve">https://arxiv.org/html/2509.03505v2</w:t>
      </w:r>
    </w:p>
    <w:p>
      <w:pPr>
        <w:pStyle w:val="BodyText"/>
      </w:pPr>
      <w:hyperlink r:id="rId25">
        <w:r>
          <w:rPr>
            <w:rStyle w:val="Hyperlink"/>
          </w:rPr>
          <w:t xml:space="preserve">https://arxiv.org/html/2509.03505v2</w:t>
        </w:r>
      </w:hyperlink>
    </w:p>
    <w:p>
      <w:pPr>
        <w:pStyle w:val="BodyText"/>
      </w:pPr>
      <w:hyperlink r:id="rId26">
        <w:r>
          <w:rPr>
            <w:rStyle w:val="Hyperlink"/>
          </w:rPr>
          <w:t xml:space="preserve">[12]</w:t>
        </w:r>
      </w:hyperlink>
      <w:r>
        <w:t xml:space="preserve"> </w:t>
      </w:r>
      <w:hyperlink r:id="rId26">
        <w:r>
          <w:rPr>
            <w:rStyle w:val="Hyperlink"/>
          </w:rPr>
          <w:t xml:space="preserve">[16]</w:t>
        </w:r>
      </w:hyperlink>
      <w:r>
        <w:t xml:space="preserve"> </w:t>
      </w:r>
      <w:hyperlink r:id="rId26">
        <w:r>
          <w:rPr>
            <w:rStyle w:val="Hyperlink"/>
          </w:rPr>
          <w:t xml:space="preserve">[106]</w:t>
        </w:r>
      </w:hyperlink>
      <w:r>
        <w:t xml:space="preserve"> </w:t>
      </w:r>
      <w:hyperlink r:id="rId26">
        <w:r>
          <w:rPr>
            <w:rStyle w:val="Hyperlink"/>
          </w:rPr>
          <w:t xml:space="preserve">[107]</w:t>
        </w:r>
      </w:hyperlink>
      <w:r>
        <w:t xml:space="preserve"> </w:t>
      </w:r>
      <w:r>
        <w:t xml:space="preserve">https://arxiv.org/abs/2411.10634</w:t>
      </w:r>
    </w:p>
    <w:p>
      <w:pPr>
        <w:pStyle w:val="BodyText"/>
      </w:pPr>
      <w:hyperlink r:id="rId26">
        <w:r>
          <w:rPr>
            <w:rStyle w:val="Hyperlink"/>
          </w:rPr>
          <w:t xml:space="preserve">https://arxiv.org/abs/2411.10634</w:t>
        </w:r>
      </w:hyperlink>
    </w:p>
    <w:p>
      <w:pPr>
        <w:pStyle w:val="BodyText"/>
      </w:pPr>
      <w:hyperlink r:id="rId27">
        <w:r>
          <w:rPr>
            <w:rStyle w:val="Hyperlink"/>
          </w:rPr>
          <w:t xml:space="preserve">[17]</w:t>
        </w:r>
      </w:hyperlink>
      <w:r>
        <w:t xml:space="preserve"> </w:t>
      </w:r>
      <w:hyperlink r:id="rId27">
        <w:r>
          <w:rPr>
            <w:rStyle w:val="Hyperlink"/>
          </w:rPr>
          <w:t xml:space="preserve">[76]</w:t>
        </w:r>
      </w:hyperlink>
      <w:r>
        <w:t xml:space="preserve"> </w:t>
      </w:r>
      <w:hyperlink r:id="rId27">
        <w:r>
          <w:rPr>
            <w:rStyle w:val="Hyperlink"/>
          </w:rPr>
          <w:t xml:space="preserve">[77]</w:t>
        </w:r>
      </w:hyperlink>
      <w:r>
        <w:t xml:space="preserve"> </w:t>
      </w:r>
      <w:r>
        <w:t xml:space="preserve">https://huggingface.co/jingang/TabICL</w:t>
      </w:r>
    </w:p>
    <w:p>
      <w:pPr>
        <w:pStyle w:val="BodyText"/>
      </w:pPr>
      <w:hyperlink r:id="rId27">
        <w:r>
          <w:rPr>
            <w:rStyle w:val="Hyperlink"/>
          </w:rPr>
          <w:t xml:space="preserve">https://huggingface.co/jingang/TabICL</w:t>
        </w:r>
      </w:hyperlink>
    </w:p>
    <w:p>
      <w:pPr>
        <w:pStyle w:val="BodyText"/>
      </w:pPr>
      <w:hyperlink r:id="rId43">
        <w:r>
          <w:rPr>
            <w:rStyle w:val="Hyperlink"/>
          </w:rPr>
          <w:t xml:space="preserve">[38]</w:t>
        </w:r>
      </w:hyperlink>
      <w:r>
        <w:t xml:space="preserve"> </w:t>
      </w:r>
      <w:hyperlink r:id="rId43">
        <w:r>
          <w:rPr>
            <w:rStyle w:val="Hyperlink"/>
          </w:rPr>
          <w:t xml:space="preserve">[65]</w:t>
        </w:r>
      </w:hyperlink>
      <w:r>
        <w:t xml:space="preserve"> </w:t>
      </w:r>
      <w:r>
        <w:t xml:space="preserve">https://github.com/soda-inria/tabicl/blob/main/scripts/train_stage1.sh</w:t>
      </w:r>
    </w:p>
    <w:p>
      <w:pPr>
        <w:pStyle w:val="BodyText"/>
      </w:pPr>
      <w:hyperlink r:id="rId43">
        <w:r>
          <w:rPr>
            <w:rStyle w:val="Hyperlink"/>
          </w:rPr>
          <w:t xml:space="preserve">https://github.com/soda-inria/tabicl/blob/main/scripts/train_stage1.sh</w:t>
        </w:r>
      </w:hyperlink>
    </w:p>
    <w:p>
      <w:pPr>
        <w:pStyle w:val="BodyText"/>
      </w:pPr>
      <w:hyperlink r:id="rId51">
        <w:r>
          <w:rPr>
            <w:rStyle w:val="Hyperlink"/>
          </w:rPr>
          <w:t xml:space="preserve">[49]</w:t>
        </w:r>
      </w:hyperlink>
      <w:r>
        <w:t xml:space="preserve"> </w:t>
      </w:r>
      <w:r>
        <w:t xml:space="preserve">https://openreview.net/pdf?id=kjZN7kBCit</w:t>
      </w:r>
    </w:p>
    <w:p>
      <w:pPr>
        <w:pStyle w:val="BodyText"/>
      </w:pPr>
      <w:hyperlink r:id="rId51">
        <w:r>
          <w:rPr>
            <w:rStyle w:val="Hyperlink"/>
          </w:rPr>
          <w:t xml:space="preserve">https://openreview.net/pdf?id=kjZN7kBCit</w:t>
        </w:r>
      </w:hyperlink>
    </w:p>
    <w:p>
      <w:pPr>
        <w:pStyle w:val="BodyText"/>
      </w:pPr>
      <w:hyperlink r:id="rId52">
        <w:r>
          <w:rPr>
            <w:rStyle w:val="Hyperlink"/>
          </w:rPr>
          <w:t xml:space="preserve">[50]</w:t>
        </w:r>
      </w:hyperlink>
      <w:r>
        <w:t xml:space="preserve"> </w:t>
      </w:r>
      <w:r>
        <w:t xml:space="preserve">https://huggingface.co/docs/transformers/model_doc/table-transformer</w:t>
      </w:r>
    </w:p>
    <w:p>
      <w:pPr>
        <w:pStyle w:val="BodyText"/>
      </w:pPr>
      <w:hyperlink r:id="rId52">
        <w:r>
          <w:rPr>
            <w:rStyle w:val="Hyperlink"/>
          </w:rPr>
          <w:t xml:space="preserve">https://huggingface.co/docs/transformers/model_doc/table-transformer</w:t>
        </w:r>
      </w:hyperlink>
    </w:p>
    <w:p>
      <w:pPr>
        <w:pStyle w:val="BodyText"/>
      </w:pPr>
      <w:hyperlink r:id="rId60">
        <w:r>
          <w:rPr>
            <w:rStyle w:val="Hyperlink"/>
          </w:rPr>
          <w:t xml:space="preserve">[61]</w:t>
        </w:r>
      </w:hyperlink>
      <w:r>
        <w:t xml:space="preserve"> </w:t>
      </w:r>
      <w:hyperlink r:id="rId60">
        <w:r>
          <w:rPr>
            <w:rStyle w:val="Hyperlink"/>
          </w:rPr>
          <w:t xml:space="preserve">[96]</w:t>
        </w:r>
      </w:hyperlink>
      <w:r>
        <w:t xml:space="preserve"> </w:t>
      </w:r>
      <w:r>
        <w:t xml:space="preserve">https://arxiv.org/abs/2410.18164</w:t>
      </w:r>
    </w:p>
    <w:p>
      <w:pPr>
        <w:pStyle w:val="BodyText"/>
      </w:pPr>
      <w:hyperlink r:id="rId60">
        <w:r>
          <w:rPr>
            <w:rStyle w:val="Hyperlink"/>
          </w:rPr>
          <w:t xml:space="preserve">https://arxiv.org/abs/2410.18164</w:t>
        </w:r>
      </w:hyperlink>
    </w:p>
    <w:p>
      <w:pPr>
        <w:pStyle w:val="BodyText"/>
      </w:pPr>
      <w:hyperlink r:id="rId66">
        <w:r>
          <w:rPr>
            <w:rStyle w:val="Hyperlink"/>
          </w:rPr>
          <w:t xml:space="preserve">[67]</w:t>
        </w:r>
      </w:hyperlink>
      <w:r>
        <w:t xml:space="preserve"> </w:t>
      </w:r>
      <w:hyperlink r:id="rId66">
        <w:r>
          <w:rPr>
            <w:rStyle w:val="Hyperlink"/>
          </w:rPr>
          <w:t xml:space="preserve">[115]</w:t>
        </w:r>
      </w:hyperlink>
      <w:r>
        <w:t xml:space="preserve"> </w:t>
      </w:r>
      <w:r>
        <w:t xml:space="preserve">https://arxiv.org/pdf/2506.16791</w:t>
      </w:r>
    </w:p>
    <w:p>
      <w:pPr>
        <w:pStyle w:val="BodyText"/>
      </w:pPr>
      <w:hyperlink r:id="rId66">
        <w:r>
          <w:rPr>
            <w:rStyle w:val="Hyperlink"/>
          </w:rPr>
          <w:t xml:space="preserve">https://arxiv.org/pdf/2506.16791</w:t>
        </w:r>
      </w:hyperlink>
    </w:p>
    <w:p>
      <w:pPr>
        <w:pStyle w:val="BodyText"/>
      </w:pPr>
      <w:hyperlink r:id="rId73">
        <w:r>
          <w:rPr>
            <w:rStyle w:val="Hyperlink"/>
          </w:rPr>
          <w:t xml:space="preserve">[73]</w:t>
        </w:r>
      </w:hyperlink>
      <w:r>
        <w:t xml:space="preserve"> </w:t>
      </w:r>
      <w:hyperlink r:id="rId73">
        <w:r>
          <w:rPr>
            <w:rStyle w:val="Hyperlink"/>
          </w:rPr>
          <w:t xml:space="preserve">[74]</w:t>
        </w:r>
      </w:hyperlink>
      <w:r>
        <w:t xml:space="preserve"> </w:t>
      </w:r>
      <w:hyperlink r:id="rId73">
        <w:r>
          <w:rPr>
            <w:rStyle w:val="Hyperlink"/>
          </w:rPr>
          <w:t xml:space="preserve">[75]</w:t>
        </w:r>
      </w:hyperlink>
      <w:r>
        <w:t xml:space="preserve"> </w:t>
      </w:r>
      <w:r>
        <w:t xml:space="preserve">https://github.com/soda-inria/tabicl/blob/main/LICENSE</w:t>
      </w:r>
    </w:p>
    <w:p>
      <w:pPr>
        <w:pStyle w:val="BodyText"/>
      </w:pPr>
      <w:hyperlink r:id="rId73">
        <w:r>
          <w:rPr>
            <w:rStyle w:val="Hyperlink"/>
          </w:rPr>
          <w:t xml:space="preserve">https://github.com/soda-inria/tabicl/blob/main/LICENSE</w:t>
        </w:r>
      </w:hyperlink>
    </w:p>
    <w:p>
      <w:pPr>
        <w:pStyle w:val="BodyText"/>
      </w:pPr>
      <w:hyperlink r:id="rId77">
        <w:r>
          <w:rPr>
            <w:rStyle w:val="Hyperlink"/>
          </w:rPr>
          <w:t xml:space="preserve">[79]</w:t>
        </w:r>
      </w:hyperlink>
      <w:r>
        <w:t xml:space="preserve"> </w:t>
      </w:r>
      <w:r>
        <w:t xml:space="preserve">https://github.com/soda-inria/nanotabicl</w:t>
      </w:r>
    </w:p>
    <w:p>
      <w:pPr>
        <w:pStyle w:val="BodyText"/>
      </w:pPr>
      <w:hyperlink r:id="rId77">
        <w:r>
          <w:rPr>
            <w:rStyle w:val="Hyperlink"/>
          </w:rPr>
          <w:t xml:space="preserve">https://github.com/soda-inria/nanotabicl</w:t>
        </w:r>
      </w:hyperlink>
    </w:p>
    <w:p>
      <w:pPr>
        <w:pStyle w:val="BodyText"/>
      </w:pPr>
      <w:hyperlink r:id="rId78">
        <w:r>
          <w:rPr>
            <w:rStyle w:val="Hyperlink"/>
          </w:rPr>
          <w:t xml:space="preserve">[80]</w:t>
        </w:r>
      </w:hyperlink>
      <w:r>
        <w:t xml:space="preserve"> </w:t>
      </w:r>
      <w:r>
        <w:t xml:space="preserve">https://auto.gluon.ai/dev/tutorials/tabular/tabular-foundational-models.html</w:t>
      </w:r>
    </w:p>
    <w:p>
      <w:pPr>
        <w:pStyle w:val="BodyText"/>
      </w:pPr>
      <w:hyperlink r:id="rId78">
        <w:r>
          <w:rPr>
            <w:rStyle w:val="Hyperlink"/>
          </w:rPr>
          <w:t xml:space="preserve">https://auto.gluon.ai/dev/tutorials/tabular/tabular-foundational-models.html</w:t>
        </w:r>
      </w:hyperlink>
    </w:p>
    <w:p>
      <w:pPr>
        <w:pStyle w:val="BodyText"/>
      </w:pPr>
      <w:hyperlink r:id="rId80">
        <w:r>
          <w:rPr>
            <w:rStyle w:val="Hyperlink"/>
          </w:rPr>
          <w:t xml:space="preserve">[85]</w:t>
        </w:r>
      </w:hyperlink>
      <w:r>
        <w:t xml:space="preserve"> </w:t>
      </w:r>
      <w:r>
        <w:t xml:space="preserve">https://arxiv.org/abs/2502.05564</w:t>
      </w:r>
    </w:p>
    <w:p>
      <w:pPr>
        <w:pStyle w:val="BodyText"/>
      </w:pPr>
      <w:hyperlink r:id="rId80">
        <w:r>
          <w:rPr>
            <w:rStyle w:val="Hyperlink"/>
          </w:rPr>
          <w:t xml:space="preserve">https://arxiv.org/abs/2502.05564</w:t>
        </w:r>
      </w:hyperlink>
    </w:p>
    <w:p>
      <w:pPr>
        <w:pStyle w:val="BodyText"/>
      </w:pPr>
      <w:hyperlink r:id="rId81">
        <w:r>
          <w:rPr>
            <w:rStyle w:val="Hyperlink"/>
          </w:rPr>
          <w:t xml:space="preserve">[88]</w:t>
        </w:r>
      </w:hyperlink>
      <w:r>
        <w:t xml:space="preserve"> </w:t>
      </w:r>
      <w:hyperlink r:id="rId81">
        <w:r>
          <w:rPr>
            <w:rStyle w:val="Hyperlink"/>
          </w:rPr>
          <w:t xml:space="preserve">[89]</w:t>
        </w:r>
      </w:hyperlink>
      <w:r>
        <w:t xml:space="preserve"> </w:t>
      </w:r>
      <w:r>
        <w:t xml:space="preserve">https://www.nature.com/articles/s41586-024-08328-6</w:t>
      </w:r>
    </w:p>
    <w:p>
      <w:pPr>
        <w:pStyle w:val="BodyText"/>
      </w:pPr>
      <w:hyperlink r:id="rId81">
        <w:r>
          <w:rPr>
            <w:rStyle w:val="Hyperlink"/>
          </w:rPr>
          <w:t xml:space="preserve">https://www.nature.com/articles/s41586-024-08328-6</w:t>
        </w:r>
      </w:hyperlink>
    </w:p>
    <w:p>
      <w:pPr>
        <w:pStyle w:val="BodyText"/>
      </w:pPr>
      <w:hyperlink r:id="rId82">
        <w:r>
          <w:rPr>
            <w:rStyle w:val="Hyperlink"/>
          </w:rPr>
          <w:t xml:space="preserve">[91]</w:t>
        </w:r>
      </w:hyperlink>
      <w:r>
        <w:t xml:space="preserve"> </w:t>
      </w:r>
      <w:hyperlink r:id="rId82">
        <w:r>
          <w:rPr>
            <w:rStyle w:val="Hyperlink"/>
          </w:rPr>
          <w:t xml:space="preserve">[92]</w:t>
        </w:r>
      </w:hyperlink>
      <w:r>
        <w:t xml:space="preserve"> </w:t>
      </w:r>
      <w:r>
        <w:t xml:space="preserve">https://arxiv.org/abs/2511.08667</w:t>
      </w:r>
    </w:p>
    <w:p>
      <w:pPr>
        <w:pStyle w:val="BodyText"/>
      </w:pPr>
      <w:hyperlink r:id="rId82">
        <w:r>
          <w:rPr>
            <w:rStyle w:val="Hyperlink"/>
          </w:rPr>
          <w:t xml:space="preserve">https://arxiv.org/abs/2511.08667</w:t>
        </w:r>
      </w:hyperlink>
    </w:p>
    <w:p>
      <w:pPr>
        <w:pStyle w:val="BodyText"/>
      </w:pPr>
      <w:hyperlink r:id="rId83">
        <w:r>
          <w:rPr>
            <w:rStyle w:val="Hyperlink"/>
          </w:rPr>
          <w:t xml:space="preserve">[95]</w:t>
        </w:r>
      </w:hyperlink>
      <w:r>
        <w:t xml:space="preserve"> </w:t>
      </w:r>
      <w:r>
        <w:t xml:space="preserve">https://github.com/layer6ai-labs/TabDPT-inference</w:t>
      </w:r>
    </w:p>
    <w:p>
      <w:pPr>
        <w:pStyle w:val="BodyText"/>
      </w:pPr>
      <w:hyperlink r:id="rId83">
        <w:r>
          <w:rPr>
            <w:rStyle w:val="Hyperlink"/>
          </w:rPr>
          <w:t xml:space="preserve">https://github.com/layer6ai-labs/TabDPT-inference</w:t>
        </w:r>
      </w:hyperlink>
    </w:p>
    <w:p>
      <w:pPr>
        <w:pStyle w:val="BodyText"/>
      </w:pPr>
      <w:hyperlink r:id="rId84">
        <w:r>
          <w:rPr>
            <w:rStyle w:val="Hyperlink"/>
          </w:rPr>
          <w:t xml:space="preserve">[97]</w:t>
        </w:r>
      </w:hyperlink>
      <w:r>
        <w:t xml:space="preserve"> </w:t>
      </w:r>
      <w:hyperlink r:id="rId84">
        <w:r>
          <w:rPr>
            <w:rStyle w:val="Hyperlink"/>
          </w:rPr>
          <w:t xml:space="preserve">[98]</w:t>
        </w:r>
      </w:hyperlink>
      <w:r>
        <w:t xml:space="preserve"> </w:t>
      </w:r>
      <w:r>
        <w:t xml:space="preserve">https://arxiv.org/abs/2510.21204</w:t>
      </w:r>
    </w:p>
    <w:p>
      <w:pPr>
        <w:pStyle w:val="BodyText"/>
      </w:pPr>
      <w:hyperlink r:id="rId84">
        <w:r>
          <w:rPr>
            <w:rStyle w:val="Hyperlink"/>
          </w:rPr>
          <w:t xml:space="preserve">https://arxiv.org/abs/2510.21204</w:t>
        </w:r>
      </w:hyperlink>
    </w:p>
    <w:p>
      <w:pPr>
        <w:pStyle w:val="BodyText"/>
      </w:pPr>
      <w:hyperlink r:id="rId85">
        <w:r>
          <w:rPr>
            <w:rStyle w:val="Hyperlink"/>
          </w:rPr>
          <w:t xml:space="preserve">[99]</w:t>
        </w:r>
      </w:hyperlink>
      <w:r>
        <w:t xml:space="preserve"> </w:t>
      </w:r>
      <w:r>
        <w:t xml:space="preserve">https://auto.gluon.ai/stable/api/autogluon.tabular.models.html</w:t>
      </w:r>
    </w:p>
    <w:p>
      <w:pPr>
        <w:pStyle w:val="BodyText"/>
      </w:pPr>
      <w:hyperlink r:id="rId85">
        <w:r>
          <w:rPr>
            <w:rStyle w:val="Hyperlink"/>
          </w:rPr>
          <w:t xml:space="preserve">https://auto.gluon.ai/stable/api/autogluon.tabular.models.html</w:t>
        </w:r>
      </w:hyperlink>
    </w:p>
    <w:p>
      <w:pPr>
        <w:pStyle w:val="BodyText"/>
      </w:pPr>
      <w:hyperlink r:id="rId86">
        <w:r>
          <w:rPr>
            <w:rStyle w:val="Hyperlink"/>
          </w:rPr>
          <w:t xml:space="preserve">[102]</w:t>
        </w:r>
      </w:hyperlink>
      <w:r>
        <w:t xml:space="preserve"> </w:t>
      </w:r>
      <w:hyperlink r:id="rId86">
        <w:r>
          <w:rPr>
            <w:rStyle w:val="Hyperlink"/>
          </w:rPr>
          <w:t xml:space="preserve">[103]</w:t>
        </w:r>
      </w:hyperlink>
      <w:r>
        <w:t xml:space="preserve"> </w:t>
      </w:r>
      <w:r>
        <w:t xml:space="preserve">https://arxiv.org/abs/2511.02818</w:t>
      </w:r>
    </w:p>
    <w:p>
      <w:pPr>
        <w:pStyle w:val="BodyText"/>
      </w:pPr>
      <w:hyperlink r:id="rId86">
        <w:r>
          <w:rPr>
            <w:rStyle w:val="Hyperlink"/>
          </w:rPr>
          <w:t xml:space="preserve">https://arxiv.org/abs/2511.02818</w:t>
        </w:r>
      </w:hyperlink>
    </w:p>
    <w:p>
      <w:pPr>
        <w:pStyle w:val="BodyText"/>
      </w:pPr>
      <w:hyperlink r:id="rId87">
        <w:r>
          <w:rPr>
            <w:rStyle w:val="Hyperlink"/>
          </w:rPr>
          <w:t xml:space="preserve">[104]</w:t>
        </w:r>
      </w:hyperlink>
      <w:r>
        <w:t xml:space="preserve"> </w:t>
      </w:r>
      <w:hyperlink r:id="rId87">
        <w:r>
          <w:rPr>
            <w:rStyle w:val="Hyperlink"/>
          </w:rPr>
          <w:t xml:space="preserve">[105]</w:t>
        </w:r>
      </w:hyperlink>
      <w:r>
        <w:t xml:space="preserve"> </w:t>
      </w:r>
      <w:r>
        <w:t xml:space="preserve">https://arxiv.org/abs/2509.00326</w:t>
      </w:r>
    </w:p>
    <w:p>
      <w:pPr>
        <w:pStyle w:val="BodyText"/>
      </w:pPr>
      <w:hyperlink r:id="rId87">
        <w:r>
          <w:rPr>
            <w:rStyle w:val="Hyperlink"/>
          </w:rPr>
          <w:t xml:space="preserve">https://arxiv.org/abs/2509.00326</w:t>
        </w:r>
      </w:hyperlink>
    </w:p>
    <w:p>
      <w:pPr>
        <w:pStyle w:val="BodyText"/>
      </w:pPr>
      <w:hyperlink r:id="rId89">
        <w:r>
          <w:rPr>
            <w:rStyle w:val="Hyperlink"/>
          </w:rPr>
          <w:t xml:space="preserve">[108]</w:t>
        </w:r>
      </w:hyperlink>
      <w:r>
        <w:t xml:space="preserve"> </w:t>
      </w:r>
      <w:r>
        <w:t xml:space="preserve">https://arxiv.org/abs/2005.08314</w:t>
      </w:r>
    </w:p>
    <w:p>
      <w:pPr>
        <w:pStyle w:val="BodyText"/>
      </w:pPr>
      <w:hyperlink r:id="rId89">
        <w:r>
          <w:rPr>
            <w:rStyle w:val="Hyperlink"/>
          </w:rPr>
          <w:t xml:space="preserve">https://arxiv.org/abs/2005.08314</w:t>
        </w:r>
      </w:hyperlink>
    </w:p>
    <w:p>
      <w:pPr>
        <w:pStyle w:val="BodyText"/>
      </w:pPr>
      <w:hyperlink r:id="rId90">
        <w:r>
          <w:rPr>
            <w:rStyle w:val="Hyperlink"/>
          </w:rPr>
          <w:t xml:space="preserve">[109]</w:t>
        </w:r>
      </w:hyperlink>
      <w:r>
        <w:t xml:space="preserve"> </w:t>
      </w:r>
      <w:r>
        <w:t xml:space="preserve">https://arxiv.org/abs/2004.02349</w:t>
      </w:r>
    </w:p>
    <w:p>
      <w:pPr>
        <w:pStyle w:val="BodyText"/>
      </w:pPr>
      <w:hyperlink r:id="rId90">
        <w:r>
          <w:rPr>
            <w:rStyle w:val="Hyperlink"/>
          </w:rPr>
          <w:t xml:space="preserve">https://arxiv.org/abs/2004.02349</w:t>
        </w:r>
      </w:hyperlink>
    </w:p>
    <w:p>
      <w:pPr>
        <w:pStyle w:val="BodyText"/>
      </w:pPr>
      <w:hyperlink r:id="rId91">
        <w:r>
          <w:rPr>
            <w:rStyle w:val="Hyperlink"/>
          </w:rPr>
          <w:t xml:space="preserve">[110]</w:t>
        </w:r>
      </w:hyperlink>
      <w:r>
        <w:t xml:space="preserve"> </w:t>
      </w:r>
      <w:r>
        <w:t xml:space="preserve">https://arxiv.org/abs/2006.14806</w:t>
      </w:r>
    </w:p>
    <w:p>
      <w:pPr>
        <w:pStyle w:val="BodyText"/>
      </w:pPr>
      <w:hyperlink r:id="rId91">
        <w:r>
          <w:rPr>
            <w:rStyle w:val="Hyperlink"/>
          </w:rPr>
          <w:t xml:space="preserve">https://arxiv.org/abs/2006.14806</w:t>
        </w:r>
      </w:hyperlink>
    </w:p>
    <w:p>
      <w:pPr>
        <w:pStyle w:val="BodyText"/>
      </w:pPr>
      <w:hyperlink r:id="rId94">
        <w:r>
          <w:rPr>
            <w:rStyle w:val="Hyperlink"/>
          </w:rPr>
          <w:t xml:space="preserve">[111]</w:t>
        </w:r>
      </w:hyperlink>
      <w:r>
        <w:t xml:space="preserve"> </w:t>
      </w:r>
      <w:r>
        <w:t xml:space="preserve">https://arxiv.org/html/2506.16791v1</w:t>
      </w:r>
    </w:p>
    <w:p>
      <w:pPr>
        <w:pStyle w:val="BodyText"/>
      </w:pPr>
      <w:hyperlink r:id="rId94">
        <w:r>
          <w:rPr>
            <w:rStyle w:val="Hyperlink"/>
          </w:rPr>
          <w:t xml:space="preserve">https://arxiv.org/html/2506.16791v1</w:t>
        </w:r>
      </w:hyperlink>
    </w:p>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arxiv.org/abs/2004.02349" TargetMode="External" /><Relationship Type="http://schemas.openxmlformats.org/officeDocument/2006/relationships/hyperlink" Id="rId89" Target="https://arxiv.org/abs/2005.08314" TargetMode="External" /><Relationship Type="http://schemas.openxmlformats.org/officeDocument/2006/relationships/hyperlink" Id="rId91" Target="https://arxiv.org/abs/2006.14806" TargetMode="External" /><Relationship Type="http://schemas.openxmlformats.org/officeDocument/2006/relationships/hyperlink" Id="rId24" Target="https://arxiv.org/abs/2402.11137" TargetMode="External" /><Relationship Type="http://schemas.openxmlformats.org/officeDocument/2006/relationships/hyperlink" Id="rId60" Target="https://arxiv.org/abs/2410.18164" TargetMode="External" /><Relationship Type="http://schemas.openxmlformats.org/officeDocument/2006/relationships/hyperlink" Id="rId26" Target="https://arxiv.org/abs/2411.10634" TargetMode="External" /><Relationship Type="http://schemas.openxmlformats.org/officeDocument/2006/relationships/hyperlink" Id="rId80" Target="https://arxiv.org/abs/2502.05564" TargetMode="External" /><Relationship Type="http://schemas.openxmlformats.org/officeDocument/2006/relationships/hyperlink" Id="rId87" Target="https://arxiv.org/abs/2509.00326" TargetMode="External" /><Relationship Type="http://schemas.openxmlformats.org/officeDocument/2006/relationships/hyperlink" Id="rId84" Target="https://arxiv.org/abs/2510.21204" TargetMode="External" /><Relationship Type="http://schemas.openxmlformats.org/officeDocument/2006/relationships/hyperlink" Id="rId86" Target="https://arxiv.org/abs/2511.02818" TargetMode="External" /><Relationship Type="http://schemas.openxmlformats.org/officeDocument/2006/relationships/hyperlink" Id="rId82" Target="https://arxiv.org/abs/2511.08667" TargetMode="External" /><Relationship Type="http://schemas.openxmlformats.org/officeDocument/2006/relationships/hyperlink" Id="rId94" Target="https://arxiv.org/html/2506.16791v1" TargetMode="External" /><Relationship Type="http://schemas.openxmlformats.org/officeDocument/2006/relationships/hyperlink" Id="rId23" Target="https://arxiv.org/html/2507.03971v1" TargetMode="External" /><Relationship Type="http://schemas.openxmlformats.org/officeDocument/2006/relationships/hyperlink" Id="rId25" Target="https://arxiv.org/html/2509.03505v2" TargetMode="External" /><Relationship Type="http://schemas.openxmlformats.org/officeDocument/2006/relationships/hyperlink" Id="rId21" Target="https://arxiv.org/html/2602.11139" TargetMode="External" /><Relationship Type="http://schemas.openxmlformats.org/officeDocument/2006/relationships/hyperlink" Id="rId66" Target="https://arxiv.org/pdf/2506.16791" TargetMode="External" /><Relationship Type="http://schemas.openxmlformats.org/officeDocument/2006/relationships/hyperlink" Id="rId78" Target="https://auto.gluon.ai/dev/tutorials/tabular/tabular-foundational-models.html" TargetMode="External" /><Relationship Type="http://schemas.openxmlformats.org/officeDocument/2006/relationships/hyperlink" Id="rId85" Target="https://auto.gluon.ai/stable/api/autogluon.tabular.models.html" TargetMode="External" /><Relationship Type="http://schemas.openxmlformats.org/officeDocument/2006/relationships/hyperlink" Id="rId83" Target="https://github.com/layer6ai-labs/TabDPT-inference" TargetMode="External" /><Relationship Type="http://schemas.openxmlformats.org/officeDocument/2006/relationships/hyperlink" Id="rId77" Target="https://github.com/soda-inria/nanotabicl" TargetMode="External" /><Relationship Type="http://schemas.openxmlformats.org/officeDocument/2006/relationships/hyperlink" Id="rId22" Target="https://github.com/soda-inria/tabicl" TargetMode="External" /><Relationship Type="http://schemas.openxmlformats.org/officeDocument/2006/relationships/hyperlink" Id="rId73" Target="https://github.com/soda-inria/tabicl/blob/main/LICENSE" TargetMode="External" /><Relationship Type="http://schemas.openxmlformats.org/officeDocument/2006/relationships/hyperlink" Id="rId43" Target="https://github.com/soda-inria/tabicl/blob/main/scripts/train_stage1.sh" TargetMode="External" /><Relationship Type="http://schemas.openxmlformats.org/officeDocument/2006/relationships/hyperlink" Id="rId52" Target="https://huggingface.co/docs/transformers/model_doc/table-transformer" TargetMode="External" /><Relationship Type="http://schemas.openxmlformats.org/officeDocument/2006/relationships/hyperlink" Id="rId27" Target="https://huggingface.co/jingang/TabICL" TargetMode="External" /><Relationship Type="http://schemas.openxmlformats.org/officeDocument/2006/relationships/hyperlink" Id="rId51" Target="https://openreview.net/pdf?id=kjZN7kBCit" TargetMode="External" /><Relationship Type="http://schemas.openxmlformats.org/officeDocument/2006/relationships/hyperlink" Id="rId81" Target="https://www.nature.com/articles/s41586-024-08328-6" TargetMode="External" /></Relationships>
</file>

<file path=word/_rels/footnotes.xml.rels><?xml version="1.0" encoding="UTF-8"?><Relationships xmlns="http://schemas.openxmlformats.org/package/2006/relationships"><Relationship Type="http://schemas.openxmlformats.org/officeDocument/2006/relationships/hyperlink" Id="rId90" Target="https://arxiv.org/abs/2004.02349" TargetMode="External" /><Relationship Type="http://schemas.openxmlformats.org/officeDocument/2006/relationships/hyperlink" Id="rId89" Target="https://arxiv.org/abs/2005.08314" TargetMode="External" /><Relationship Type="http://schemas.openxmlformats.org/officeDocument/2006/relationships/hyperlink" Id="rId91" Target="https://arxiv.org/abs/2006.14806" TargetMode="External" /><Relationship Type="http://schemas.openxmlformats.org/officeDocument/2006/relationships/hyperlink" Id="rId24" Target="https://arxiv.org/abs/2402.11137" TargetMode="External" /><Relationship Type="http://schemas.openxmlformats.org/officeDocument/2006/relationships/hyperlink" Id="rId60" Target="https://arxiv.org/abs/2410.18164" TargetMode="External" /><Relationship Type="http://schemas.openxmlformats.org/officeDocument/2006/relationships/hyperlink" Id="rId26" Target="https://arxiv.org/abs/2411.10634" TargetMode="External" /><Relationship Type="http://schemas.openxmlformats.org/officeDocument/2006/relationships/hyperlink" Id="rId80" Target="https://arxiv.org/abs/2502.05564" TargetMode="External" /><Relationship Type="http://schemas.openxmlformats.org/officeDocument/2006/relationships/hyperlink" Id="rId87" Target="https://arxiv.org/abs/2509.00326" TargetMode="External" /><Relationship Type="http://schemas.openxmlformats.org/officeDocument/2006/relationships/hyperlink" Id="rId84" Target="https://arxiv.org/abs/2510.21204" TargetMode="External" /><Relationship Type="http://schemas.openxmlformats.org/officeDocument/2006/relationships/hyperlink" Id="rId86" Target="https://arxiv.org/abs/2511.02818" TargetMode="External" /><Relationship Type="http://schemas.openxmlformats.org/officeDocument/2006/relationships/hyperlink" Id="rId82" Target="https://arxiv.org/abs/2511.08667" TargetMode="External" /><Relationship Type="http://schemas.openxmlformats.org/officeDocument/2006/relationships/hyperlink" Id="rId94" Target="https://arxiv.org/html/2506.16791v1" TargetMode="External" /><Relationship Type="http://schemas.openxmlformats.org/officeDocument/2006/relationships/hyperlink" Id="rId23" Target="https://arxiv.org/html/2507.03971v1" TargetMode="External" /><Relationship Type="http://schemas.openxmlformats.org/officeDocument/2006/relationships/hyperlink" Id="rId25" Target="https://arxiv.org/html/2509.03505v2" TargetMode="External" /><Relationship Type="http://schemas.openxmlformats.org/officeDocument/2006/relationships/hyperlink" Id="rId21" Target="https://arxiv.org/html/2602.11139" TargetMode="External" /><Relationship Type="http://schemas.openxmlformats.org/officeDocument/2006/relationships/hyperlink" Id="rId66" Target="https://arxiv.org/pdf/2506.16791" TargetMode="External" /><Relationship Type="http://schemas.openxmlformats.org/officeDocument/2006/relationships/hyperlink" Id="rId78" Target="https://auto.gluon.ai/dev/tutorials/tabular/tabular-foundational-models.html" TargetMode="External" /><Relationship Type="http://schemas.openxmlformats.org/officeDocument/2006/relationships/hyperlink" Id="rId85" Target="https://auto.gluon.ai/stable/api/autogluon.tabular.models.html" TargetMode="External" /><Relationship Type="http://schemas.openxmlformats.org/officeDocument/2006/relationships/hyperlink" Id="rId83" Target="https://github.com/layer6ai-labs/TabDPT-inference" TargetMode="External" /><Relationship Type="http://schemas.openxmlformats.org/officeDocument/2006/relationships/hyperlink" Id="rId77" Target="https://github.com/soda-inria/nanotabicl" TargetMode="External" /><Relationship Type="http://schemas.openxmlformats.org/officeDocument/2006/relationships/hyperlink" Id="rId22" Target="https://github.com/soda-inria/tabicl" TargetMode="External" /><Relationship Type="http://schemas.openxmlformats.org/officeDocument/2006/relationships/hyperlink" Id="rId73" Target="https://github.com/soda-inria/tabicl/blob/main/LICENSE" TargetMode="External" /><Relationship Type="http://schemas.openxmlformats.org/officeDocument/2006/relationships/hyperlink" Id="rId43" Target="https://github.com/soda-inria/tabicl/blob/main/scripts/train_stage1.sh" TargetMode="External" /><Relationship Type="http://schemas.openxmlformats.org/officeDocument/2006/relationships/hyperlink" Id="rId52" Target="https://huggingface.co/docs/transformers/model_doc/table-transformer" TargetMode="External" /><Relationship Type="http://schemas.openxmlformats.org/officeDocument/2006/relationships/hyperlink" Id="rId27" Target="https://huggingface.co/jingang/TabICL" TargetMode="External" /><Relationship Type="http://schemas.openxmlformats.org/officeDocument/2006/relationships/hyperlink" Id="rId51" Target="https://openreview.net/pdf?id=kjZN7kBCit" TargetMode="External" /><Relationship Type="http://schemas.openxmlformats.org/officeDocument/2006/relationships/hyperlink" Id="rId81" Target="https://www.nature.com/articles/s41586-024-08328-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2026-03-16T12:42:00Z</dcterms:created>
  <dcterms:modified xsi:type="dcterms:W3CDTF">2026-03-16T12:42:00Z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