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Quantum-Inspired Machine Learning on MNIST</w:t>
      </w:r>
    </w:p>
    <w:p>
      <w:r>
        <w:t>Final project report and reproducibility notes</w:t>
      </w:r>
    </w:p>
    <w:p>
      <w:r>
        <w:t>Project status: experiments summarized; no quantum computational advantage demonstrated.</w:t>
      </w:r>
    </w:p>
    <w:p>
      <w:pPr>
        <w:pStyle w:val="Heading1"/>
      </w:pPr>
      <w:r>
        <w:t>Abstract</w:t>
      </w:r>
    </w:p>
    <w:p>
      <w:r>
        <w:t>This project investigated hybrid quantum-classical classifiers for MNIST using an eight-feature representation derived from PCA and compared them with classical baselines. Initial hybrid models underperformed the classical baseline. Circuit ablations then showed that a three-layer circuit without entanglement performed substantially better on the project’s 1,000-image test subset. Analysis of the circuit revealed that its measured features reduce to a classical cosine transformation, f_i(x)=cos(x_i+φ_i), where φ_i is the sum of trainable rotation parameters for feature i. A classical model implementing this transformation reproduced the non-entangled circuit’s performance and outperformed a parameter-matched MLP in the subsequent experiments. On all 10,000 official MNIST test images, the cosine-feature model achieved 86.31% mean accuracy across three seeds versus 83.82% for the matched MLP. These findings support the usefulness of the cosine feature map but do not establish quantum advantage.</w:t>
      </w:r>
    </w:p>
    <w:p>
      <w:pPr>
        <w:pStyle w:val="Heading1"/>
      </w:pPr>
      <w:r>
        <w:t>1. Methods</w:t>
      </w:r>
    </w:p>
    <w:p>
      <w:pPr>
        <w:pStyle w:val="Heading2"/>
      </w:pPr>
      <w:r>
        <w:t>Data and preprocessing</w:t>
      </w:r>
    </w:p>
    <w:p>
      <w:r>
        <w:t>MNIST was represented using eight PCA components. PCA was fit on the training data only, and the training-fitted PCA transform was applied to test data. A MinMaxScaler mapped training PCA features to [0, π]; the same scaler was applied to test data, clipping values outside the training range. The small-data setting used 200 examples per class (2,000 training images) and 100 per class (1,000 test images). The larger setting used 4,000 examples per class (40,000 training images) while retaining the same 1,000-image balanced test subset. The final evaluation used all 10,000 official MNIST test images, with class counts [980, 1135, 1032, 1010, 982, 892, 958, 1028, 974, 1009].</w:t>
      </w:r>
    </w:p>
    <w:p>
      <w:r>
        <w:t>The per-class sampling procedure uses a fixed seed and truncates a seeded permutation. Consequently, the 2,000-image training subset is nested within the 40,000-image subset for the same seed. Increasing training size also refits PCA and the scaler, so results across these settings are not a pure training-size-only comparison.</w:t>
      </w:r>
    </w:p>
    <w:p>
      <w:pPr>
        <w:pStyle w:val="Heading2"/>
      </w:pPr>
      <w:r>
        <w:t>Models</w:t>
      </w:r>
    </w:p>
    <w:p>
      <w:r>
        <w:t>The standard classical baseline is an MLP 8→16→10 with ReLU and 314 trainable parameters. The parameter-matched control is an MLP 8→17→10 with 333 parameters. The cosine-feature control first computes cos(x+φ), with trainable per-feature phase offsets formed by summing three learned phase vectors, then applies an 8→16→10 ReLU classifier (338 trainable parameters). The original hybrid model uses an eight-qubit variational circuit with RY input encoding, trainable RY rotations, and nearest-neighbor plus ring-closing CX entanglers in the entangled variants. Exact statevector simulation and parameter-shift gradients run on CPU; classical model training runs on CUDA.</w:t>
      </w:r>
    </w:p>
    <w:p>
      <w:pPr>
        <w:pStyle w:val="Heading2"/>
      </w:pPr>
      <w:r>
        <w:t>Training protocol</w:t>
      </w:r>
    </w:p>
    <w:p>
      <w:r>
        <w:t>Unless otherwise noted, the comparative experiments used seeds 42, 123, and 2026; cross-entropy loss; 10 epochs; batch size 16; learning rate 0.01; and Adam as implemented in the project scripts. The fair benchmark used the same data manifest and settings for the classical baseline and three-layer hybrid model. Experiment 5 used the same 40,000-image training manifest to compare the cosine model with a parameter-matched MLP. Experiment 6 reconstructed preprocessing and verified an exact match to the saved training features (maximum absolute difference 0), then evaluated the saved Experiment 5 checkpoints on all 10,000 official test images.</w:t>
      </w:r>
    </w:p>
    <w:p>
      <w:r>
        <w:t>Statistical paired comparisons in Experiment 8 used an exact two-sided binomial test on discordant predictions (McNemar exact test), with Holm correction over the three seeds. The three seeds share the same test images; they are repeated model initializations, not independent test sets.</w:t>
      </w:r>
    </w:p>
    <w:p>
      <w:pPr>
        <w:pStyle w:val="Heading1"/>
      </w:pPr>
      <w:r>
        <w:t>2. Results</w:t>
      </w:r>
    </w:p>
    <w:p>
      <w:r>
        <w:t>The full experiment-by-experiment table is provided separately as final_results_table.csv. Key results are:</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Comparison</w:t>
            </w:r>
          </w:p>
        </w:tc>
        <w:tc>
          <w:tcPr>
            <w:tcW w:type="dxa" w:w="2520"/>
          </w:tcPr>
          <w:p>
            <w:r>
              <w:t>Mean accuracy</w:t>
            </w:r>
          </w:p>
        </w:tc>
        <w:tc>
          <w:tcPr>
            <w:tcW w:type="dxa" w:w="2520"/>
          </w:tcPr>
          <w:p>
            <w:r>
              <w:t>Mean macro-F1</w:t>
            </w:r>
          </w:p>
        </w:tc>
        <w:tc>
          <w:tcPr>
            <w:tcW w:type="dxa" w:w="2520"/>
          </w:tcPr>
          <w:p>
            <w:r>
              <w:t>Mean test loss</w:t>
            </w:r>
          </w:p>
        </w:tc>
      </w:tr>
      <w:tr>
        <w:tc>
          <w:tcPr>
            <w:tcW w:type="dxa" w:w="2520"/>
          </w:tcPr>
          <w:p>
            <w:r>
              <w:t>Fair benchmark: classical baseline</w:t>
            </w:r>
          </w:p>
        </w:tc>
        <w:tc>
          <w:tcPr>
            <w:tcW w:type="dxa" w:w="2520"/>
          </w:tcPr>
          <w:p>
            <w:r>
              <w:t>74.93% ± 1.40 pp</w:t>
            </w:r>
          </w:p>
        </w:tc>
        <w:tc>
          <w:tcPr>
            <w:tcW w:type="dxa" w:w="2520"/>
          </w:tcPr>
          <w:p>
            <w:r>
              <w:t>0.7495 ± 0.0137</w:t>
            </w:r>
          </w:p>
        </w:tc>
        <w:tc>
          <w:tcPr>
            <w:tcW w:type="dxa" w:w="2520"/>
          </w:tcPr>
          <w:p>
            <w:r>
              <w:t>0.7521 ± 0.0381</w:t>
            </w:r>
          </w:p>
        </w:tc>
      </w:tr>
      <w:tr>
        <w:tc>
          <w:tcPr>
            <w:tcW w:type="dxa" w:w="2520"/>
          </w:tcPr>
          <w:p>
            <w:r>
              <w:t>Fair benchmark: 3-layer hybrid</w:t>
            </w:r>
          </w:p>
        </w:tc>
        <w:tc>
          <w:tcPr>
            <w:tcW w:type="dxa" w:w="2520"/>
          </w:tcPr>
          <w:p>
            <w:r>
              <w:t>69.40% ± 3.16 pp</w:t>
            </w:r>
          </w:p>
        </w:tc>
        <w:tc>
          <w:tcPr>
            <w:tcW w:type="dxa" w:w="2520"/>
          </w:tcPr>
          <w:p>
            <w:r>
              <w:t>0.6928 ± 0.0323</w:t>
            </w:r>
          </w:p>
        </w:tc>
        <w:tc>
          <w:tcPr>
            <w:tcW w:type="dxa" w:w="2520"/>
          </w:tcPr>
          <w:p>
            <w:r>
              <w:t>0.9252 ± 0.0692</w:t>
            </w:r>
          </w:p>
        </w:tc>
      </w:tr>
      <w:tr>
        <w:tc>
          <w:tcPr>
            <w:tcW w:type="dxa" w:w="2520"/>
          </w:tcPr>
          <w:p>
            <w:r>
              <w:t>Experiment 3: cosine control, 2k train</w:t>
            </w:r>
          </w:p>
        </w:tc>
        <w:tc>
          <w:tcPr>
            <w:tcW w:type="dxa" w:w="2520"/>
          </w:tcPr>
          <w:p>
            <w:r>
              <w:t>80.97% ± 0.72 pp</w:t>
            </w:r>
          </w:p>
        </w:tc>
        <w:tc>
          <w:tcPr>
            <w:tcW w:type="dxa" w:w="2520"/>
          </w:tcPr>
          <w:p>
            <w:r>
              <w:t>0.8094 ± 0.0077</w:t>
            </w:r>
          </w:p>
        </w:tc>
        <w:tc>
          <w:tcPr>
            <w:tcW w:type="dxa" w:w="2520"/>
          </w:tcPr>
          <w:p>
            <w:r>
              <w:t>0.5780 ± 0.0082</w:t>
            </w:r>
          </w:p>
        </w:tc>
      </w:tr>
      <w:tr>
        <w:tc>
          <w:tcPr>
            <w:tcW w:type="dxa" w:w="2520"/>
          </w:tcPr>
          <w:p>
            <w:r>
              <w:t>Experiment 5: parameter-matched MLP, 40k</w:t>
            </w:r>
          </w:p>
        </w:tc>
        <w:tc>
          <w:tcPr>
            <w:tcW w:type="dxa" w:w="2520"/>
          </w:tcPr>
          <w:p>
            <w:r>
              <w:t>82.67% ± 1.93 pp</w:t>
            </w:r>
          </w:p>
        </w:tc>
        <w:tc>
          <w:tcPr>
            <w:tcW w:type="dxa" w:w="2520"/>
          </w:tcPr>
          <w:p>
            <w:r>
              <w:t>0.8274 ± 0.0183</w:t>
            </w:r>
          </w:p>
        </w:tc>
        <w:tc>
          <w:tcPr>
            <w:tcW w:type="dxa" w:w="2520"/>
          </w:tcPr>
          <w:p>
            <w:r>
              <w:t>0.5135 ± 0.0521</w:t>
            </w:r>
          </w:p>
        </w:tc>
      </w:tr>
      <w:tr>
        <w:tc>
          <w:tcPr>
            <w:tcW w:type="dxa" w:w="2520"/>
          </w:tcPr>
          <w:p>
            <w:r>
              <w:t>Experiment 5: cosine control, 40k</w:t>
            </w:r>
          </w:p>
        </w:tc>
        <w:tc>
          <w:tcPr>
            <w:tcW w:type="dxa" w:w="2520"/>
          </w:tcPr>
          <w:p>
            <w:r>
              <w:t>85.60% ± 0.79 pp</w:t>
            </w:r>
          </w:p>
        </w:tc>
        <w:tc>
          <w:tcPr>
            <w:tcW w:type="dxa" w:w="2520"/>
          </w:tcPr>
          <w:p>
            <w:r>
              <w:t>0.8564 ± 0.0075</w:t>
            </w:r>
          </w:p>
        </w:tc>
        <w:tc>
          <w:tcPr>
            <w:tcW w:type="dxa" w:w="2520"/>
          </w:tcPr>
          <w:p>
            <w:r>
              <w:t>0.4342 ± 0.0235</w:t>
            </w:r>
          </w:p>
        </w:tc>
      </w:tr>
      <w:tr>
        <w:tc>
          <w:tcPr>
            <w:tcW w:type="dxa" w:w="2520"/>
          </w:tcPr>
          <w:p>
            <w:r>
              <w:t>Experiment 6: matched MLP, full test</w:t>
            </w:r>
          </w:p>
        </w:tc>
        <w:tc>
          <w:tcPr>
            <w:tcW w:type="dxa" w:w="2520"/>
          </w:tcPr>
          <w:p>
            <w:r>
              <w:t>83.82% ± 1.25 pp</w:t>
            </w:r>
          </w:p>
        </w:tc>
        <w:tc>
          <w:tcPr>
            <w:tcW w:type="dxa" w:w="2520"/>
          </w:tcPr>
          <w:p>
            <w:r>
              <w:t>0.8354 ± 0.0121</w:t>
            </w:r>
          </w:p>
        </w:tc>
        <w:tc>
          <w:tcPr>
            <w:tcW w:type="dxa" w:w="2520"/>
          </w:tcPr>
          <w:p>
            <w:r>
              <w:t>0.4970 ± 0.0388</w:t>
            </w:r>
          </w:p>
        </w:tc>
      </w:tr>
      <w:tr>
        <w:tc>
          <w:tcPr>
            <w:tcW w:type="dxa" w:w="2520"/>
          </w:tcPr>
          <w:p>
            <w:r>
              <w:t>Experiment 6: cosine control, full test</w:t>
            </w:r>
          </w:p>
        </w:tc>
        <w:tc>
          <w:tcPr>
            <w:tcW w:type="dxa" w:w="2520"/>
          </w:tcPr>
          <w:p>
            <w:r>
              <w:t>86.31% ± 0.41 pp</w:t>
            </w:r>
          </w:p>
        </w:tc>
        <w:tc>
          <w:tcPr>
            <w:tcW w:type="dxa" w:w="2520"/>
          </w:tcPr>
          <w:p>
            <w:r>
              <w:t>0.8611 ± 0.0043</w:t>
            </w:r>
          </w:p>
        </w:tc>
        <w:tc>
          <w:tcPr>
            <w:tcW w:type="dxa" w:w="2520"/>
          </w:tcPr>
          <w:p>
            <w:r>
              <w:t>0.4147 ± 0.0101</w:t>
            </w:r>
          </w:p>
        </w:tc>
      </w:tr>
    </w:tbl>
    <w:p>
      <w:r>
        <w:t>On the full test set, cosine-control accuracy exceeded the matched MLP by 2.49 percentage points on average. Mean test loss decreased from 0.4970 to 0.4147 (approximately 16.6%). Per-digit analysis found higher mean F1 for the cosine model for all ten digits. The largest average F1 improvements were for digit 5 (+0.0652), digit 3 (+0.0405), and digit 0 (+0.0343).</w:t>
      </w:r>
    </w:p>
    <w:p>
      <w:r>
        <w:t>The three Experiment 8 paired tests found accuracy gains of +1.77, +2.01, and +3.68 percentage points for seeds 42, 123, and 2026, respectively. Exact two-sided p-values were approximately 3.06×10⁻¹¹, 2.11×10⁻¹³, and 9.74×10⁻³¹. All remained significant after Holm correction. Values printed as 0.0 for adjusted p-values are floating-point underflow/formatting, not literal zero.</w:t>
      </w:r>
    </w:p>
    <w:p>
      <w:pPr>
        <w:pStyle w:val="Heading1"/>
      </w:pPr>
      <w:r>
        <w:t>3. Discussion</w:t>
      </w:r>
    </w:p>
    <w:p>
      <w:r>
        <w:t>The most important finding is the classical equivalence of the high-performing non-entangled circuit. With only RY rotations and Z-basis measurement, each measured feature can be expressed as cos(x_i+φ_i). A classical implementation therefore reproduces the relevant feature computation without statevector simulation. The cosine control matched the circuit’s accuracy and macro-F1 on the small subset and later performed better than a parameter-matched MLP on the 40,000-image training setup and full official test set. The evidence suggests the cosine feature map is a useful inductive bias for this representation, not that quantum hardware or quantum computation is necessary to obtain it.</w:t>
      </w:r>
    </w:p>
    <w:p>
      <w:r>
        <w:t>The entangled hybrid model was both slower and less accurate than the classical baseline in the fair benchmark. This project therefore does not demonstrate a quantum computational advantage. The contribution is instead a controlled empirical analysis that exposed a classical explanation for the best-performing quantum-inspired circuit and showed that the classical analogue retains the observed benefit.</w:t>
      </w:r>
    </w:p>
    <w:p>
      <w:pPr>
        <w:pStyle w:val="Heading1"/>
      </w:pPr>
      <w:r>
        <w:t>4. Limitations</w:t>
      </w:r>
    </w:p>
    <w:p>
      <w:pPr>
        <w:pStyle w:val="ListBullet"/>
      </w:pPr>
      <w:r>
        <w:t>The official 10,000-image MNIST test set was used for evaluation after earlier experiments had already used a 1,000-image subset from it. It is therefore not a completely untouched final holdout; reported full-test performance should be interpreted with this caveat.</w:t>
      </w:r>
    </w:p>
    <w:p>
      <w:pPr>
        <w:pStyle w:val="ListBullet"/>
      </w:pPr>
      <w:r>
        <w:t>The three seeds share the same test images and are not independent test-set replications. Paired significance tests compare predictions for each checkpoint on the same examples; they do not establish broad generalization across datasets.</w:t>
      </w:r>
    </w:p>
    <w:p>
      <w:pPr>
        <w:pStyle w:val="ListBullet"/>
      </w:pPr>
      <w:r>
        <w:t>The matched MLP is a useful control but not an exhaustive sweep of classical architectures, activations, feature maps, optimizers, or hyperparameters. Stronger classical controls may narrow the performance gap.</w:t>
      </w:r>
    </w:p>
    <w:p>
      <w:pPr>
        <w:pStyle w:val="ListBullet"/>
      </w:pPr>
      <w:r>
        <w:t>The cosine model has 338 parameters versus 333 in the matched MLP, a small but nonzero difference. Parameter matching alone does not ensure equal hypothesis classes or optimization difficulty.</w:t>
      </w:r>
    </w:p>
    <w:p>
      <w:pPr>
        <w:pStyle w:val="ListBullet"/>
      </w:pPr>
      <w:r>
        <w:t>The 40,000-image and 2,000-image experiments refit PCA/scaling, so performance changes reflect both additional training examples and a changed fitted representation.</w:t>
      </w:r>
    </w:p>
    <w:p>
      <w:pPr>
        <w:pStyle w:val="ListBullet"/>
      </w:pPr>
      <w:r>
        <w:t>Exact statevector simulation is not a hardware benchmark. Simulation time and gradient costs do not directly represent runtime on quantum hardware.</w:t>
      </w:r>
    </w:p>
    <w:p>
      <w:pPr>
        <w:pStyle w:val="ListBullet"/>
      </w:pPr>
      <w:r>
        <w:t>No quantum advantage, computational complexity separation, hardware noise robustness, or out-of-distribution benefit was demonstrated.</w:t>
      </w:r>
    </w:p>
    <w:p>
      <w:pPr>
        <w:pStyle w:val="Heading1"/>
      </w:pPr>
      <w:r>
        <w:t>5. Reproducibility and project configuration</w:t>
      </w:r>
    </w:p>
    <w:tbl>
      <w:tblPr>
        <w:tblStyle w:val="LightShading-Accent1"/>
        <w:tblW w:type="auto" w:w="0"/>
        <w:tblLook w:firstColumn="1" w:firstRow="1" w:lastColumn="0" w:lastRow="0" w:noHBand="0" w:noVBand="1" w:val="04A0"/>
      </w:tblPr>
      <w:tblGrid>
        <w:gridCol w:w="5040"/>
        <w:gridCol w:w="5040"/>
      </w:tblGrid>
      <w:tr>
        <w:tc>
          <w:tcPr>
            <w:tcW w:type="dxa" w:w="5040"/>
          </w:tcPr>
          <w:p>
            <w:r>
              <w:t>Python</w:t>
            </w:r>
          </w:p>
        </w:tc>
        <w:tc>
          <w:tcPr>
            <w:tcW w:type="dxa" w:w="5040"/>
          </w:tcPr>
          <w:p>
            <w:r>
              <w:t>3.10.14</w:t>
            </w:r>
          </w:p>
        </w:tc>
      </w:tr>
      <w:tr>
        <w:tc>
          <w:tcPr>
            <w:tcW w:type="dxa" w:w="5040"/>
          </w:tcPr>
          <w:p>
            <w:r>
              <w:t>PyTorch</w:t>
            </w:r>
          </w:p>
        </w:tc>
        <w:tc>
          <w:tcPr>
            <w:tcW w:type="dxa" w:w="5040"/>
          </w:tcPr>
          <w:p>
            <w:r>
              <w:t>2.6.0+cu124</w:t>
            </w:r>
          </w:p>
        </w:tc>
      </w:tr>
      <w:tr>
        <w:tc>
          <w:tcPr>
            <w:tcW w:type="dxa" w:w="5040"/>
          </w:tcPr>
          <w:p>
            <w:r>
              <w:t>scikit-learn</w:t>
            </w:r>
          </w:p>
        </w:tc>
        <w:tc>
          <w:tcPr>
            <w:tcW w:type="dxa" w:w="5040"/>
          </w:tcPr>
          <w:p>
            <w:r>
              <w:t>1.7.2</w:t>
            </w:r>
          </w:p>
        </w:tc>
      </w:tr>
      <w:tr>
        <w:tc>
          <w:tcPr>
            <w:tcW w:type="dxa" w:w="5040"/>
          </w:tcPr>
          <w:p>
            <w:r>
              <w:t>Qiskit</w:t>
            </w:r>
          </w:p>
        </w:tc>
        <w:tc>
          <w:tcPr>
            <w:tcW w:type="dxa" w:w="5040"/>
          </w:tcPr>
          <w:p>
            <w:r>
              <w:t>1.2.4</w:t>
            </w:r>
          </w:p>
        </w:tc>
      </w:tr>
      <w:tr>
        <w:tc>
          <w:tcPr>
            <w:tcW w:type="dxa" w:w="5040"/>
          </w:tcPr>
          <w:p>
            <w:r>
              <w:t>Qiskit Aer</w:t>
            </w:r>
          </w:p>
        </w:tc>
        <w:tc>
          <w:tcPr>
            <w:tcW w:type="dxa" w:w="5040"/>
          </w:tcPr>
          <w:p>
            <w:r>
              <w:t>0.15.1</w:t>
            </w:r>
          </w:p>
        </w:tc>
      </w:tr>
      <w:tr>
        <w:tc>
          <w:tcPr>
            <w:tcW w:type="dxa" w:w="5040"/>
          </w:tcPr>
          <w:p>
            <w:r>
              <w:t>GPU</w:t>
            </w:r>
          </w:p>
        </w:tc>
        <w:tc>
          <w:tcPr>
            <w:tcW w:type="dxa" w:w="5040"/>
          </w:tcPr>
          <w:p>
            <w:r>
              <w:t>NVIDIA RTX 3050 Laptop GPU (classical training)</w:t>
            </w:r>
          </w:p>
        </w:tc>
      </w:tr>
      <w:tr>
        <w:tc>
          <w:tcPr>
            <w:tcW w:type="dxa" w:w="5040"/>
          </w:tcPr>
          <w:p>
            <w:r>
              <w:t>Qubits / input features</w:t>
            </w:r>
          </w:p>
        </w:tc>
        <w:tc>
          <w:tcPr>
            <w:tcW w:type="dxa" w:w="5040"/>
          </w:tcPr>
          <w:p>
            <w:r>
              <w:t>8</w:t>
            </w:r>
          </w:p>
        </w:tc>
      </w:tr>
      <w:tr>
        <w:tc>
          <w:tcPr>
            <w:tcW w:type="dxa" w:w="5040"/>
          </w:tcPr>
          <w:p>
            <w:r>
              <w:t>Default small-data sample count</w:t>
            </w:r>
          </w:p>
        </w:tc>
        <w:tc>
          <w:tcPr>
            <w:tcW w:type="dxa" w:w="5040"/>
          </w:tcPr>
          <w:p>
            <w:r>
              <w:t>200 training examples per class; 100 test examples per class</w:t>
            </w:r>
          </w:p>
        </w:tc>
      </w:tr>
      <w:tr>
        <w:tc>
          <w:tcPr>
            <w:tcW w:type="dxa" w:w="5040"/>
          </w:tcPr>
          <w:p>
            <w:r>
              <w:t>Large-data sample count</w:t>
            </w:r>
          </w:p>
        </w:tc>
        <w:tc>
          <w:tcPr>
            <w:tcW w:type="dxa" w:w="5040"/>
          </w:tcPr>
          <w:p>
            <w:r>
              <w:t>4,000 training examples per class; 100 test examples per class</w:t>
            </w:r>
          </w:p>
        </w:tc>
      </w:tr>
      <w:tr>
        <w:tc>
          <w:tcPr>
            <w:tcW w:type="dxa" w:w="5040"/>
          </w:tcPr>
          <w:p>
            <w:r>
              <w:t>Seeds</w:t>
            </w:r>
          </w:p>
        </w:tc>
        <w:tc>
          <w:tcPr>
            <w:tcW w:type="dxa" w:w="5040"/>
          </w:tcPr>
          <w:p>
            <w:r>
              <w:t>42, 123, 2026 for multi-seed comparisons</w:t>
            </w:r>
          </w:p>
        </w:tc>
      </w:tr>
      <w:tr>
        <w:tc>
          <w:tcPr>
            <w:tcW w:type="dxa" w:w="5040"/>
          </w:tcPr>
          <w:p>
            <w:r>
              <w:t>Epochs / batch size / learning rate</w:t>
            </w:r>
          </w:p>
        </w:tc>
        <w:tc>
          <w:tcPr>
            <w:tcW w:type="dxa" w:w="5040"/>
          </w:tcPr>
          <w:p>
            <w:r>
              <w:t>10 / 16 / 0.01</w:t>
            </w:r>
          </w:p>
        </w:tc>
      </w:tr>
      <w:tr>
        <w:tc>
          <w:tcPr>
            <w:tcW w:type="dxa" w:w="5040"/>
          </w:tcPr>
          <w:p>
            <w:r>
              <w:t>Preprocessing</w:t>
            </w:r>
          </w:p>
        </w:tc>
        <w:tc>
          <w:tcPr>
            <w:tcW w:type="dxa" w:w="5040"/>
          </w:tcPr>
          <w:p>
            <w:r>
              <w:t>PCA(8), fit on train only; MinMaxScaler to [0, π], fit on train only</w:t>
            </w:r>
          </w:p>
        </w:tc>
      </w:tr>
      <w:tr>
        <w:tc>
          <w:tcPr>
            <w:tcW w:type="dxa" w:w="5040"/>
          </w:tcPr>
          <w:p>
            <w:r>
              <w:t>Final test</w:t>
            </w:r>
          </w:p>
        </w:tc>
        <w:tc>
          <w:tcPr>
            <w:tcW w:type="dxa" w:w="5040"/>
          </w:tcPr>
          <w:p>
            <w:r>
              <w:t>All 10,000 official MNIST test images</w:t>
            </w:r>
          </w:p>
        </w:tc>
      </w:tr>
      <w:tr>
        <w:tc>
          <w:tcPr>
            <w:tcW w:type="dxa" w:w="5040"/>
          </w:tcPr>
          <w:p>
            <w:r>
              <w:t>Project root (reported by user)</w:t>
            </w:r>
          </w:p>
        </w:tc>
        <w:tc>
          <w:tcPr>
            <w:tcW w:type="dxa" w:w="5040"/>
          </w:tcPr>
          <w:p>
            <w:r>
              <w:t>~/Desktop/qskit/quantum_mnist</w:t>
            </w:r>
          </w:p>
        </w:tc>
      </w:tr>
    </w:tbl>
    <w:p>
      <w:r>
        <w:t>Important output directories (relative to the project root): outputs/multiclass/; outputs/experiment_8qubits/; outputs/experiment_8qubits_nonlinear_head/; outputs/experiment_8qubits_nonlinear_head_seed123/; outputs/experiment_8qubits_weighted_loss/; outputs/experiment_8qubits_3layers_weighted_loss/; outputs/fair_classical_vs_quantum/; outputs/experiment1_classical_control/; outputs/experiment2_circuit_ablation/; outputs/experiment3_cosine_control/; outputs/experiment4_40k/; outputs/experiment5_parameter_match/; outputs/experiment6_full_test/; outputs/experiment7_error_analysis/; outputs/experiment8_paired_test/.</w:t>
      </w:r>
    </w:p>
    <w:p>
      <w:r>
        <w:t>Key scripts reported: benchmark_fair.py, experiment1_classical_control.py, experiment2_circuit_ablation.py, experiment3_cosine_control.py, experiment4_40k.py, experiment5_parameter_match.py, experiment6_full_test.py, experiment7_error_analysis.py, experiment8_paired_test.py; plus config.py, data_loader.py, preprocessing.py, models.py, quantum_circuit.py, and quantum_layer.py.</w:t>
      </w:r>
    </w:p>
    <w:p>
      <w:pPr>
        <w:pStyle w:val="Heading1"/>
      </w:pPr>
      <w:r>
        <w:t>6. Preservation checklist</w:t>
      </w:r>
    </w:p>
    <w:p>
      <w:pPr>
        <w:pStyle w:val="ListBullet"/>
      </w:pPr>
      <w:r>
        <w:t>Keep all experiment scripts and core source files under version control or in a dated archive.</w:t>
      </w:r>
    </w:p>
    <w:p>
      <w:pPr>
        <w:pStyle w:val="ListBullet"/>
      </w:pPr>
      <w:r>
        <w:t>Keep outputs/*/runs.csv, comparison_mean_std.csv, training_history.csv, prediction CSVs, manifests, and confusion/error-analysis outputs.</w:t>
      </w:r>
    </w:p>
    <w:p>
      <w:pPr>
        <w:pStyle w:val="ListBullet"/>
      </w:pPr>
      <w:r>
        <w:t>Keep model checkpoints required for Experiment 6 evaluation.</w:t>
      </w:r>
    </w:p>
    <w:p>
      <w:pPr>
        <w:pStyle w:val="ListBullet"/>
      </w:pPr>
      <w:r>
        <w:t>Record the Python package versions and hardware used; ideally export pip freeze to requirements-lock.txt.</w:t>
      </w:r>
    </w:p>
    <w:p>
      <w:pPr>
        <w:pStyle w:val="ListBullet"/>
      </w:pPr>
      <w:r>
        <w:t>Generate SHA-256 checksums for the archive and key output files.</w:t>
      </w:r>
    </w:p>
    <w:p>
      <w:pPr>
        <w:pStyle w:val="ListBullet"/>
      </w:pPr>
      <w:r>
        <w:t>Do not overwrite earlier experiment output directories; use a new dated archive for this finalized state.</w:t>
      </w:r>
    </w:p>
    <w:p>
      <w:pPr>
        <w:pStyle w:val="Heading1"/>
      </w:pPr>
      <w:r>
        <w:t>Conclusion</w:t>
      </w:r>
    </w:p>
    <w:p>
      <w:r>
        <w:t>The project can be closed as a quantum-inspired machine learning study. It shows that a cosine feature map motivated by a non-entangled variational circuit improves over the tested parameter-matched MLP on MNIST, including the full official test set. The central scientific conclusion is classical reproducibility of the observed benefit; quantum advantage remains unproven.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