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ackground w:color="FAF9F7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rPr>
          <w:rFonts w:ascii="Microsoft Yahei" w:hAnsi="Microsoft Yahei" w:eastAsia="Microsoft Yahei" w:cs="Microsoft Yahei"/>
          <w:b w:val="1"/>
          <w:bCs w:val="1"/>
          <w:color w:val="111111"/>
          <w:sz w:val="28"/>
          <w:szCs w:val="28"/>
        </w:rPr>
        <w:spacing w:before="40" w:after="0" w:line="240" w:lineRule="auto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6024245</wp:posOffset>
            </wp:positionH>
            <wp:positionV relativeFrom="paragraph">
              <wp:posOffset>95250</wp:posOffset>
            </wp:positionV>
            <wp:extent cx="846772" cy="1012806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261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772" cy="10128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rPr>
          <w:rFonts w:ascii="Microsoft Yahei" w:hAnsi="Microsoft Yahei" w:eastAsia="Microsoft Yahei" w:cs="Microsoft Yahei"/>
          <w:color w:val="111111"/>
          <w:sz w:val="18"/>
          <w:szCs w:val="18"/>
        </w:rPr>
        <w:spacing w:before="0" w:after="0" w:line="40" w:lineRule="auto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rPr>
          <w:rFonts w:ascii="Microsoft Yahei" w:hAnsi="Microsoft Yahei" w:eastAsia="Microsoft Yahei" w:cs="Microsoft Yahei"/>
          <w:b w:val="1"/>
          <w:bCs w:val="1"/>
          <w:color w:val="111111"/>
          <w:sz w:val="32"/>
          <w:szCs w:val="32"/>
        </w:rPr>
        <w:spacing w:before="40" w:after="40" w:line="276" w:lineRule="auto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32"/>
          <w:szCs w:val="32"/>
        </w:rPr>
        <w:t>王婧雯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rPr>
          <w:rFonts w:ascii="Microsoft Yahei" w:hAnsi="Microsoft Yahei" w:eastAsia="Microsoft Yahei" w:cs="Microsoft Yahei"/>
          <w:color w:val="1A1A1A"/>
          <w:sz w:val="16"/>
          <w:szCs w:val="16"/>
        </w:rPr>
        <w:spacing w:before="0" w:after="160" w:line="240" w:lineRule="auto"/>
        <w:jc w:val="left"/>
      </w:pPr>
      <w:hyperlink r:id="rId7">
        <w:r w:rsidDel="00000000" w:rsidR="00000000" w:rsidRPr="00000000">
          <w:rPr>
            <w:i w:val="0"/>
            <w:iCs w:val="0"/>
            <w:smallCaps w:val="0"/>
            <w:strike w:val="0"/>
            <w:color w:val="1A1A1A"/>
            <w:sz w:val="16"/>
            <w:szCs w:val="16"/>
            <w:u w:val="single"/>
            <w:shd w:fill="auto" w:val="clear"/>
            <w:vertAlign w:val="baseline"/>
            <w:rtl w:val="0"/>
            <w:rFonts w:ascii="Microsoft Yahei" w:hAnsi="Microsoft Yahei" w:eastAsia="Microsoft Yahei" w:cs="Microsoft Yahei"/>
          </w:rPr>
          <w:t xml:space="preserve">ankknaiii@outlook.com</w:t>
        </w:r>
      </w:hyperlink>
      <w:r w:rsidDel="00000000" w:rsidR="00000000" w:rsidRPr="00000000">
        <w:rPr>
          <w:sz w:val="16"/>
          <w:szCs w:val="16"/>
          <w:rtl w:val="0"/>
          <w:rFonts w:ascii="Microsoft Yahei" w:hAnsi="Microsoft Yahei" w:eastAsia="Microsoft Yahei" w:cs="Microsoft Yahei"/>
        </w:rPr>
        <w:t xml:space="preserve"> |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16"/>
          <w:szCs w:val="16"/>
          <w:shd w:fill="auto" w:val="clear"/>
          <w:vertAlign w:val="baseline"/>
          <w:rtl w:val="0"/>
          <w:rFonts w:ascii="Microsoft Yahei" w:hAnsi="Microsoft Yahei" w:eastAsia="Microsoft Yahei" w:cs="Microsoft Yahei"/>
        </w:rPr>
        <w:t xml:space="preserve">+86</w:t>
      </w:r>
      <w:r w:rsidDel="00000000" w:rsidR="00000000" w:rsidRPr="00000000">
        <w:rPr>
          <w:b w:val="1"/>
          <w:bCs w:val="1"/>
          <w:sz w:val="16"/>
          <w:szCs w:val="16"/>
          <w:rtl w:val="0"/>
          <w:rFonts w:ascii="Microsoft Yahei" w:hAnsi="Microsoft Yahei" w:eastAsia="Microsoft Yahei" w:cs="Microsoft Yahei"/>
        </w:rPr>
        <w:t xml:space="preserve">)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1A1A"/>
          <w:sz w:val="16"/>
          <w:szCs w:val="16"/>
          <w:shd w:fill="auto" w:val="clear"/>
          <w:vertAlign w:val="baseline"/>
          <w:rtl w:val="0"/>
          <w:rFonts w:ascii="Microsoft Yahei" w:hAnsi="Microsoft Yahei" w:eastAsia="Microsoft Yahei" w:cs="Microsoft Yahei"/>
        </w:rPr>
        <w:t xml:space="preserve">188 3822 1389</w:t>
      </w:r>
      <w:r w:rsidDel="00000000" w:rsidR="00000000" w:rsidRPr="00000000">
        <w:rPr>
          <w:sz w:val="16"/>
          <w:szCs w:val="16"/>
          <w:rtl w:val="0"/>
          <w:rFonts w:ascii="Microsoft Yahei" w:hAnsi="Microsoft Yahei" w:eastAsia="Microsoft Yahei" w:cs="Microsoft Yahei"/>
        </w:rPr>
        <w:t xml:space="preserve"> | </w:t>
      </w:r>
      <w:hyperlink r:id="rId8">
        <w:r w:rsidDel="00000000" w:rsidR="00000000" w:rsidRPr="00000000">
          <w:rPr>
            <w:rFonts w:ascii="Microsoft Yahei" w:cs="Microsoft Yahei" w:eastAsia="Microsoft Yahei" w:hAnsi="Microsoft Yahei"/>
            <w:b w:val="0"/>
            <w:bCs w:val="0"/>
            <w:i w:val="0"/>
            <w:iCs w:val="0"/>
            <w:smallCaps w:val="0"/>
            <w:strike w:val="0"/>
            <w:color w:val="1A1A1A"/>
            <w:sz w:val="16"/>
            <w:szCs w:val="16"/>
            <w:u w:val="single"/>
            <w:shd w:fill="auto" w:val="clear"/>
            <w:vertAlign w:val="baseline"/>
            <w:rtl w:val="0"/>
          </w:rPr>
          <w:t xml:space="preserve">https://www.linkedin.com/in/ankknaiii/</w:t>
        </w:r>
      </w:hyperlink>
      <w:r w:rsidDel="00000000" w:rsidR="00000000" w:rsidRPr="00000000">
        <w:rPr>
          <w:rtl w:val="0"/>
          <w:rFonts w:ascii="Microsoft Yahei" w:hAnsi="Microsoft Yahei" w:eastAsia="Microsoft Yahei" w:cs="Microsoft Yahei"/>
        </w:rPr>
      </w:r>
    </w:p>
    <w:p w:rsidR="00000000" w:rsidDel="00000000" w:rsidP="00000000" w:rsidRDefault="00000000" w:rsidRPr="00000000" w14:paraId="00000005">
      <w:pPr>
        <w:rPr>
          <w:rFonts w:ascii="Microsoft Yahei" w:hAnsi="Microsoft Yahei" w:eastAsia="Microsoft Yahei" w:cs="Microsoft Yahei"/>
          <w:color w:val="111111"/>
          <w:sz w:val="18"/>
          <w:szCs w:val="18"/>
        </w:rPr>
        <w:spacing w:before="0" w:after="0" w:line="40" w:lineRule="auto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pBdr>
          <w:bottom w:val="single" w:sz="6" w:space="1" w:color="1A1A1A"/>
        </w:pBdr>
        <w:shd w:val="clear" w:color="auto" w:fill="E4DDD4"/>
        <w:spacing w:before="220" w:after="6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核心能力</w:t>
      </w:r>
    </w:p>
    <w:p w:rsidR="00000000" w:rsidDel="00000000" w:rsidP="00000000" w:rsidRDefault="00000000" w:rsidRPr="00000000" w14:paraId="00000007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模型认知：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能够在后训练过程中对模型输出排序，并用作奖励信号将模型对齐人类偏好；并掌握与技术团队沟通的知识储备，推动功能迭代。</w:t>
      </w:r>
    </w:p>
    <w:p w:rsidR="00000000" w:rsidDel="00000000" w:rsidP="00000000" w:rsidRDefault="00000000" w:rsidRPr="00000000" w14:paraId="00000008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产品经验：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从0到1打造公司技能库产品IZY，将4类团队隐性方法论沉淀为带版本管理的可复用内容资产。个人开发项目累计消耗 400M+ Token</w:t>
      </w:r>
    </w:p>
    <w:p w:rsidR="00000000" w:rsidDel="00000000" w:rsidP="00000000" w:rsidRDefault="00000000" w:rsidRPr="00000000" w14:paraId="00000009">
      <w:pPr>
        <w:rPr>
          <w:rFonts w:ascii="Microsoft Yahei" w:hAnsi="Microsoft Yahei" w:eastAsia="Microsoft Yahei" w:cs="Microsoft Yahei"/>
          <w:color w:val="111111"/>
          <w:sz w:val="18"/>
          <w:szCs w:val="18"/>
        </w:rPr>
        <w:spacing w:before="0" w:after="0" w:line="40" w:lineRule="auto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pBdr>
          <w:bottom w:val="single" w:sz="6" w:space="1" w:color="1A1A1A"/>
        </w:pBdr>
        <w:shd w:val="clear" w:color="auto" w:fill="E4DDD4"/>
        <w:spacing w:before="220" w:after="6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工作经历</w:t>
      </w:r>
    </w:p>
    <w:p w:rsidR="00000000" w:rsidDel="00000000" w:rsidP="00000000" w:rsidRDefault="00000000" w:rsidRPr="00000000" w14:paraId="0000000B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shd w:val="clear" w:color="auto" w:fill="EDE8E1"/>
        <w:tabs>
          <w:tab w:val="right" w:leader="none" w:pos="10740"/>
        </w:tabs>
        <w:spacing w:before="14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默克 Merck KGaA 公关与品牌内容设计</w:t>
      </w:r>
      <w:r>
        <w:rPr>
          <w:rFonts w:ascii="Microsoft Yahei" w:hAnsi="Microsoft Yahei" w:eastAsia="Microsoft Yahei" w:cs="Microsoft Yahei"/>
          <w:color w:val="6B6B6B"/>
          <w:sz w:val="18"/>
          <w:szCs w:val="18"/>
        </w:rPr>
        <w:tab/>
      </w:r>
      <w:r>
        <w:rPr>
          <w:rFonts w:ascii="Microsoft Yahei" w:hAnsi="Microsoft Yahei" w:eastAsia="Microsoft Yahei" w:cs="Microsoft Yahei"/>
          <w:color w:val="6B6B6B"/>
          <w:sz w:val="17"/>
          <w:szCs w:val="17"/>
        </w:rPr>
        <w:t>2025年12月-2026年4月</w:t>
      </w:r>
    </w:p>
    <w:p w:rsidR="00000000" w:rsidDel="00000000" w:rsidP="00000000" w:rsidRDefault="00000000" w:rsidRPr="00000000" w14:paraId="0000000C">
      <w:pP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keepNext w:val="1"/>
        <w:shd w:val="clear" w:color="auto" w:fill="EDE8E1"/>
        <w:spacing w:before="10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t>公关策略</w:t>
      </w:r>
    </w:p>
    <w:p w:rsidR="00000000" w:rsidDel="00000000" w:rsidP="00000000" w:rsidRDefault="00000000" w:rsidRPr="00000000" w14:paraId="0000000D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端到端品牌体验设计（0-1）：统筹推进活动生命周期——场地、动线、内容、现场主持——以一套统一的书面交付物体系（方案、简报手册、主持脚本、互动材料）为锚点，确保每个接触点都传达同一个核心信息。锁定活动日期，并与嘉宾助理紧密合作，跟踪日程变动，推动邀请进程；设计符合传播时间线的演讲人策略；主笔3份方案陈述文件（Proposal decks）和6份面向管理层的简报手册（Briefing Books）。针对议程结构、互动形式及医药、电子科技行业披露边界撰写问答环节的应急预案，完成5轮迭代；项目期间共产出8个环节的议程文档、3轮破冰活动（如新年 trivia 问答游戏）设计，以及4套企业主持脚本/形式设计（含2轮修订）；为主旨演讲/炉边谈话撰写3套互动材料，并为业务部门负责人撰写3套提词卡。在场地层面主导东方美学叙事，将活动概念落地于外滩一处融合奢华与极简主义的艺术空间，推动品牌声量（SOV）同比提升200%，获得覆盖11个实验室/办公室/工厂的30余次媒体露出，并实现400余名员工报名参与。</w:t>
      </w:r>
      <w:r w:rsidDel="00000000" w:rsidR="00000000" w:rsidRPr="00000000">
        <w:rPr>
          <w:rtl w:val="0"/>
          <w:color w:val="111111"/>
          <w:rFonts w:ascii="Microsoft Yahei" w:hAnsi="Microsoft Yahei" w:eastAsia="Microsoft Yahei" w:cs="Microsoft Yahei"/>
        </w:rPr>
      </w:r>
    </w:p>
    <w:p w:rsidR="00000000" w:rsidDel="00000000" w:rsidP="00000000" w:rsidRDefault="00000000" w:rsidRPr="00000000" w14:paraId="0000000E">
      <w:pP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keepNext w:val="1"/>
        <w:shd w:val="clear" w:color="auto" w:fill="EDE8E1"/>
        <w:spacing w:before="10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t>品牌与内容设计</w:t>
      </w:r>
    </w:p>
    <w:p w:rsidR="00000000" w:rsidDel="00000000" w:rsidP="00000000" w:rsidRDefault="00000000" w:rsidRPr="00000000" w14:paraId="0000000F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内容运营与叙事策略：系统化管理横跨三个业务线（LS、HC、EL）的高频、品牌调性统一的内容产出。主导UI/交互流程维护及营销矩阵中所有内容的撰写、编辑与审核；将各业务线的需求转化为排期发布的内容，按计划完成三个微信公众号栏目的推文及活动发布；建立4套标准化简报（Brief）模板，涵盖文件目的、源文件、导出格式、尺寸规格、可编辑范围说明、交付截止日期及分项验收清单，将此前临时性的流程正式化。按时交付30余篇高质量微信推文、品牌主视觉、活动海报及长图，以及3轮按时上线的抽奖激励活动设计。新年微信视频获得1,359次点赞、980次分享及1,364次推荐。</w:t>
      </w:r>
    </w:p>
    <w:p w:rsidR="00000000" w:rsidDel="00000000" w:rsidP="00000000" w:rsidRDefault="00000000" w:rsidRPr="00000000" w14:paraId="00000010">
      <w:pP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keepNext w:val="1"/>
        <w:shd w:val="clear" w:color="auto" w:fill="EDE8E1"/>
        <w:spacing w:before="10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t>总部Employee Engagement Survey Campaign支持</w:t>
      </w:r>
    </w:p>
    <w:p w:rsidR="00000000" w:rsidDel="00000000" w:rsidP="00000000" w:rsidRDefault="00000000" w:rsidRPr="00000000" w14:paraId="00000011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用户反馈分析：支持落地总部对内营销活动，主导南通工厂一场30人的现场焦点小组；并将反馈综合成结构化的痛点分析。通过直接的用户研究诊断出根本问题在于内部AI工具缺乏统一入口，随后推动修复，促成3个应用集成至内网首页，并在myGPT内上线聊天机器人挂件。上线后，业务仪表盘月平均页面浏览量（PV）增长16%。</w:t>
      </w:r>
    </w:p>
    <w:p w:rsidR="00000000" w:rsidDel="00000000" w:rsidP="00000000" w:rsidRDefault="00000000" w:rsidRPr="00000000" w14:paraId="00000012">
      <w:pPr>
        <w:rPr>
          <w:rFonts w:ascii="Microsoft Yahei" w:hAnsi="Microsoft Yahei" w:eastAsia="Microsoft Yahei" w:cs="Microsoft Yahei"/>
          <w:color w:val="111111"/>
          <w:sz w:val="18"/>
          <w:szCs w:val="18"/>
        </w:rPr>
        <w:spacing w:before="0" w:after="0" w:line="40" w:lineRule="auto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pBdr>
          <w:bottom w:val="single" w:sz="6" w:space="1" w:color="1A1A1A"/>
        </w:pBdr>
        <w:shd w:val="clear" w:color="auto" w:fill="E4DDD4"/>
        <w:spacing w:before="220" w:after="6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实习经历</w:t>
      </w:r>
    </w:p>
    <w:p w:rsidR="00000000" w:rsidDel="00000000" w:rsidP="00000000" w:rsidRDefault="00000000" w:rsidRPr="00000000" w14:paraId="00000014">
      <w:pP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keepNext w:val="1"/>
        <w:shd w:val="clear" w:color="auto" w:fill="EDE8E1"/>
        <w:spacing w:before="10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t>中文在线</w:t>
      </w:r>
    </w:p>
    <w:p w:rsidR="00000000" w:rsidDel="00000000" w:rsidP="00000000" w:rsidRDefault="00000000" w:rsidRPr="00000000" w14:paraId="00000015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shd w:val="clear" w:color="auto" w:fill="EDE8E1"/>
        <w:tabs>
          <w:tab w:val="right" w:leader="none" w:pos="10740"/>
        </w:tabs>
        <w:spacing w:before="14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COL Media网文+网文IP产品线</w:t>
      </w:r>
      <w:r>
        <w:rPr>
          <w:rFonts w:ascii="Microsoft Yahei" w:hAnsi="Microsoft Yahei" w:eastAsia="Microsoft Yahei" w:cs="Microsoft Yahei"/>
          <w:color w:val="6B6B6B"/>
          <w:sz w:val="18"/>
          <w:szCs w:val="18"/>
        </w:rPr>
        <w:tab/>
      </w:r>
      <w:r>
        <w:rPr>
          <w:rFonts w:ascii="Microsoft Yahei" w:hAnsi="Microsoft Yahei" w:eastAsia="Microsoft Yahei" w:cs="Microsoft Yahei"/>
          <w:color w:val="6B6B6B"/>
          <w:sz w:val="17"/>
          <w:szCs w:val="17"/>
        </w:rPr>
        <w:t>2025年1月-2025年4月</w:t>
      </w:r>
    </w:p>
    <w:p w:rsidR="00000000" w:rsidDel="00000000" w:rsidP="00000000" w:rsidRDefault="00000000" w:rsidRPr="00000000" w14:paraId="00000016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剧本评估：累计审阅量超过50w 字，3部剧本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进入精品化流程。带领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 3 人小组在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月审、周审组会对齐A/B/C评级文档体系，共主导 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15 款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剧本评估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 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(含《罗小黑战记2》《暗影》等), 完成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6 轮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需求会。针对预研demo期IP，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0-1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撰写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3 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篇关键语境状态描述文档（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对白、Lore、脚本）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并传达给项目组，实现项目早期共识建立与核心话题聚焦。</w:t>
      </w:r>
      <w:r w:rsidDel="00000000" w:rsidR="00000000" w:rsidRPr="00000000">
        <w:rPr>
          <w:rtl w:val="0"/>
          <w:color w:val="111111"/>
          <w:rFonts w:ascii="Microsoft Yahei" w:hAnsi="Microsoft Yahei" w:eastAsia="Microsoft Yahei" w:cs="Microsoft Yahei"/>
        </w:rPr>
      </w:r>
    </w:p>
    <w:p w:rsidR="00000000" w:rsidDel="00000000" w:rsidP="00000000" w:rsidRDefault="00000000" w:rsidRPr="00000000" w14:paraId="00000017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shd w:val="clear" w:color="auto" w:fill="EDE8E1"/>
        <w:tabs>
          <w:tab w:val="right" w:leader="none" w:pos="10740"/>
        </w:tabs>
        <w:spacing w:before="14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福布斯中国</w:t>
      </w:r>
      <w:r>
        <w:rPr>
          <w:rFonts w:ascii="Microsoft Yahei" w:hAnsi="Microsoft Yahei" w:eastAsia="Microsoft Yahei" w:cs="Microsoft Yahei"/>
          <w:color w:val="6B6B6B"/>
          <w:sz w:val="18"/>
          <w:szCs w:val="18"/>
        </w:rPr>
        <w:tab/>
      </w:r>
      <w:r>
        <w:rPr>
          <w:rFonts w:ascii="Microsoft Yahei" w:hAnsi="Microsoft Yahei" w:eastAsia="Microsoft Yahei" w:cs="Microsoft Yahei"/>
          <w:color w:val="6B6B6B"/>
          <w:sz w:val="17"/>
          <w:szCs w:val="17"/>
        </w:rPr>
        <w:t>2024年7月-2024年8月</w:t>
      </w:r>
    </w:p>
    <w:p w:rsidR="00000000" w:rsidDel="00000000" w:rsidP="00000000" w:rsidRDefault="00000000" w:rsidRPr="00000000" w14:paraId="00000018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对接 6个品牌合作方，反馈并验收项目工程文件。使用Davinci Pro制作项目，主导4 款 品牌传播短片的叙事策划与剪辑，推动4 轮适配品牌快剪风格的镜头语言、视觉节奏与文案需求优化迭代，实现单视频获得 4345 转发/ 4824 赞。</w:t>
      </w:r>
    </w:p>
    <w:p w:rsidR="00000000" w:rsidDel="00000000" w:rsidP="00000000" w:rsidRDefault="00000000" w:rsidRPr="00000000" w14:paraId="00000019">
      <w:pP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keepNext w:val="1"/>
        <w:shd w:val="clear" w:color="auto" w:fill="EDE8E1"/>
        <w:spacing w:before="10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t>内容与榜单行业研究</w:t>
      </w:r>
    </w:p>
    <w:p w:rsidR="00000000" w:rsidDel="00000000" w:rsidP="00000000" w:rsidRDefault="00000000" w:rsidRPr="00000000" w14:paraId="0000001A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对比 Xbox Game Pass、Google Stadia、Netflix Games 等分发渠道，系统拆解订阅制与云原生对传统买断制变现逻辑的冲击，撰写专题行研报告 1 份。</w:t>
      </w:r>
      <w:r w:rsidDel="00000000" w:rsidR="00000000" w:rsidRPr="00000000">
        <w:rPr>
          <w:rtl w:val="0"/>
          <w:color w:val="111111"/>
          <w:rFonts w:ascii="Microsoft Yahei" w:hAnsi="Microsoft Yahei" w:eastAsia="Microsoft Yahei" w:cs="Microsoft Yahei"/>
        </w:rPr>
      </w:r>
    </w:p>
    <w:p w:rsidR="00000000" w:rsidDel="00000000" w:rsidP="00000000" w:rsidRDefault="00000000" w:rsidRPr="00000000" w14:paraId="0000001B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shd w:val="clear" w:color="auto" w:fill="EDE8E1"/>
        <w:tabs>
          <w:tab w:val="right" w:leader="none" w:pos="10740"/>
        </w:tabs>
        <w:spacing w:before="14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蓝色光标</w:t>
      </w:r>
      <w:r>
        <w:rPr>
          <w:rFonts w:ascii="Microsoft Yahei" w:hAnsi="Microsoft Yahei" w:eastAsia="Microsoft Yahei" w:cs="Microsoft Yahei"/>
          <w:color w:val="6B6B6B"/>
          <w:sz w:val="18"/>
          <w:szCs w:val="18"/>
        </w:rPr>
        <w:tab/>
      </w:r>
      <w:r>
        <w:rPr>
          <w:rFonts w:ascii="Microsoft Yahei" w:hAnsi="Microsoft Yahei" w:eastAsia="Microsoft Yahei" w:cs="Microsoft Yahei"/>
          <w:color w:val="6B6B6B"/>
          <w:sz w:val="17"/>
          <w:szCs w:val="17"/>
        </w:rPr>
        <w:t>2022年7月-2022年8月</w:t>
      </w:r>
    </w:p>
    <w:p w:rsidR="00000000" w:rsidDel="00000000" w:rsidP="00000000" w:rsidRDefault="00000000" w:rsidRPr="00000000" w14:paraId="0000001C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服务 </w:t>
      </w:r>
      <w:r w:rsidDel="00000000" w:rsidR="00000000" w:rsidRPr="00000000">
        <w:rPr>
          <w:b w:val="1"/>
          <w:bCs w:val="1"/>
          <w:i w:val="1"/>
          <w:i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2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个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系统重要性银行社媒campaign并提供进度更新；针对品牌定位和市场占比完成客户偏好调查，线上使用问卷星投放200份问卷并使用SPSS t检验分析参与者对不同银行卡产品在年龄、收入、年开支等维度的（1-5）分办卡意愿，结果证明两个样本存在显著差异，据此圈定品牌的核心受众人群。完成 </w:t>
      </w:r>
      <w:r w:rsidDel="00000000" w:rsidR="00000000" w:rsidRPr="00000000">
        <w:rPr>
          <w:i w:val="1"/>
          <w:i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30+ 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篇以用户视角小红书、公众号、微博、知乎品牌营销文案，形成裂变、补贴、渠道闭环。</w:t>
      </w:r>
    </w:p>
    <w:p w:rsidR="00000000" w:rsidDel="00000000" w:rsidP="00000000" w:rsidRDefault="00000000" w:rsidRPr="00000000" w14:paraId="0000001D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设计Discord玩家社群板块并负责日常维护，获得约 </w:t>
      </w:r>
      <w:r w:rsidDel="00000000" w:rsidR="00000000" w:rsidRPr="00000000">
        <w:rPr>
          <w:i w:val="1"/>
          <w:i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13%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用户数量涨幅。</w:t>
      </w:r>
    </w:p>
    <w:p w:rsidR="00000000" w:rsidDel="00000000" w:rsidP="00000000" w:rsidRDefault="00000000" w:rsidRPr="00000000" w14:paraId="0000001E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pBdr>
          <w:bottom w:val="single" w:sz="6" w:space="1" w:color="1A1A1A"/>
        </w:pBdr>
        <w:shd w:val="clear" w:color="auto" w:fill="E4DDD4"/>
        <w:spacing w:before="220" w:after="6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教育经历</w:t>
      </w:r>
    </w:p>
    <w:p w:rsidR="00000000" w:rsidDel="00000000" w:rsidP="00000000" w:rsidRDefault="00000000" w:rsidRPr="00000000" w14:paraId="0000001F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shd w:val="clear" w:color="auto" w:fill="EDE8E1"/>
        <w:tabs>
          <w:tab w:val="right" w:leader="none" w:pos="10740"/>
        </w:tabs>
        <w:spacing w:before="14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南加州大学｜传播数据科学｜硕士｜ GPA 3.68/4</w:t>
      </w:r>
      <w:r>
        <w:rPr>
          <w:rFonts w:ascii="Microsoft Yahei" w:hAnsi="Microsoft Yahei" w:eastAsia="Microsoft Yahei" w:cs="Microsoft Yahei"/>
          <w:color w:val="6B6B6B"/>
          <w:sz w:val="18"/>
          <w:szCs w:val="18"/>
        </w:rPr>
        <w:tab/>
      </w:r>
      <w:r>
        <w:rPr>
          <w:rFonts w:ascii="Microsoft Yahei" w:hAnsi="Microsoft Yahei" w:eastAsia="Microsoft Yahei" w:cs="Microsoft Yahei"/>
          <w:color w:val="6B6B6B"/>
          <w:sz w:val="17"/>
          <w:szCs w:val="17"/>
        </w:rPr>
        <w:t>2023年7月 -2025年6月</w:t>
      </w:r>
    </w:p>
    <w:p w:rsidR="00000000" w:rsidDel="00000000" w:rsidP="00000000" w:rsidRDefault="00000000" w:rsidRPr="00000000" w14:paraId="00000020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shd w:val="clear" w:color="auto" w:fill="EDE8E1"/>
        <w:tabs>
          <w:tab w:val="right" w:leader="none" w:pos="10740"/>
        </w:tabs>
        <w:spacing w:before="14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伦敦国王大学｜文化媒体和创意产业研究｜本科｜GPA 3.81/4｜连续三年荣誉学生</w:t>
      </w:r>
      <w:r>
        <w:rPr>
          <w:rFonts w:ascii="Microsoft Yahei" w:hAnsi="Microsoft Yahei" w:eastAsia="Microsoft Yahei" w:cs="Microsoft Yahei"/>
          <w:color w:val="6B6B6B"/>
          <w:sz w:val="18"/>
          <w:szCs w:val="18"/>
        </w:rPr>
        <w:tab/>
      </w:r>
      <w:r>
        <w:rPr>
          <w:rFonts w:ascii="Microsoft Yahei" w:hAnsi="Microsoft Yahei" w:eastAsia="Microsoft Yahei" w:cs="Microsoft Yahei"/>
          <w:color w:val="6B6B6B"/>
          <w:sz w:val="17"/>
          <w:szCs w:val="17"/>
        </w:rPr>
        <w:t>2020年8月 -2023年5月</w:t>
      </w:r>
    </w:p>
    <w:p w:rsidR="00000000" w:rsidDel="00000000" w:rsidP="00000000" w:rsidRDefault="00000000" w:rsidRPr="00000000" w14:paraId="00000021">
      <w:pPr>
        <w:rPr>
          <w:rFonts w:ascii="Microsoft Yahei" w:hAnsi="Microsoft Yahei" w:eastAsia="Microsoft Yahei" w:cs="Microsoft Yahei"/>
          <w:color w:val="111111"/>
          <w:sz w:val="18"/>
          <w:szCs w:val="18"/>
        </w:rPr>
        <w:spacing w:before="0" w:after="0" w:line="40" w:lineRule="auto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keepNext w:val="1"/>
        <w:pBdr>
          <w:bottom w:val="single" w:sz="6" w:space="1" w:color="1A1A1A"/>
        </w:pBdr>
        <w:shd w:val="clear" w:color="auto" w:fill="E4DDD4"/>
        <w:spacing w:before="220" w:after="6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8"/>
          <w:szCs w:val="18"/>
        </w:rPr>
        <w:t>项目经历与田野经历</w:t>
      </w:r>
    </w:p>
    <w:p w:rsidR="00000000" w:rsidDel="00000000" w:rsidP="00000000" w:rsidRDefault="00000000" w:rsidRPr="00000000" w14:paraId="00000023">
      <w:pP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keepNext w:val="1"/>
        <w:shd w:val="clear" w:color="auto" w:fill="EDE8E1"/>
        <w:spacing w:before="10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t>技术 -ICRL 2026论文IGPO多轮 Agent RL复现</w:t>
      </w:r>
    </w:p>
    <w:p w:rsidR="00000000" w:rsidDel="00000000" w:rsidP="00000000" w:rsidRDefault="00000000" w:rsidRPr="00000000" w14:paraId="00000024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jc w:val="left"/>
      </w:pP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深度理解论文核心思路，即在 GRPO 框架引入轮次级信息增益（IG）过程奖励，量化每一步推理对求解问题的信息贡献，降低传统 RLHF训练成本并在Google Colab 基于 Qwen2.5-0.5B 在单张 16GB T4 GPU 完成复现，运行时间</w:t>
      </w:r>
      <w:r w:rsidDel="00000000" w:rsidR="00000000" w:rsidRPr="00000000">
        <w:rPr>
          <w:i w:val="1"/>
          <w:i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4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分钟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。｜技术栈：PyTorch/ Qwen2.5/ Google Colab </w:t>
      </w:r>
    </w:p>
    <w:p w:rsidR="00000000" w:rsidDel="00000000" w:rsidP="00000000" w:rsidRDefault="00000000" w:rsidRPr="00000000" w14:paraId="00000025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 过程奖励设计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： Group Size=8、γ=0.95、KL=0.001，并设计自定义 Loss Masking，仅对决策 Token 进行梯度更新，排除工具调用及环境观测 Token 对训练的干扰。搭建 </w:t>
      </w:r>
      <w:r w:rsidDel="00000000" w:rsidR="00000000" w:rsidRPr="00000000">
        <w:rPr>
          <w:b w:val="1"/>
          <w:bCs w:val="1"/>
          <w:i w:val="1"/>
          <w:i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14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项 pytest 自动化测试（100%通过，执行时间 1.52s），验证 IGPO 可将全零结果组中的AVSPO (群体相对策略中的优势坍缩) 从</w:t>
      </w:r>
      <w:r w:rsidDel="00000000" w:rsidR="00000000" w:rsidRPr="00000000">
        <w:rPr>
          <w:b w:val="1"/>
          <w:bCs w:val="1"/>
          <w:i w:val="1"/>
          <w:i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 18%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 降至 </w:t>
      </w:r>
      <w:r w:rsidDel="00000000" w:rsidR="00000000" w:rsidRPr="00000000">
        <w:rPr>
          <w:b w:val="1"/>
          <w:bCs w:val="1"/>
          <w:i w:val="1"/>
          <w:i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0%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 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(Github: </w:t>
      </w:r>
      <w:hyperlink r:id="rId9">
        <w:r w:rsidDel="00000000" w:rsidR="00000000" w:rsidRPr="00000000">
          <w:rPr>
            <w:i w:val="1"/>
            <w:iCs w:val="1"/>
            <w:color w:val="1A1A1A"/>
            <w:sz w:val="17"/>
            <w:szCs w:val="17"/>
            <w:u w:val="single"/>
            <w:rtl w:val="0"/>
            <w:rFonts w:ascii="Microsoft Yahei" w:hAnsi="Microsoft Yahei" w:eastAsia="Microsoft Yahei" w:cs="Microsoft Yahei"/>
          </w:rPr>
          <w:t xml:space="preserve">https://github.com/ankknaiii/igpo-agentic-search</w:t>
        </w:r>
      </w:hyperlink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)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。 </w:t>
      </w:r>
      <w:r w:rsidDel="00000000" w:rsidR="00000000" w:rsidRPr="00000000">
        <w:rPr>
          <w:rtl w:val="0"/>
          <w:color w:val="111111"/>
          <w:rFonts w:ascii="Microsoft Yahei" w:hAnsi="Microsoft Yahei" w:eastAsia="Microsoft Yahei" w:cs="Microsoft Yahei"/>
        </w:rPr>
      </w:r>
    </w:p>
    <w:p w:rsidR="00000000" w:rsidDel="00000000" w:rsidP="00000000" w:rsidRDefault="00000000" w:rsidRPr="00000000" w14:paraId="00000026">
      <w:pPr>
        <w:rPr>
          <w:rFonts w:ascii="Microsoft Yahei" w:hAnsi="Microsoft Yahei" w:eastAsia="Microsoft Yahei" w:cs="Microsoft Yahei"/>
          <w:color w:val="111111"/>
          <w:sz w:val="18"/>
          <w:szCs w:val="18"/>
        </w:rPr>
        <w:spacing w:before="0" w:after="0" w:line="40" w:lineRule="auto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keepNext w:val="1"/>
        <w:shd w:val="clear" w:color="auto" w:fill="EDE8E1"/>
        <w:spacing w:before="10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t>用户研究 -塞尔达传说玩家评论内容分析</w:t>
      </w:r>
    </w:p>
    <w:p w:rsidR="00000000" w:rsidDel="00000000" w:rsidP="00000000" w:rsidRDefault="00000000" w:rsidRPr="00000000" w14:paraId="00000028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 项目分工与数据分析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：针对亚马逊玩家公开评论开展内容分析，搭建用户反馈编码体系，系统梳理玩家对角色塑造与开放世界叙事真实体验，并从 300+ UGC数据中使用成对样本t 检验提炼多个核心叙事痛点，e.g., 沙盒自由玩法导致主线叙事碎片化割裂，配角人物弧光缺少完整情感闭环。据此输出可落地的角色、剧情叙事优化建议 3条。</w:t>
      </w:r>
    </w:p>
    <w:p w:rsidR="00000000" w:rsidDel="00000000" w:rsidP="00000000" w:rsidRDefault="00000000" w:rsidRPr="00000000" w14:paraId="00000029">
      <w:pPr>
        <w:rPr>
          <w:rFonts w:ascii="Microsoft Yahei" w:hAnsi="Microsoft Yahei" w:eastAsia="Microsoft Yahei" w:cs="Microsoft Yahei"/>
          <w:color w:val="111111"/>
          <w:sz w:val="18"/>
          <w:szCs w:val="18"/>
        </w:rPr>
        <w:spacing w:before="0" w:after="0" w:line="40" w:lineRule="auto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keepNext w:val="1"/>
        <w:shd w:val="clear" w:color="auto" w:fill="EDE8E1"/>
        <w:spacing w:before="100" w:after="40" w:line="240" w:lineRule="auto"/>
        <w:ind w:left="80" w:right="80" w:firstLine="0"/>
        <w:jc w:val="left"/>
      </w:pPr>
      <w:r>
        <w:rPr>
          <w:rFonts w:ascii="Microsoft Yahei" w:hAnsi="Microsoft Yahei" w:eastAsia="Microsoft Yahei" w:cs="Microsoft Yahei"/>
          <w:b w:val="1"/>
          <w:bCs w:val="1"/>
          <w:color w:val="111111"/>
          <w:sz w:val="17"/>
          <w:szCs w:val="17"/>
        </w:rPr>
        <w:t>产品研究 -Spotify商业模式论文</w:t>
      </w:r>
    </w:p>
    <w:p w:rsidR="00000000" w:rsidDel="00000000" w:rsidP="00000000" w:rsidRDefault="00000000" w:rsidRPr="00000000" w14:paraId="0000002B">
      <w:pPr>
        <w:rPr>
          <w:rFonts w:ascii="Microsoft Yahei" w:hAnsi="Microsoft Yahei" w:eastAsia="Microsoft Yahei" w:cs="Microsoft Yahei"/>
          <w:color w:val="111111"/>
          <w:sz w:val="17"/>
          <w:szCs w:val="17"/>
        </w:rPr>
        <w:spacing w:before="20" w:after="60" w:line="276" w:lineRule="auto"/>
        <w:ind w:left="200" w:firstLine="0"/>
        <w:jc w:val="left"/>
      </w:pP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•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 研究设计和结果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：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设计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独立研究音乐流媒体软件 Spotify 的算法机制与用户推荐功能，并发表论文 (</w:t>
      </w:r>
      <w:r w:rsidDel="00000000" w:rsidR="00000000" w:rsidRPr="00000000">
        <w:rPr>
          <w:i w:val="1"/>
          <w:i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A Critical Research of Spotify’s Business Model - The Case of Discover Weekly) </w:t>
      </w:r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于社科期刊 BCP Social Sciences &amp; Humanities (Vol.21, 2023), 引用量</w:t>
      </w:r>
      <w:r w:rsidDel="00000000" w:rsidR="00000000" w:rsidRPr="00000000">
        <w:rPr>
          <w:b w:val="1"/>
          <w:b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421</w:t>
      </w:r>
      <w:r w:rsidDel="00000000" w:rsidR="00000000" w:rsidRPr="00000000">
        <w:rPr>
          <w:b w:val="1"/>
          <w:bCs w:val="1"/>
          <w:i w:val="1"/>
          <w:iCs w:val="1"/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。</w:t>
      </w:r>
      <w:hyperlink r:id="rId10">
        <w:r w:rsidDel="00000000" w:rsidR="00000000" w:rsidRPr="00000000">
          <w:rPr>
            <w:color w:val="1A1A1A"/>
            <w:sz w:val="17"/>
            <w:szCs w:val="17"/>
            <w:u w:val="single"/>
            <w:rtl w:val="0"/>
            <w:rFonts w:ascii="Microsoft Yahei" w:hAnsi="Microsoft Yahei" w:eastAsia="Microsoft Yahei" w:cs="Microsoft Yahei"/>
          </w:rPr>
          <w:t xml:space="preserve">https://bcpublication.org/index.php/SSH/article/view/3873</w:t>
        </w:r>
      </w:hyperlink>
      <w:r w:rsidDel="00000000" w:rsidR="00000000" w:rsidRPr="00000000">
        <w:rPr>
          <w:sz w:val="17"/>
          <w:szCs w:val="17"/>
          <w:rtl w:val="0"/>
          <w:color w:val="111111"/>
          <w:rFonts w:ascii="Microsoft Yahei" w:hAnsi="Microsoft Yahei" w:eastAsia="Microsoft Yahei" w:cs="Microsoft Yahei"/>
        </w:rPr>
        <w:t xml:space="preserve">。</w:t>
      </w:r>
    </w:p>
    <w:p w:rsidR="00000000" w:rsidDel="00000000" w:rsidP="00000000" w:rsidRDefault="00000000" w:rsidRPr="00000000" w14:paraId="0000002C">
      <w:pPr>
        <w:rPr>
          <w:rFonts w:ascii="Microsoft Yahei" w:hAnsi="Microsoft Yahei" w:eastAsia="Microsoft Yahei" w:cs="Microsoft Yahei"/>
          <w:color w:val="111111"/>
          <w:sz w:val="18"/>
          <w:szCs w:val="18"/>
        </w:rPr>
        <w:spacing w:before="0" w:after="0" w:line="40" w:lineRule="auto"/>
        <w:jc w:val="left"/>
      </w:pPr>
      <w:r w:rsidDel="00000000" w:rsidR="00000000" w:rsidRPr="00000000">
        <w:rPr>
          <w:rtl w:val="0"/>
        </w:rPr>
      </w:r>
    </w:p>
    <w:sectPr>
      <w:pgSz w:h="16840" w:w="11900" w:orient="portrait"/>
      <w:pgMar w:bottom="480" w:top="480" w:left="54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Yahe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Yahei" w:cs="Microsoft Yahei" w:eastAsia="Microsoft Yahei" w:hAnsi="Microsoft Yahe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91"/>
    </w:pPr>
    <w:rPr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cpublication.org/index.php/SSH/article/view/3873" TargetMode="External"/><Relationship Id="rId9" Type="http://schemas.openxmlformats.org/officeDocument/2006/relationships/hyperlink" Target="https://github.com/ankknaiii/igpo-agentic-search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nkknaiii@outlook.com" TargetMode="External"/><Relationship Id="rId8" Type="http://schemas.openxmlformats.org/officeDocument/2006/relationships/hyperlink" Target="https://www.linkedin.com/in/ankknaiii/%EF%BD%9C%E8%8B%B1%E8%AF%AD%EF%BC%88%E9%9B%85%E6%80%9D8%EF%BC%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2026-04-17T00:00:00Z</vt:lpwstr>
  </property>
  <property fmtid="{D5CDD505-2E9C-101B-9397-08002B2CF9AE}" pid="3" name="Creator">
    <vt:lpwstr>Chromium</vt:lpwstr>
  </property>
  <property fmtid="{D5CDD505-2E9C-101B-9397-08002B2CF9AE}" pid="4" name="LastSaved">
    <vt:lpwstr>2026-04-17T00:00:00Z</vt:lpwstr>
  </property>
  <property fmtid="{D5CDD505-2E9C-101B-9397-08002B2CF9AE}" pid="5" name="Producer">
    <vt:lpwstr>3-Heights(TM) PDF Security Shell 4.8.25.2 (http://www.pdf-tools.com)</vt:lpwstr>
  </property>
</Properties>
</file>