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Ankur Sharma</w:t>
      </w:r>
    </w:p>
    <w:p>
      <w:pPr>
        <w:pStyle w:val="ResumeSubtitle"/>
        <w:jc w:val="center"/>
      </w:pPr>
      <w:r>
        <w:rPr>
          <w:b/>
        </w:rPr>
        <w:t>Engineering Leader | Enterprise Software, Platform Engineering and AI Enablement</w:t>
      </w:r>
    </w:p>
    <w:p>
      <w:pPr>
        <w:pStyle w:val="ResumeSubtitle"/>
        <w:jc w:val="center"/>
      </w:pPr>
      <w:r>
        <w:t>Detroit Metropolitan Area | Relocating to India | ankool@gmail.com | (248) 662-7658</w:t>
      </w:r>
    </w:p>
    <w:p>
      <w:pPr>
        <w:pStyle w:val="ResumeSubtitle"/>
      </w:pPr>
      <w:r>
        <w:t>LinkedIn</w:t>
      </w:r>
      <w:r>
        <w:t xml:space="preserve"> | Credly | Patents | Executive Profile</w:t>
      </w:r>
    </w:p>
    <w:p>
      <w:pPr>
        <w:pStyle w:val="Heading1"/>
        <w:pBdr>
          <w:bottom w:val="single" w:sz="5" w:space="3" w:color="17365D"/>
        </w:pBdr>
      </w:pPr>
      <w:r>
        <w:t>Executive summary</w:t>
      </w:r>
    </w:p>
    <w:p>
      <w:pPr/>
      <w:r>
        <w:t>Engineering leader with 20 years of experience, including 11 years in US IT, spanning enterprise software, cloud platforms, Kubernetes infrastructure, connected vehicles, electrification and enterprise AI. Progressed from software engineering and product architecture into principal engineering and engineering management. Currently a Principal Engineering Manager at Ford with functional responsibility as Head of AI for Vehicle Connectivity &amp; Mobile, leading AI enablement, AIOps and an AI squad supporting reusable capabilities and engineering practices. Combines hands-on architecture with cross-organization leadership, platform product ownership, technical coaching and vendor management.</w:t>
      </w:r>
    </w:p>
    <w:p>
      <w:pPr>
        <w:pStyle w:val="Heading1"/>
        <w:pBdr>
          <w:bottom w:val="single" w:sz="5" w:space="3" w:color="17365D"/>
        </w:pBdr>
      </w:pPr>
      <w:r>
        <w:t>Leadership strengths</w:t>
      </w:r>
    </w:p>
    <w:p>
      <w:pPr>
        <w:pStyle w:val="ListBullet"/>
        <w:keepLines/>
        <w:spacing w:after="30"/>
        <w:ind w:left="259" w:hanging="173"/>
      </w:pPr>
      <w:r>
        <w:rPr>
          <w:b/>
        </w:rPr>
        <w:t>Enterprise AI and AIOps:</w:t>
      </w:r>
      <w:r>
        <w:t xml:space="preserve"> AI enablement, AI CoE practices, agentic workflows, RAG, MCP, AI PDLC, AI SDLC, TDLC, LLMOps, shared operational agents and engineering measurement.</w:t>
      </w:r>
    </w:p>
    <w:p>
      <w:pPr>
        <w:pStyle w:val="ListBullet"/>
        <w:keepLines/>
        <w:spacing w:after="30"/>
        <w:ind w:left="259" w:hanging="173"/>
      </w:pPr>
      <w:r>
        <w:rPr>
          <w:b/>
        </w:rPr>
        <w:t>Platform engineering:</w:t>
      </w:r>
      <w:r>
        <w:t xml:space="preserve"> Kubernetes infrastructure, GCP and multi-cloud architecture, developer platforms, GitOps, event streaming, observability, SLOs, customer reliability engineering and platform product ownership.</w:t>
      </w:r>
    </w:p>
    <w:p>
      <w:pPr>
        <w:pStyle w:val="ListBullet"/>
        <w:keepLines/>
        <w:spacing w:after="30"/>
        <w:ind w:left="259" w:hanging="173"/>
      </w:pPr>
      <w:r>
        <w:rPr>
          <w:b/>
        </w:rPr>
        <w:t>Software and product engineering:</w:t>
      </w:r>
      <w:r>
        <w:t xml:space="preserve"> cloud-native services, connected vehicles, electrification, API ecosystems, event-driven architecture, data platforms, DevSecOps and modernization.</w:t>
      </w:r>
    </w:p>
    <w:p>
      <w:pPr>
        <w:pStyle w:val="ListBullet"/>
        <w:keepLines/>
        <w:spacing w:after="30"/>
        <w:ind w:left="259" w:hanging="173"/>
      </w:pPr>
      <w:r>
        <w:rPr>
          <w:b/>
        </w:rPr>
        <w:t>Engineering leadership:</w:t>
      </w:r>
      <w:r>
        <w:t xml:space="preserve"> technical strategy, product roadmaps, cross-functional alignment, coaching of staff and lead engineers, global delivery and partner/vendor coordination.</w:t>
      </w:r>
    </w:p>
    <w:p>
      <w:pPr>
        <w:pStyle w:val="Heading1"/>
        <w:pBdr>
          <w:bottom w:val="single" w:sz="5" w:space="3" w:color="17365D"/>
        </w:pBdr>
      </w:pPr>
      <w:r>
        <w:t>Professional experience</w:t>
      </w:r>
    </w:p>
    <w:p>
      <w:pPr>
        <w:pStyle w:val="Heading2"/>
      </w:pPr>
      <w:r>
        <w:t>Principal Engineering Manager - Enterprise Platform | Ford Motor Company | May 2025-present</w:t>
      </w:r>
    </w:p>
    <w:p>
      <w:pPr>
        <w:pStyle w:val="ResumeSubtitle"/>
      </w:pPr>
      <w:r>
        <w:rPr>
          <w:i/>
          <w:color w:val="5B6573"/>
        </w:rPr>
        <w:t>Functional scope: Head of AI, Vehicle Connectivity &amp; Mobile | August 2026-present</w:t>
      </w:r>
    </w:p>
    <w:p>
      <w:pPr>
        <w:pStyle w:val="ListBullet"/>
        <w:keepLines/>
        <w:spacing w:after="30"/>
        <w:ind w:left="259" w:hanging="173"/>
      </w:pPr>
      <w:r>
        <w:t>Lead VCM AI enablement across the product and engineering lifecycle: AI PDLC turns ideas into Jira stories or Figma designs, AI SDLC turns approved stories into service pull requests, and TDLC uses observability and engineering metrics to propose improvements in service and Terraform repositories.</w:t>
      </w:r>
    </w:p>
    <w:p>
      <w:pPr>
        <w:pStyle w:val="ListBullet"/>
        <w:keepLines/>
        <w:spacing w:after="30"/>
        <w:ind w:left="259" w:hanging="173"/>
      </w:pPr>
      <w:r>
        <w:t>Lead the VCM AIOps portfolio, including shared agents for root cause analysis, engineering triage and DORA health, with emphasis on reusable capabilities, review controls and measurable improvements in quality, reliability and performance.</w:t>
      </w:r>
    </w:p>
    <w:p>
      <w:pPr>
        <w:pStyle w:val="ListBullet"/>
        <w:keepLines/>
        <w:spacing w:after="30"/>
        <w:ind w:left="259" w:hanging="173"/>
      </w:pPr>
      <w:r>
        <w:t>Lead a Ford AI squad that brings together domain expertise, review cycles and continuous-improvement plans for AI CoE practices and responsible adoption across software teams.</w:t>
      </w:r>
    </w:p>
    <w:p>
      <w:pPr>
        <w:pStyle w:val="ListBullet"/>
        <w:keepLines/>
        <w:spacing w:after="30"/>
        <w:ind w:left="259" w:hanging="173"/>
      </w:pPr>
      <w:r>
        <w:t>Led agentic workflows from January through July 2026 to migrate more than 50 software platforms and services from the Bedrock Kubernetes platform to Ford's enterprise GCP-native platform.</w:t>
      </w:r>
    </w:p>
    <w:p>
      <w:pPr>
        <w:pStyle w:val="ListBullet"/>
        <w:keepLines/>
        <w:spacing w:after="30"/>
        <w:ind w:left="259" w:hanging="173"/>
      </w:pPr>
      <w:r>
        <w:t>Created an enterprise LLM and harness ecosystem from August through December 2025 with RAG, MCP servers for Argo CD, Temporal, GitHub, Atlassian and Grafana, and tool connectors for gcloud CLI, 42Crunch, SonarQube and FOSSA.</w:t>
      </w:r>
    </w:p>
    <w:p>
      <w:pPr>
        <w:pStyle w:val="ListBullet"/>
        <w:keepLines/>
        <w:spacing w:after="30"/>
        <w:ind w:left="259" w:hanging="173"/>
      </w:pPr>
      <w:r>
        <w:t>Enabled Bedrock platform customers to use the LLM ecosystem for platform learning, commit-to-incident triage, root cause analysis, performance recommendations and related engineering workflows.</w:t>
      </w:r>
    </w:p>
    <w:p>
      <w:pPr>
        <w:pStyle w:val="ListBullet"/>
        <w:keepLines/>
        <w:spacing w:after="30"/>
        <w:ind w:left="259" w:hanging="173"/>
      </w:pPr>
      <w:r>
        <w:t>Led product maturity and execution for core Bedrock Kubernetes infrastructure serving hundreds of software services. Managed vendor relationships and million-dollar contracts spanning StreamNative Pulsar, MongoDB Atlas, Teleport, Flagsmith and Grafana, while establishing roadmaps, SLOs and customer reliability engineering practices.</w:t>
      </w:r>
    </w:p>
    <w:p>
      <w:pPr>
        <w:pStyle w:val="Heading2"/>
      </w:pPr>
      <w:r>
        <w:t>Principal Engineer - Electrification Cloud Products | Ford Motor Company | June 2021-April 2025</w:t>
      </w:r>
    </w:p>
    <w:p>
      <w:pPr>
        <w:pStyle w:val="ListBullet"/>
        <w:keepLines/>
        <w:spacing w:after="30"/>
        <w:ind w:left="259" w:hanging="173"/>
      </w:pPr>
      <w:r>
        <w:t>Shaped Ford's electrification cloud strategy and helped move product teams from siloed implementations toward a connected platform ecosystem spanning vehicle connectivity, charging, grid integration and customer experiences.</w:t>
      </w:r>
    </w:p>
    <w:p>
      <w:pPr>
        <w:pStyle w:val="ListBullet"/>
        <w:keepLines/>
        <w:spacing w:after="30"/>
        <w:ind w:left="259" w:hanging="173"/>
      </w:pPr>
      <w:r>
        <w:t>Led the architecture, launch or redesign of more than 30 customer-facing services and platforms using microservices, API-led design and IoT patterns across connected electric vehicles, public and private EVSE, grid services and home energy.</w:t>
      </w:r>
    </w:p>
    <w:p>
      <w:pPr>
        <w:pStyle w:val="ListBullet"/>
        <w:keepLines/>
        <w:spacing w:after="30"/>
        <w:ind w:left="259" w:hanging="173"/>
      </w:pPr>
      <w:r>
        <w:t>Built platform foundations spanning ELPS and FCCS, intelligent charging, bidirectional power, energy optimization, charger aggregation, smart grid and home-energy partner integrations.</w:t>
      </w:r>
    </w:p>
    <w:p>
      <w:pPr>
        <w:pStyle w:val="ListBullet"/>
        <w:keepLines/>
        <w:spacing w:after="30"/>
        <w:ind w:left="259" w:hanging="173"/>
      </w:pPr>
      <w:r>
        <w:t>Served as Ford enterprise Chaos Engineering SME during 2021-2022. Led training, architecture reviews and office hours, and advised more than 15 platforms and products on resilience, SLO-first design, automated testing and observability.</w:t>
      </w:r>
    </w:p>
    <w:p>
      <w:pPr>
        <w:pStyle w:val="ListBullet"/>
        <w:keepLines/>
        <w:spacing w:after="30"/>
        <w:ind w:left="259" w:hanging="173"/>
      </w:pPr>
      <w:r>
        <w:t>Led cross-functional architecture across cloud, embedded, vehicle connectivity, FordPass and energy teams, including event-driven designs and COVESA-aligned energy-transfer schedules for future vehicle platforms.</w:t>
      </w:r>
    </w:p>
    <w:p>
      <w:pPr>
        <w:pStyle w:val="ListBullet"/>
        <w:keepLines/>
        <w:spacing w:after="30"/>
        <w:ind w:left="259" w:hanging="173"/>
      </w:pPr>
      <w:r>
        <w:t>Mentored more than 15 anchor and staff engineers in architecture, reliability, software quality, observability and DevOps practices.</w:t>
      </w:r>
    </w:p>
    <w:p>
      <w:pPr>
        <w:pStyle w:val="ListBullet"/>
        <w:keepLines/>
        <w:spacing w:after="30"/>
        <w:ind w:left="259" w:hanging="173"/>
      </w:pPr>
      <w:r>
        <w:t>Contributed four patent applications with two US grants covering vehicle status indicators and vehicle camera experiences, alongside additional innovation in charging and secure vehicle connectivity.</w:t>
      </w:r>
    </w:p>
    <w:p>
      <w:pPr>
        <w:pStyle w:val="Heading2"/>
      </w:pPr>
      <w:r>
        <w:t>Principal Engineer Products / Research and Development Team Lead / Senior Specialist Engineer | Altimetrik, Ford client | March 2017-June 2021</w:t>
      </w:r>
    </w:p>
    <w:p>
      <w:pPr>
        <w:pStyle w:val="ListBullet"/>
        <w:keepLines/>
        <w:spacing w:after="30"/>
        <w:ind w:left="259" w:hanging="173"/>
      </w:pPr>
      <w:r>
        <w:t>Led the FordConnect API ecosystem of more than 25 Spring/Java microservices, establishing secure vehicle-action interfaces used by external experiences including Amazon Key, Alexa and Google Assistant.</w:t>
      </w:r>
    </w:p>
    <w:p>
      <w:pPr>
        <w:pStyle w:val="ListBullet"/>
        <w:keepLines/>
        <w:spacing w:after="30"/>
        <w:ind w:left="259" w:hanging="173"/>
      </w:pPr>
      <w:r>
        <w:t>Directed Spring and platform migrations, CI/CD automation and OAuth2/Azure B2C security implementation; earlier program records report a 90% reduction in defects and a 50% improvement in load time.</w:t>
      </w:r>
    </w:p>
    <w:p>
      <w:pPr>
        <w:pStyle w:val="ListBullet"/>
        <w:keepLines/>
        <w:spacing w:after="30"/>
        <w:ind w:left="259" w:hanging="173"/>
      </w:pPr>
      <w:r>
        <w:t>Authored a customer-identity security whitepaper that supported third-party access to Ford vehicles and contributed to an API ecosystem recognized through Ford innovation awards.</w:t>
      </w:r>
    </w:p>
    <w:p>
      <w:pPr>
        <w:pStyle w:val="ListBullet"/>
        <w:keepLines/>
        <w:spacing w:after="30"/>
        <w:ind w:left="259" w:hanging="173"/>
      </w:pPr>
      <w:r>
        <w:t>Coordinated distributed teams, created onboarding and technical training, and guided delivery planning across Ford and partner organizations.</w:t>
      </w:r>
    </w:p>
    <w:p>
      <w:pPr>
        <w:pStyle w:val="Heading2"/>
      </w:pPr>
      <w:r>
        <w:t>Claims Product Architect / New Technology Product Lead | CSC, now DXC Technology | February 2013-February 2017</w:t>
      </w:r>
    </w:p>
    <w:p>
      <w:pPr>
        <w:pStyle w:val="ListBullet"/>
        <w:keepLines/>
        <w:spacing w:after="30"/>
        <w:ind w:left="259" w:hanging="173"/>
      </w:pPr>
      <w:r>
        <w:t>Led modernization of insurance and claims products using web, API and cloud technologies, including transitions from .NET applications toward Angular and REST-based architectures.</w:t>
      </w:r>
    </w:p>
    <w:p>
      <w:pPr>
        <w:pStyle w:val="ListBullet"/>
        <w:keepLines/>
        <w:spacing w:after="30"/>
        <w:ind w:left="259" w:hanging="173"/>
      </w:pPr>
      <w:r>
        <w:t>Guided architecture, requirements and delivery for teams of more than 15 engineers serving clients across insurance, healthcare and energy.</w:t>
      </w:r>
    </w:p>
    <w:p>
      <w:pPr>
        <w:pStyle w:val="ListBullet"/>
        <w:keepLines/>
        <w:spacing w:after="30"/>
        <w:ind w:left="259" w:hanging="173"/>
      </w:pPr>
      <w:r>
        <w:t>Supported cloud adoption across AWS and Azure, represented product capabilities in client and industry settings, and helped develop proposals that expanded long-term customer relationships.</w:t>
      </w:r>
    </w:p>
    <w:p>
      <w:pPr>
        <w:pStyle w:val="Heading2"/>
      </w:pPr>
      <w:r>
        <w:t>Senior Software Developer / Software Developer | CSC, now DXC Technology | July 2006-March 2012</w:t>
      </w:r>
    </w:p>
    <w:p>
      <w:pPr>
        <w:pStyle w:val="ListBullet"/>
        <w:keepLines/>
        <w:spacing w:after="30"/>
        <w:ind w:left="259" w:hanging="173"/>
      </w:pPr>
      <w:r>
        <w:t>Led product modules and technical improvement programs for enterprise claims software across India and US teams.</w:t>
      </w:r>
    </w:p>
    <w:p>
      <w:pPr>
        <w:pStyle w:val="ListBullet"/>
        <w:keepLines/>
        <w:spacing w:after="30"/>
        <w:ind w:left="259" w:hanging="173"/>
      </w:pPr>
      <w:r>
        <w:t>Reduced reported defects by more than 90% and improved data-loading performance by more than 50% through focused quality and performance cycles.</w:t>
      </w:r>
    </w:p>
    <w:p>
      <w:pPr>
        <w:pStyle w:val="ListBullet"/>
        <w:keepLines/>
        <w:spacing w:after="30"/>
        <w:ind w:left="259" w:hanging="173"/>
      </w:pPr>
      <w:r>
        <w:t>Helped expand the India engineering team to 20 developers, designed onboarding programs and delivered Microsoft technology training.</w:t>
      </w:r>
    </w:p>
    <w:p>
      <w:pPr>
        <w:pStyle w:val="ListBullet"/>
        <w:keepLines/>
        <w:spacing w:after="30"/>
        <w:ind w:left="259" w:hanging="173"/>
      </w:pPr>
      <w:r>
        <w:t>Earned top performance ratings, the CSC Pinnacle Award and multiple Employee of the Quarter recognitions.</w:t>
      </w:r>
    </w:p>
    <w:p>
      <w:pPr>
        <w:pStyle w:val="Heading1"/>
        <w:pBdr>
          <w:bottom w:val="single" w:sz="5" w:space="3" w:color="17365D"/>
        </w:pBdr>
      </w:pPr>
      <w:r>
        <w:t>Selected patents and recognition</w:t>
      </w:r>
    </w:p>
    <w:p>
      <w:pPr>
        <w:pStyle w:val="ListBullet"/>
        <w:keepLines/>
        <w:spacing w:after="30"/>
        <w:ind w:left="259" w:hanging="173"/>
      </w:pPr>
      <w:r>
        <w:t>Two granted US patents covering a remote vehicle status indicator and a vehicle camera selfie button, with related international filings.</w:t>
      </w:r>
    </w:p>
    <w:p>
      <w:pPr>
        <w:pStyle w:val="ListBullet"/>
        <w:keepLines/>
        <w:spacing w:after="30"/>
        <w:ind w:left="259" w:hanging="173"/>
      </w:pPr>
      <w:r>
        <w:t>Henry Ford Award for Electrification and Home Energy Management, 2025.</w:t>
      </w:r>
    </w:p>
    <w:p>
      <w:pPr>
        <w:pStyle w:val="ListBullet"/>
        <w:keepLines/>
        <w:spacing w:after="30"/>
        <w:ind w:left="259" w:hanging="173"/>
      </w:pPr>
      <w:r>
        <w:t>Ford technical and innovation recognition spanning connected vehicles, electrification, platform modernization and cross-team delivery, 2017-2025.</w:t>
      </w:r>
    </w:p>
    <w:p>
      <w:pPr>
        <w:pStyle w:val="ListBullet"/>
        <w:keepLines/>
        <w:spacing w:after="30"/>
        <w:ind w:left="259" w:hanging="173"/>
      </w:pPr>
      <w:r>
        <w:t>CSC Pinnacle Award, 2011; Employee of the Quarter, 2010 and 2011.</w:t>
      </w:r>
    </w:p>
    <w:p>
      <w:pPr>
        <w:pStyle w:val="Heading1"/>
        <w:pBdr>
          <w:bottom w:val="single" w:sz="5" w:space="3" w:color="17365D"/>
        </w:pBdr>
      </w:pPr>
      <w:r>
        <w:t>Certifications and executive education</w:t>
      </w:r>
    </w:p>
    <w:p>
      <w:pPr>
        <w:pStyle w:val="ListBullet"/>
        <w:keepLines/>
        <w:spacing w:after="30"/>
        <w:ind w:left="259" w:hanging="173"/>
      </w:pPr>
      <w:r>
        <w:t>Google Cloud Certified Professional Cloud Architect, renewed through 2028.</w:t>
      </w:r>
    </w:p>
    <w:p>
      <w:pPr>
        <w:pStyle w:val="ListBullet"/>
        <w:keepLines/>
        <w:spacing w:after="30"/>
        <w:ind w:left="259" w:hanging="173"/>
      </w:pPr>
      <w:r>
        <w:t>IBM RAG and Agentic AI Professional Certificate.</w:t>
      </w:r>
    </w:p>
    <w:p>
      <w:pPr>
        <w:pStyle w:val="ListBullet"/>
        <w:keepLines/>
        <w:spacing w:after="30"/>
        <w:ind w:left="259" w:hanging="173"/>
      </w:pPr>
      <w:r>
        <w:t>Agentic AI and LangGraph professional learning programs.</w:t>
      </w:r>
    </w:p>
    <w:p>
      <w:pPr>
        <w:pStyle w:val="ListBullet"/>
        <w:keepLines/>
        <w:spacing w:after="30"/>
        <w:ind w:left="259" w:hanging="173"/>
      </w:pPr>
      <w:r>
        <w:t>Google Cloud Generative AI learning program.</w:t>
      </w:r>
    </w:p>
    <w:p>
      <w:pPr>
        <w:pStyle w:val="ListBullet"/>
        <w:keepLines/>
        <w:spacing w:after="30"/>
        <w:ind w:left="259" w:hanging="173"/>
      </w:pPr>
      <w:r>
        <w:t>OKR Coach certification.</w:t>
      </w:r>
    </w:p>
    <w:p>
      <w:pPr>
        <w:pStyle w:val="Heading1"/>
        <w:pBdr>
          <w:bottom w:val="single" w:sz="5" w:space="3" w:color="17365D"/>
        </w:pBdr>
      </w:pPr>
      <w:r>
        <w:t>Education</w:t>
      </w:r>
    </w:p>
    <w:p>
      <w:pPr>
        <w:pStyle w:val="ResumeSubtitle"/>
      </w:pPr>
      <w:r>
        <w:rPr>
          <w:b/>
        </w:rPr>
        <w:t>Bachelor of Engineering, Information Technology</w:t>
      </w:r>
      <w:r>
        <w:t xml:space="preserve"> | Delhi College of Engineering, now Delhi Technological University | 2002-2006</w:t>
      </w:r>
    </w:p>
    <w:p>
      <w:pPr>
        <w:pStyle w:val="ResumeSubtitle"/>
      </w:pPr>
      <w:r>
        <w:t>First Class | WES GPA 3.72</w:t>
      </w:r>
    </w:p>
    <w:sectPr w:rsidR="00FC693F" w:rsidRPr="0006063C" w:rsidSect="00034616">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5"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Arial" w:hAnsi="Arial"/>
      <w:b/>
      <w:bCs/>
      <w:color w:val="17365D"/>
      <w:sz w:val="20"/>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Arial" w:hAnsi="Arial"/>
      <w:b/>
      <w:bCs/>
      <w:color w:val="1736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ubtitle">
    <w:name w:val="Resume Subtitle"/>
    <w:pPr>
      <w:spacing w:after="40"/>
    </w:pPr>
    <w:rPr>
      <w:rFonts w:ascii="Arial" w:hAnsi="Arial"/>
      <w:b/>
      <w:color w:val="5B657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Executive career profile</dc:subject>
  <dc:creator>Ankur Sharma</dc:creator>
  <cp:keywords>software engineering, platform engineering, enterprise AI, AIOps</cp:keywords>
  <dc:description>generated by python-docx</dc:description>
  <cp:lastModifiedBy/>
  <cp:revision>1</cp:revision>
  <dcterms:created xsi:type="dcterms:W3CDTF">2013-12-23T23:15:00Z</dcterms:created>
  <dcterms:modified xsi:type="dcterms:W3CDTF">2013-12-23T23:15:00Z</dcterms:modified>
  <cp:category/>
</cp:coreProperties>
</file>