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  <w:jc w:val="left"/>
      </w:pPr>
      <w:r>
        <w:rPr>
          <w:b/>
          <w:bCs/>
          <w:color w:val="1A1A22"/>
          <w:sz w:val="64"/>
          <w:szCs w:val="64"/>
          <w:rFonts w:ascii="Arial" w:cs="Arial" w:eastAsia="Arial" w:hAnsi="Arial"/>
        </w:rPr>
        <w:t xml:space="preserve">aprntc</w:t>
      </w:r>
    </w:p>
    <w:p>
      <w:pPr>
        <w:spacing w:after="240"/>
      </w:pPr>
      <w:r>
        <w:rPr>
          <w:color w:val="4F46E5"/>
          <w:sz w:val="32"/>
          <w:szCs w:val="32"/>
          <w:rFonts w:ascii="Arial" w:cs="Arial" w:eastAsia="Arial" w:hAnsi="Arial"/>
        </w:rPr>
        <w:t xml:space="preserve">Design &amp; Solution Document</w:t>
      </w:r>
    </w:p>
    <w:p>
      <w:pPr>
        <w:spacing w:after="80"/>
      </w:pPr>
      <w:r>
        <w:rPr>
          <w:color w:val="5A5A66"/>
          <w:sz w:val="22"/>
          <w:szCs w:val="22"/>
          <w:rFonts w:ascii="Arial" w:cs="Arial" w:eastAsia="Arial" w:hAnsi="Arial"/>
        </w:rPr>
        <w:t xml:space="preserve">A self-improving agent that shadows a live agent, distills lessons from its behavior, and is promoted — gated by a human — to a measurably better successor. Codename </w:t>
      </w:r>
      <w:r>
        <w:rPr>
          <w:b/>
          <w:bCs/>
          <w:color w:val="5A5A66"/>
          <w:sz w:val="22"/>
          <w:szCs w:val="22"/>
          <w:rFonts w:ascii="Arial" w:cs="Arial" w:eastAsia="Arial" w:hAnsi="Arial"/>
        </w:rPr>
        <w:t xml:space="preserve">“Shadow.”</w:t>
      </w:r>
    </w:p>
    <w:p>
      <w:pPr>
        <w:spacing w:before="280" w:after="0"/>
      </w:pPr>
      <w:r>
        <w:rPr>
          <w:b/>
          <w:bCs/>
          <w:color w:val="1D7A5C"/>
          <w:sz w:val="20"/>
          <w:szCs w:val="20"/>
          <w:rFonts w:ascii="Arial" w:cs="Arial" w:eastAsia="Arial" w:hAnsi="Arial"/>
        </w:rPr>
        <w:t xml:space="preserve">Status:  Feature-complete · 288 tests passing</w:t>
      </w:r>
    </w:p>
    <w:p>
      <w:pPr>
        <w:spacing w:after="0"/>
      </w:pPr>
      <w:r>
        <w:rPr>
          <w:color w:val="5A5A66"/>
          <w:sz w:val="20"/>
          <w:szCs w:val="20"/>
          <w:rFonts w:ascii="Arial" w:cs="Arial" w:eastAsia="Arial" w:hAnsi="Arial"/>
        </w:rPr>
        <w:t xml:space="preserve">Reference stack:  BytePlus ModelArk + VikingDB</w:t>
      </w:r>
    </w:p>
    <w:p>
      <w:pPr>
        <w:spacing w:after="0"/>
      </w:pPr>
      <w:r>
        <w:rPr>
          <w:color w:val="5A5A66"/>
          <w:sz w:val="20"/>
          <w:szCs w:val="20"/>
          <w:rFonts w:ascii="Arial" w:cs="Arial" w:eastAsia="Arial" w:hAnsi="Arial"/>
        </w:rPr>
        <w:t xml:space="preserve">Generated:  2026-06-14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120" w:line="276"/>
      </w:pPr>
      <w:r>
        <w:rPr>
          <w:color w:val="1A1A22"/>
          <w:sz w:val="21"/>
          <w:szCs w:val="21"/>
          <w:rFonts w:ascii="Arial" w:cs="Arial" w:eastAsia="Arial" w:hAnsi="Arial"/>
        </w:rPr>
        <w:t xml:space="preserve">This document describes the system </w:t>
      </w:r>
      <w:r>
        <w:rPr>
          <w:i/>
          <w:iCs/>
          <w:color w:val="1A1A22"/>
          <w:sz w:val="21"/>
          <w:szCs w:val="21"/>
          <w:rFonts w:ascii="Arial" w:cs="Arial" w:eastAsia="Arial" w:hAnsi="Arial"/>
        </w:rPr>
        <w:t xml:space="preserve">as built</w:t>
      </w:r>
      <w:r>
        <w:rPr>
          <w:color w:val="1A1A22"/>
          <w:sz w:val="21"/>
          <w:szCs w:val="21"/>
          <w:rFonts w:ascii="Arial" w:cs="Arial" w:eastAsia="Arial" w:hAnsi="Arial"/>
        </w:rPr>
        <w:t xml:space="preserve"> — every component below is implemented and tested, and the self-improvement loop has been verified end-to-end on live infrastructure. It pairs with the in-repo </w:t>
      </w:r>
      <w:r>
        <w:rPr>
          <w:color w:val="33336A"/>
          <w:sz w:val="19"/>
          <w:szCs w:val="19"/>
          <w:rFonts w:ascii="Consolas" w:cs="Consolas" w:eastAsia="Consolas" w:hAnsi="Consolas"/>
        </w:rPr>
        <w:t xml:space="preserve">docs/DESIGN_AND_SOLUTION.md</w:t>
      </w:r>
      <w:r>
        <w:rPr>
          <w:color w:val="1A1A22"/>
          <w:sz w:val="21"/>
          <w:szCs w:val="21"/>
          <w:rFonts w:ascii="Arial" w:cs="Arial" w:eastAsia="Arial" w:hAnsi="Arial"/>
        </w:rPr>
        <w:t xml:space="preserve">, the ADRs in </w:t>
      </w:r>
      <w:r>
        <w:rPr>
          <w:color w:val="33336A"/>
          <w:sz w:val="19"/>
          <w:szCs w:val="19"/>
          <w:rFonts w:ascii="Consolas" w:cs="Consolas" w:eastAsia="Consolas" w:hAnsi="Consolas"/>
        </w:rPr>
        <w:t xml:space="preserve">docs/decisions/</w:t>
      </w:r>
      <w:r>
        <w:rPr>
          <w:color w:val="1A1A22"/>
          <w:sz w:val="21"/>
          <w:szCs w:val="21"/>
          <w:rFonts w:ascii="Arial" w:cs="Arial" w:eastAsia="Arial" w:hAnsi="Arial"/>
        </w:rPr>
        <w:t xml:space="preserve">, and </w:t>
      </w:r>
      <w:r>
        <w:rPr>
          <w:color w:val="33336A"/>
          <w:sz w:val="19"/>
          <w:szCs w:val="19"/>
          <w:rFonts w:ascii="Consolas" w:cs="Consolas" w:eastAsia="Consolas" w:hAnsi="Consolas"/>
        </w:rPr>
        <w:t xml:space="preserve">docs/PRODUCTION.md</w:t>
      </w:r>
      <w:r>
        <w:rPr>
          <w:color w:val="1A1A22"/>
          <w:sz w:val="21"/>
          <w:szCs w:val="21"/>
          <w:rFonts w:ascii="Arial" w:cs="Arial" w:eastAsia="Arial" w:hAnsi="Arial"/>
        </w:rPr>
        <w:t xml:space="preserve">.</w:t>
      </w:r>
    </w:p>
    <w:p>
      <w:pPr>
        <w:pStyle w:val="Heading1"/>
      </w:pPr>
      <w:r>
        <w:rPr>
          <w:rFonts w:ascii="Arial" w:cs="Arial" w:eastAsia="Arial" w:hAnsi="Arial"/>
        </w:rPr>
        <w:t xml:space="preserve">1.  The concept</w:t>
      </w:r>
    </w:p>
    <w:p>
      <w:pPr>
        <w:spacing w:after="120" w:line="276"/>
      </w:pPr>
      <w:r>
        <w:rPr>
          <w:color w:val="1A1A22"/>
          <w:sz w:val="21"/>
          <w:szCs w:val="21"/>
          <w:rFonts w:ascii="Arial" w:cs="Arial" w:eastAsia="Arial" w:hAnsi="Arial"/>
        </w:rPr>
        <w:t xml:space="preserve">The #1 limitation of production LLM agents is that they </w:t>
      </w:r>
      <w:r>
        <w:rPr>
          <w:b/>
          <w:bCs/>
          <w:color w:val="1A1A22"/>
          <w:sz w:val="21"/>
          <w:szCs w:val="21"/>
          <w:rFonts w:ascii="Arial" w:cs="Arial" w:eastAsia="Arial" w:hAnsi="Arial"/>
        </w:rPr>
        <w:t xml:space="preserve">don’t learn from experience</w:t>
      </w:r>
      <w:r>
        <w:rPr>
          <w:color w:val="1A1A22"/>
          <w:sz w:val="21"/>
          <w:szCs w:val="21"/>
          <w:rFonts w:ascii="Arial" w:cs="Arial" w:eastAsia="Arial" w:hAnsi="Arial"/>
        </w:rPr>
        <w:t xml:space="preserve"> — they stay stateless and need manual prompt and dataset work to improve. aprntc closes that gap with an autonomous </w:t>
      </w:r>
      <w:r>
        <w:rPr>
          <w:b/>
          <w:bCs/>
          <w:color w:val="1A1A22"/>
          <w:sz w:val="21"/>
          <w:szCs w:val="21"/>
          <w:rFonts w:ascii="Arial" w:cs="Arial" w:eastAsia="Arial" w:hAnsi="Arial"/>
        </w:rPr>
        <w:t xml:space="preserve">observe → label → distill → evaluate → promote</w:t>
      </w:r>
      <w:r>
        <w:rPr>
          <w:color w:val="1A1A22"/>
          <w:sz w:val="21"/>
          <w:szCs w:val="21"/>
          <w:rFonts w:ascii="Arial" w:cs="Arial" w:eastAsia="Arial" w:hAnsi="Arial"/>
        </w:rPr>
        <w:t xml:space="preserve"> loop, with a human only at the promotion gate.</w:t>
      </w:r>
    </w:p>
    <w:p>
      <w:pPr>
        <w:spacing w:after="120" w:line="276"/>
      </w:pPr>
      <w:r>
        <w:rPr>
          <w:color w:val="1A1A22"/>
          <w:sz w:val="21"/>
          <w:szCs w:val="21"/>
          <w:rFonts w:ascii="Arial" w:cs="Arial" w:eastAsia="Arial" w:hAnsi="Arial"/>
        </w:rPr>
        <w:t xml:space="preserve">An apprentice (“child”) agent is cloned from a live parent, passively shadows it, distills lessons from what worked and what didn’t, becomes measurably better, and — once a human approves — is promoted to replace it. Then the cycle repeats.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D9E0" w:sz="1"/>
              <w:left w:val="single" w:color="4F46E5" w:sz="18"/>
              <w:bottom w:val="single" w:color="D9D9E0" w:sz="1"/>
              <w:right w:val="single" w:color="D9D9E0" w:sz="1"/>
            </w:tcBorders>
            <w:shd w:fill="EFEE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5A5A66"/>
                <w:sz w:val="16"/>
                <w:szCs w:val="16"/>
                <w:rFonts w:ascii="Arial" w:cs="Arial" w:eastAsia="Arial" w:hAnsi="Arial"/>
                <w:spacing w:val="4"/>
              </w:rPr>
              <w:t xml:space="preserve">SCOPING PRINCIPLE (LOAD-BEARING)</w:t>
            </w:r>
          </w:p>
          <w:p>
            <w:pPr>
              <w:spacing w:after="0" w:line="264"/>
            </w:pPr>
            <w:r>
              <w:rPr>
                <w:color w:val="1A1A22"/>
                <w:sz w:val="21"/>
                <w:szCs w:val="21"/>
                <w:rFonts w:ascii="Arial" w:cs="Arial" w:eastAsia="Arial" w:hAnsi="Arial"/>
              </w:rPr>
              <w:t xml:space="preserve">aprntc is </w:t>
            </w:r>
            <w:r>
              <w:rPr>
                <w:b/>
                <w:bCs/>
                <w:color w:val="1A1A22"/>
                <w:sz w:val="21"/>
                <w:szCs w:val="21"/>
                <w:rFonts w:ascii="Arial" w:cs="Arial" w:eastAsia="Arial" w:hAnsi="Arial"/>
              </w:rPr>
              <w:t xml:space="preserve">not</w:t>
            </w:r>
            <w:r>
              <w:rPr>
                <w:color w:val="1A1A22"/>
                <w:sz w:val="21"/>
                <w:szCs w:val="21"/>
                <w:rFonts w:ascii="Arial" w:cs="Arial" w:eastAsia="Arial" w:hAnsi="Arial"/>
              </w:rPr>
              <w:t xml:space="preserve"> a monitoring or observability product. It learns from the parent’s overall </w:t>
            </w:r>
            <w:r>
              <w:rPr>
                <w:i/>
                <w:iCs/>
                <w:color w:val="1A1A22"/>
                <w:sz w:val="21"/>
                <w:szCs w:val="21"/>
                <w:rFonts w:ascii="Arial" w:cs="Arial" w:eastAsia="Arial" w:hAnsi="Arial"/>
              </w:rPr>
              <w:t xml:space="preserve">response quality</w:t>
            </w:r>
            <w:r>
              <w:rPr>
                <w:color w:val="1A1A22"/>
                <w:sz w:val="21"/>
                <w:szCs w:val="21"/>
                <w:rFonts w:ascii="Arial" w:cs="Arial" w:eastAsia="Arial" w:hAnsi="Arial"/>
              </w:rPr>
              <w:t xml:space="preserve"> to produce a better successor — episode- and task-level quality signal is the target, not exhaustive trace capture.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2.  What the “child” actually is</w:t>
      </w:r>
    </w:p>
    <w:p>
      <w:pPr>
        <w:spacing w:after="120" w:line="276"/>
      </w:pPr>
      <w:r>
        <w:rPr>
          <w:color w:val="1A1A22"/>
          <w:sz w:val="21"/>
          <w:szCs w:val="21"/>
          <w:rFonts w:ascii="Arial" w:cs="Arial" w:eastAsia="Arial" w:hAnsi="Arial"/>
        </w:rPr>
        <w:t xml:space="preserve">The single most important thing to understand: </w:t>
      </w:r>
      <w:r>
        <w:rPr>
          <w:b/>
          <w:bCs/>
          <w:color w:val="1A1A22"/>
          <w:sz w:val="21"/>
          <w:szCs w:val="21"/>
          <w:rFonts w:ascii="Arial" w:cs="Arial" w:eastAsia="Arial" w:hAnsi="Arial"/>
        </w:rPr>
        <w:t xml:space="preserve">there is no separate “child program.”</w:t>
      </w:r>
      <w:r>
        <w:rPr>
          <w:color w:val="1A1A22"/>
          <w:sz w:val="21"/>
          <w:szCs w:val="21"/>
          <w:rFonts w:ascii="Arial" w:cs="Arial" w:eastAsia="Arial" w:hAnsi="Arial"/>
        </w:rPr>
        <w:t xml:space="preserve"> An agent = a </w:t>
      </w:r>
      <w:r>
        <w:rPr>
          <w:b/>
          <w:bCs/>
          <w:color w:val="1A1A22"/>
          <w:sz w:val="21"/>
          <w:szCs w:val="21"/>
          <w:rFonts w:ascii="Arial" w:cs="Arial" w:eastAsia="Arial" w:hAnsi="Arial"/>
        </w:rPr>
        <w:t xml:space="preserve">fixed engine</w:t>
      </w:r>
      <w:r>
        <w:rPr>
          <w:color w:val="1A1A22"/>
          <w:sz w:val="21"/>
          <w:szCs w:val="21"/>
          <w:rFonts w:ascii="Arial" w:cs="Arial" w:eastAsia="Arial" w:hAnsi="Arial"/>
        </w:rPr>
        <w:t xml:space="preserve"> (the LLM, retrieval, tools, the loop) </w:t>
      </w:r>
      <w:r>
        <w:rPr>
          <w:b/>
          <w:bCs/>
          <w:color w:val="1A1A22"/>
          <w:sz w:val="21"/>
          <w:szCs w:val="21"/>
          <w:rFonts w:ascii="Arial" w:cs="Arial" w:eastAsia="Arial" w:hAnsi="Arial"/>
        </w:rPr>
        <w:t xml:space="preserve">+ a Playbook</w:t>
      </w:r>
      <w:r>
        <w:rPr>
          <w:color w:val="1A1A22"/>
          <w:sz w:val="21"/>
          <w:szCs w:val="21"/>
          <w:rFonts w:ascii="Arial" w:cs="Arial" w:eastAsia="Arial" w:hAnsi="Arial"/>
        </w:rPr>
        <w:t xml:space="preserve"> (a config artifact: system prompt + directives + exemplars + “watch-out” lessons). Parent and child share the </w:t>
      </w:r>
      <w:r>
        <w:rPr>
          <w:i/>
          <w:iCs/>
          <w:color w:val="1A1A22"/>
          <w:sz w:val="21"/>
          <w:szCs w:val="21"/>
          <w:rFonts w:ascii="Arial" w:cs="Arial" w:eastAsia="Arial" w:hAnsi="Arial"/>
        </w:rPr>
        <w:t xml:space="preserve">exact same engine</w:t>
      </w:r>
      <w:r>
        <w:rPr>
          <w:color w:val="1A1A22"/>
          <w:sz w:val="21"/>
          <w:szCs w:val="21"/>
          <w:rFonts w:ascii="Arial" w:cs="Arial" w:eastAsia="Arial" w:hAnsi="Arial"/>
        </w:rPr>
        <w:t xml:space="preserve"> — the only difference between them is the Playbook.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fig1-child.png" descr="Figure 1 — The parent and child share one engine. Only the Playbook differs; promotion swaps it." title="Figure 1 — The parent and child share one engine. Only the Playbook differs; promotion swaps i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8A8A95"/>
          <w:sz w:val="17"/>
          <w:szCs w:val="17"/>
          <w:rFonts w:ascii="Arial" w:cs="Arial" w:eastAsia="Arial" w:hAnsi="Arial"/>
        </w:rPr>
        <w:t xml:space="preserve">Figure 1 — The parent and child share one engine. Only the Playbook differs; promotion swaps it.</w:t>
      </w:r>
    </w:p>
    <w:p>
      <w:pPr>
        <w:spacing w:after="120" w:line="276"/>
      </w:pPr>
      <w:r>
        <w:rPr>
          <w:color w:val="1A1A22"/>
          <w:sz w:val="21"/>
          <w:szCs w:val="21"/>
          <w:rFonts w:ascii="Arial" w:cs="Arial" w:eastAsia="Arial" w:hAnsi="Arial"/>
        </w:rPr>
        <w:t xml:space="preserve">This is the </w:t>
      </w:r>
      <w:r>
        <w:rPr>
          <w:b/>
          <w:bCs/>
          <w:color w:val="1A1A22"/>
          <w:sz w:val="21"/>
          <w:szCs w:val="21"/>
          <w:rFonts w:ascii="Arial" w:cs="Arial" w:eastAsia="Arial" w:hAnsi="Arial"/>
        </w:rPr>
        <w:t xml:space="preserve">Phase-1 mechanism</w:t>
      </w:r>
      <w:r>
        <w:rPr>
          <w:color w:val="1A1A22"/>
          <w:sz w:val="21"/>
          <w:szCs w:val="21"/>
          <w:rFonts w:ascii="Arial" w:cs="Arial" w:eastAsia="Arial" w:hAnsi="Arial"/>
        </w:rPr>
        <w:t xml:space="preserve">: playbook distillation, </w:t>
      </w:r>
      <w:r>
        <w:rPr>
          <w:i/>
          <w:iCs/>
          <w:color w:val="1A1A22"/>
          <w:sz w:val="21"/>
          <w:szCs w:val="21"/>
          <w:rFonts w:ascii="Arial" w:cs="Arial" w:eastAsia="Arial" w:hAnsi="Arial"/>
        </w:rPr>
        <w:t xml:space="preserve">not</w:t>
      </w:r>
      <w:r>
        <w:rPr>
          <w:color w:val="1A1A22"/>
          <w:sz w:val="21"/>
          <w:szCs w:val="21"/>
          <w:rFonts w:ascii="Arial" w:cs="Arial" w:eastAsia="Arial" w:hAnsi="Arial"/>
        </w:rPr>
        <w:t xml:space="preserve"> fine-tuning. The consequences map directly to real-world constraints: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A1A22"/>
          <w:sz w:val="21"/>
          <w:szCs w:val="21"/>
          <w:rFonts w:ascii="Arial" w:cs="Arial" w:eastAsia="Arial" w:hAnsi="Arial"/>
        </w:rPr>
        <w:t xml:space="preserve">Works on closed-source LLMs.  </w:t>
      </w:r>
      <w:r>
        <w:rPr>
          <w:color w:val="1A1A22"/>
          <w:sz w:val="21"/>
          <w:szCs w:val="21"/>
          <w:rFonts w:ascii="Arial" w:cs="Arial" w:eastAsia="Arial" w:hAnsi="Arial"/>
        </w:rPr>
        <w:t xml:space="preserve">You can’t fine-tune Seed-2.0 or DeepSeek — but you can change how they’re prompted and what examples and lessons they’re given.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A1A22"/>
          <w:sz w:val="21"/>
          <w:szCs w:val="21"/>
          <w:rFonts w:ascii="Arial" w:cs="Arial" w:eastAsia="Arial" w:hAnsi="Arial"/>
        </w:rPr>
        <w:t xml:space="preserve">Attributable.  </w:t>
      </w:r>
      <w:r>
        <w:rPr>
          <w:color w:val="1A1A22"/>
          <w:sz w:val="21"/>
          <w:szCs w:val="21"/>
          <w:rFonts w:ascii="Arial" w:cs="Arial" w:eastAsia="Arial" w:hAnsi="Arial"/>
        </w:rPr>
        <w:t xml:space="preserve">Every lesson traces back to the trajectories that produced 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A1A22"/>
          <w:sz w:val="21"/>
          <w:szCs w:val="21"/>
          <w:rFonts w:ascii="Arial" w:cs="Arial" w:eastAsia="Arial" w:hAnsi="Arial"/>
        </w:rPr>
        <w:t xml:space="preserve">Reversible.  </w:t>
      </w:r>
      <w:r>
        <w:rPr>
          <w:color w:val="1A1A22"/>
          <w:sz w:val="21"/>
          <w:szCs w:val="21"/>
          <w:rFonts w:ascii="Arial" w:cs="Arial" w:eastAsia="Arial" w:hAnsi="Arial"/>
        </w:rPr>
        <w:t xml:space="preserve">A bad promotion is one config swap to undo — no opaque weight changes.</w:t>
      </w:r>
    </w:p>
    <w:p>
      <w:pPr>
        <w:pStyle w:val="Heading1"/>
      </w:pPr>
      <w:r>
        <w:rPr>
          <w:rFonts w:ascii="Arial" w:cs="Arial" w:eastAsia="Arial" w:hAnsi="Arial"/>
        </w:rPr>
        <w:t xml:space="preserve">3.  The closed loop</w:t>
      </w:r>
    </w:p>
    <w:p>
      <w:pPr>
        <w:spacing w:after="120" w:line="276"/>
      </w:pPr>
      <w:r>
        <w:rPr>
          <w:color w:val="1A1A22"/>
          <w:sz w:val="21"/>
          <w:szCs w:val="21"/>
          <w:rFonts w:ascii="Arial" w:cs="Arial" w:eastAsia="Arial" w:hAnsi="Arial"/>
        </w:rPr>
        <w:t xml:space="preserve">Each stage below is implemented; the path from parent run → distilled lesson → memory → child retrieval is verified live (</w:t>
      </w:r>
      <w:r>
        <w:rPr>
          <w:color w:val="33336A"/>
          <w:sz w:val="19"/>
          <w:szCs w:val="19"/>
          <w:rFonts w:ascii="Consolas" w:cs="Consolas" w:eastAsia="Consolas" w:hAnsi="Consolas"/>
        </w:rPr>
        <w:t xml:space="preserve">scripts/demo_byteplus_loop.py</w:t>
      </w:r>
      <w:r>
        <w:rPr>
          <w:color w:val="1A1A22"/>
          <w:sz w:val="21"/>
          <w:szCs w:val="21"/>
          <w:rFonts w:ascii="Arial" w:cs="Arial" w:eastAsia="Arial" w:hAnsi="Arial"/>
        </w:rPr>
        <w:t xml:space="preserve">), where a distilled child won 65–85% of head-to-head comparisons against a real BytePlus support agent.</w:t>
      </w:r>
    </w:p>
    <w:p>
      <w:pPr>
        <w:spacing w:before="120" w:after="60"/>
        <w:jc w:val="center"/>
      </w:pPr>
      <w:r>
        <w:drawing>
          <wp:inline distT="0" distB="0" distL="0" distR="0">
            <wp:extent cx="5943600" cy="2476500"/>
            <wp:effectExtent t="0" r="0" b="0" l="0"/>
            <wp:docPr id="1" name="fig2-loop.png" descr="Figure 2 — observe → label → distill → evaluate → promote. The dashed arrow is the only write back to the live agent (a gated config swap)." title="Figure 2 — observe → label → distill → evaluate → promote. The dashed arrow is the only write back to the live agent (a gated config swap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8A8A95"/>
          <w:sz w:val="17"/>
          <w:szCs w:val="17"/>
          <w:rFonts w:ascii="Arial" w:cs="Arial" w:eastAsia="Arial" w:hAnsi="Arial"/>
        </w:rPr>
        <w:t xml:space="preserve">Figure 2 — observe → label → distill → evaluate → promote. The dashed arrow is the only write back to the live agent (a gated config swap).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1A1A22"/>
                <w:sz w:val="18"/>
                <w:szCs w:val="18"/>
                <w:rFonts w:ascii="Arial" w:cs="Arial" w:eastAsia="Arial" w:hAnsi="Arial"/>
              </w:rPr>
              <w:t xml:space="preserve">Cadence</w:t>
            </w:r>
          </w:p>
        </w:tc>
        <w:tc>
          <w:tcPr>
            <w:tcW w:type="dxa" w:w="716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1A1A22"/>
                <w:sz w:val="18"/>
                <w:szCs w:val="18"/>
                <w:rFonts w:ascii="Arial" w:cs="Arial" w:eastAsia="Arial" w:hAnsi="Arial"/>
              </w:rPr>
              <w:t xml:space="preserve">What runs</w:t>
            </w:r>
          </w:p>
        </w:tc>
      </w:tr>
      <w:tr>
        <w:tc>
          <w:tcPr>
            <w:tcW w:type="dxa" w:w="22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Continuous (ms)</w:t>
            </w:r>
          </w:p>
        </w:tc>
        <w:tc>
          <w:tcPr>
            <w:tcW w:type="dxa" w:w="716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Tap captures live interactions into the trajectory store — async, fail-open, never on the user’s response path.</w:t>
            </w:r>
          </w:p>
        </w:tc>
      </w:tr>
      <w:tr>
        <w:tc>
          <w:tcPr>
            <w:tcW w:type="dxa" w:w="22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Hourly</w:t>
            </w:r>
          </w:p>
        </w:tc>
        <w:tc>
          <w:tcPr>
            <w:tcW w:type="dxa" w:w="716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Judge + outcome scoring label the trajectories.</w:t>
            </w:r>
          </w:p>
        </w:tc>
      </w:tr>
      <w:tr>
        <w:tc>
          <w:tcPr>
            <w:tcW w:type="dxa" w:w="22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Nightly (batch)</w:t>
            </w:r>
          </w:p>
        </w:tc>
        <w:tc>
          <w:tcPr>
            <w:tcW w:type="dxa" w:w="716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Distill lessons → build child G(n+1) → run the gate on a held-out set.</w:t>
            </w:r>
          </w:p>
        </w:tc>
      </w:tr>
      <w:tr>
        <w:tc>
          <w:tcPr>
            <w:tcW w:type="dxa" w:w="22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Weekly (human)</w:t>
            </w:r>
          </w:p>
        </w:tc>
        <w:tc>
          <w:tcPr>
            <w:tcW w:type="dxa" w:w="716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Reviewer sees the diff + metrics in the dashboard → clicks Promote.</w:t>
            </w:r>
          </w:p>
        </w:tc>
      </w:tr>
      <w:tr>
        <w:tc>
          <w:tcPr>
            <w:tcW w:type="dxa" w:w="22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On regression</w:t>
            </w:r>
          </w:p>
        </w:tc>
        <w:tc>
          <w:tcPr>
            <w:tcW w:type="dxa" w:w="716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One-click rollback, or auto-rollback if a live metric degrades after promotion.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 Production integration</w:t>
      </w:r>
    </w:p>
    <w:p>
      <w:pPr>
        <w:spacing w:after="120" w:line="276"/>
      </w:pPr>
      <w:r>
        <w:rPr>
          <w:color w:val="1A1A22"/>
          <w:sz w:val="21"/>
          <w:szCs w:val="21"/>
          <w:rFonts w:ascii="Arial" w:cs="Arial" w:eastAsia="Arial" w:hAnsi="Arial"/>
        </w:rPr>
        <w:t xml:space="preserve">aprntc sits </w:t>
      </w:r>
      <w:r>
        <w:rPr>
          <w:b/>
          <w:bCs/>
          <w:color w:val="1A1A22"/>
          <w:sz w:val="21"/>
          <w:szCs w:val="21"/>
          <w:rFonts w:ascii="Arial" w:cs="Arial" w:eastAsia="Arial" w:hAnsi="Arial"/>
        </w:rPr>
        <w:t xml:space="preserve">beside</w:t>
      </w:r>
      <w:r>
        <w:rPr>
          <w:color w:val="1A1A22"/>
          <w:sz w:val="21"/>
          <w:szCs w:val="21"/>
          <w:rFonts w:ascii="Arial" w:cs="Arial" w:eastAsia="Arial" w:hAnsi="Arial"/>
        </w:rPr>
        <w:t xml:space="preserve"> your agent, never in front of it. The production agent keeps running exactly as today; aprntc is a separate service that observes, improves, and proposes. It is </w:t>
      </w:r>
      <w:r>
        <w:rPr>
          <w:b/>
          <w:bCs/>
          <w:color w:val="1A1A22"/>
          <w:sz w:val="21"/>
          <w:szCs w:val="21"/>
          <w:rFonts w:ascii="Arial" w:cs="Arial" w:eastAsia="Arial" w:hAnsi="Arial"/>
        </w:rPr>
        <w:t xml:space="preserve">never in the user request path</w:t>
      </w:r>
      <w:r>
        <w:rPr>
          <w:color w:val="1A1A22"/>
          <w:sz w:val="21"/>
          <w:szCs w:val="21"/>
          <w:rFonts w:ascii="Arial" w:cs="Arial" w:eastAsia="Arial" w:hAnsi="Arial"/>
        </w:rPr>
        <w:t xml:space="preserve"> — if it’s down or wrong, production is unaffected.</w:t>
      </w:r>
    </w:p>
    <w:p>
      <w:pPr>
        <w:spacing w:before="120" w:after="60"/>
        <w:jc w:val="center"/>
      </w:pPr>
      <w:r>
        <w:drawing>
          <wp:inline distT="0" distB="0" distL="0" distR="0">
            <wp:extent cx="5943600" cy="3629025"/>
            <wp:effectExtent t="0" r="0" b="0" l="0"/>
            <wp:docPr id="1" name="fig3-production.png" descr="Figure 3 — aprntc observes via a read-only tap (inbound) and serves the improved playbook the agent pulls (outbound). The gated config swap is the only write back to production." title="Figure 3 — aprntc observes via a read-only tap (inbound) and serves the improved playbook the agent pulls (outbound). The gated config swap is the only write back to produc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8A8A95"/>
          <w:sz w:val="17"/>
          <w:szCs w:val="17"/>
          <w:rFonts w:ascii="Arial" w:cs="Arial" w:eastAsia="Arial" w:hAnsi="Arial"/>
        </w:rPr>
        <w:t xml:space="preserve">Figure 3 — aprntc observes via a read-only tap (inbound) and serves the improved playbook the agent pulls (outbound). The gated config swap is the only write back to production.</w:t>
      </w:r>
    </w:p>
    <w:p>
      <w:pPr>
        <w:pStyle w:val="Heading2"/>
      </w:pPr>
      <w:r>
        <w:rPr>
          <w:rFonts w:ascii="Arial" w:cs="Arial" w:eastAsia="Arial" w:hAnsi="Arial"/>
        </w:rPr>
        <w:t xml:space="preserve">Connecting an external agent</w:t>
      </w:r>
    </w:p>
    <w:p>
      <w:pPr>
        <w:spacing w:after="120" w:line="276"/>
      </w:pPr>
      <w:r>
        <w:rPr>
          <w:color w:val="1A1A22"/>
          <w:sz w:val="21"/>
          <w:szCs w:val="21"/>
          <w:rFonts w:ascii="Arial" w:cs="Arial" w:eastAsia="Arial" w:hAnsi="Arial"/>
        </w:rPr>
        <w:t xml:space="preserve">aprntc owns neither the agent’s code nor its prompt, so the Playbook becomes a contract with two halves: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A1A22"/>
          <w:sz w:val="21"/>
          <w:szCs w:val="21"/>
          <w:rFonts w:ascii="Arial" w:cs="Arial" w:eastAsia="Arial" w:hAnsi="Arial"/>
        </w:rPr>
        <w:t xml:space="preserve">Inbound (observe).  </w:t>
      </w:r>
      <w:r>
        <w:rPr>
          <w:color w:val="1A1A22"/>
          <w:sz w:val="21"/>
          <w:szCs w:val="21"/>
          <w:rFonts w:ascii="Arial" w:cs="Arial" w:eastAsia="Arial" w:hAnsi="Arial"/>
        </w:rPr>
        <w:t xml:space="preserve">The agent’s traffic flows into aprntc via a tap (egress proxy / OpenTelemetry / MCP gateway). Read-only. This is how aprntc sees behavior without owning the code.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A1A22"/>
          <w:sz w:val="21"/>
          <w:szCs w:val="21"/>
          <w:rFonts w:ascii="Arial" w:cs="Arial" w:eastAsia="Arial" w:hAnsi="Arial"/>
        </w:rPr>
        <w:t xml:space="preserve">Outbound (control).  </w:t>
      </w:r>
      <w:r>
        <w:rPr>
          <w:color w:val="1A1A22"/>
          <w:sz w:val="21"/>
          <w:szCs w:val="21"/>
          <w:rFonts w:ascii="Arial" w:cs="Arial" w:eastAsia="Arial" w:hAnsi="Arial"/>
        </w:rPr>
        <w:t xml:space="preserve">The agent pulls its active playbook from aprntc’s config-fetch API (</w:t>
      </w:r>
      <w:r>
        <w:rPr>
          <w:color w:val="33336A"/>
          <w:sz w:val="19"/>
          <w:szCs w:val="19"/>
          <w:rFonts w:ascii="Consolas" w:cs="Consolas" w:eastAsia="Consolas" w:hAnsi="Consolas"/>
        </w:rPr>
        <w:t xml:space="preserve">GET /api/playbooks/{id}/active</w:t>
      </w:r>
      <w:r>
        <w:rPr>
          <w:color w:val="1A1A22"/>
          <w:sz w:val="21"/>
          <w:szCs w:val="21"/>
          <w:rFonts w:ascii="Arial" w:cs="Arial" w:eastAsia="Arial" w:hAnsi="Arial"/>
        </w:rPr>
        <w:t xml:space="preserve">). Promotion updates what’s served; the agent picks it up. Rollback serves the prior version. No redeploy.</w:t>
      </w:r>
    </w:p>
    <w:p>
      <w:pPr>
        <w:spacing w:after="120" w:line="276"/>
      </w:pPr>
      <w:r>
        <w:rPr>
          <w:color w:val="8A8A95"/>
          <w:sz w:val="19"/>
          <w:szCs w:val="19"/>
          <w:rFonts w:ascii="Arial" w:cs="Arial" w:eastAsia="Arial" w:hAnsi="Arial"/>
        </w:rPr>
        <w:t xml:space="preserve">Initial G0 = the customer registers their current system prompt (aprntc needs only the prompt text, not the code); if they don’t, aprntc infers an approximate G0 from the system prompt the tap observed.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 Component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5760"/>
      </w:tblGrid>
      <w:tr>
        <w:trPr>
          <w:tblHeader/>
        </w:trPr>
        <w:tc>
          <w:tcPr>
            <w:tcW w:type="dxa" w:w="21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1A1A22"/>
                <w:sz w:val="18"/>
                <w:szCs w:val="18"/>
                <w:rFonts w:ascii="Arial" w:cs="Arial" w:eastAsia="Arial" w:hAnsi="Arial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1A1A22"/>
                <w:sz w:val="18"/>
                <w:szCs w:val="18"/>
                <w:rFonts w:ascii="Arial" w:cs="Arial" w:eastAsia="Arial" w:hAnsi="Arial"/>
              </w:rPr>
              <w:t xml:space="preserve">Module</w:t>
            </w:r>
          </w:p>
        </w:tc>
        <w:tc>
          <w:tcPr>
            <w:tcW w:type="dxa" w:w="576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1A1A22"/>
                <w:sz w:val="18"/>
                <w:szCs w:val="18"/>
                <w:rFonts w:ascii="Arial" w:cs="Arial" w:eastAsia="Arial" w:hAnsi="Arial"/>
              </w:rPr>
              <w:t xml:space="preserve">Responsibility</w:t>
            </w:r>
          </w:p>
        </w:tc>
      </w:tr>
      <w:tr>
        <w:tc>
          <w:tcPr>
            <w:tcW w:type="dxa" w:w="21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LLMProvider seam</w:t>
            </w:r>
          </w:p>
        </w:tc>
        <w:tc>
          <w:tcPr>
            <w:tcW w:type="dxa" w:w="15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providers/</w:t>
            </w:r>
          </w:p>
        </w:tc>
        <w:tc>
          <w:tcPr>
            <w:tcW w:type="dxa" w:w="576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One complete() contract; model-agnostic (Seed / DeepSeek / OpenAI / Anthropic / Gemini).</w:t>
            </w:r>
          </w:p>
        </w:tc>
      </w:tr>
      <w:tr>
        <w:tc>
          <w:tcPr>
            <w:tcW w:type="dxa" w:w="21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AgentTap + collectors</w:t>
            </w:r>
          </w:p>
        </w:tc>
        <w:tc>
          <w:tcPr>
            <w:tcW w:type="dxa" w:w="15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tap/</w:t>
            </w:r>
          </w:p>
        </w:tc>
        <w:tc>
          <w:tcPr>
            <w:tcW w:type="dxa" w:w="576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SDK wrapper (full fidelity) · LiteLLM egress proxy · OTel ingester · MCP gateway — all normalize into one Trajectory; async + fail-open.</w:t>
            </w:r>
          </w:p>
        </w:tc>
      </w:tr>
      <w:tr>
        <w:tc>
          <w:tcPr>
            <w:tcW w:type="dxa" w:w="21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Trajectory schema + store</w:t>
            </w:r>
          </w:p>
        </w:tc>
        <w:tc>
          <w:tcPr>
            <w:tcW w:type="dxa" w:w="15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trajectory/</w:t>
            </w:r>
          </w:p>
        </w:tc>
        <w:tc>
          <w:tcPr>
            <w:tcW w:type="dxa" w:w="576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Canonical Episode/Turn/Step; SQLite store; PII scrub at ingest; fused reward; GDPR delete + TTL.</w:t>
            </w:r>
          </w:p>
        </w:tc>
      </w:tr>
      <w:tr>
        <w:tc>
          <w:tcPr>
            <w:tcW w:type="dxa" w:w="21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Evaluation / labeling</w:t>
            </w:r>
          </w:p>
        </w:tc>
        <w:tc>
          <w:tcPr>
            <w:tcW w:type="dxa" w:w="15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eval/</w:t>
            </w:r>
          </w:p>
        </w:tc>
        <w:tc>
          <w:tcPr>
            <w:tcW w:type="dxa" w:w="576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Recused pairwise judge · deterministic outcome scorers (the anchor) · health metrics · learned fusion weights.</w:t>
            </w:r>
          </w:p>
        </w:tc>
      </w:tr>
      <w:tr>
        <w:tc>
          <w:tcPr>
            <w:tcW w:type="dxa" w:w="21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Experience memory</w:t>
            </w:r>
          </w:p>
        </w:tc>
        <w:tc>
          <w:tcPr>
            <w:tcW w:type="dxa" w:w="15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memory/</w:t>
            </w:r>
          </w:p>
        </w:tc>
        <w:tc>
          <w:tcPr>
            <w:tcW w:type="dxa" w:w="576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VikingDB REST adapter (own SigV4 signer) · filtered hybrid search + MMR · curated, generation-versioned lessons.</w:t>
            </w:r>
          </w:p>
        </w:tc>
      </w:tr>
      <w:tr>
        <w:tc>
          <w:tcPr>
            <w:tcW w:type="dxa" w:w="21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Distillation + child</w:t>
            </w:r>
          </w:p>
        </w:tc>
        <w:tc>
          <w:tcPr>
            <w:tcW w:type="dxa" w:w="15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distill/</w:t>
            </w:r>
          </w:p>
        </w:tc>
        <w:tc>
          <w:tcPr>
            <w:tcW w:type="dxa" w:w="576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Playbook + attributable diff · distiller (success→directives/exemplars, failure→watch-outs) · child runtime.</w:t>
            </w:r>
          </w:p>
        </w:tc>
      </w:tr>
      <w:tr>
        <w:tc>
          <w:tcPr>
            <w:tcW w:type="dxa" w:w="21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Promotion</w:t>
            </w:r>
          </w:p>
        </w:tc>
        <w:tc>
          <w:tcPr>
            <w:tcW w:type="dxa" w:w="15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promote/</w:t>
            </w:r>
          </w:p>
        </w:tc>
        <w:tc>
          <w:tcPr>
            <w:tcW w:type="dxa" w:w="576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Gate (Wilson CI + hard gates) · lineage DAG + rollback · auto-promotion policy (default-off, hard-gated).</w:t>
            </w:r>
          </w:p>
        </w:tc>
      </w:tr>
      <w:tr>
        <w:tc>
          <w:tcPr>
            <w:tcW w:type="dxa" w:w="21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Online</w:t>
            </w:r>
          </w:p>
        </w:tc>
        <w:tc>
          <w:tcPr>
            <w:tcW w:type="dxa" w:w="15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online/</w:t>
            </w:r>
          </w:p>
        </w:tc>
        <w:tc>
          <w:tcPr>
            <w:tcW w:type="dxa" w:w="576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Shadow runner (judge child vs parent on live traffic) · canary with auto-rollback.</w:t>
            </w:r>
          </w:p>
        </w:tc>
      </w:tr>
      <w:tr>
        <w:tc>
          <w:tcPr>
            <w:tcW w:type="dxa" w:w="21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Fleets</w:t>
            </w:r>
          </w:p>
        </w:tc>
        <w:tc>
          <w:tcPr>
            <w:tcW w:type="dxa" w:w="15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fleet/</w:t>
            </w:r>
          </w:p>
        </w:tc>
        <w:tc>
          <w:tcPr>
            <w:tcW w:type="dxa" w:w="576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Many parents, each own lineage · gated cross-agent lesson sharing.</w:t>
            </w:r>
          </w:p>
        </w:tc>
      </w:tr>
      <w:tr>
        <w:tc>
          <w:tcPr>
            <w:tcW w:type="dxa" w:w="21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Serving</w:t>
            </w:r>
          </w:p>
        </w:tc>
        <w:tc>
          <w:tcPr>
            <w:tcW w:type="dxa" w:w="15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serving/</w:t>
            </w:r>
          </w:p>
        </w:tc>
        <w:tc>
          <w:tcPr>
            <w:tcW w:type="dxa" w:w="576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Playbook registry + config-fetch API (the outbound integration).</w:t>
            </w:r>
          </w:p>
        </w:tc>
      </w:tr>
      <w:tr>
        <w:tc>
          <w:tcPr>
            <w:tcW w:type="dxa" w:w="21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Tenancy / auth</w:t>
            </w:r>
          </w:p>
        </w:tc>
        <w:tc>
          <w:tcPr>
            <w:tcW w:type="dxa" w:w="15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tenancy/, auth/</w:t>
            </w:r>
          </w:p>
        </w:tc>
        <w:tc>
          <w:tcPr>
            <w:tcW w:type="dxa" w:w="576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API-key tenant isolation (machine) · Google sign-in + sessions (human).</w:t>
            </w:r>
          </w:p>
        </w:tc>
      </w:tr>
      <w:tr>
        <w:tc>
          <w:tcPr>
            <w:tcW w:type="dxa" w:w="21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Ops</w:t>
            </w:r>
          </w:p>
        </w:tc>
        <w:tc>
          <w:tcPr>
            <w:tcW w:type="dxa" w:w="15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ops/</w:t>
            </w:r>
          </w:p>
        </w:tc>
        <w:tc>
          <w:tcPr>
            <w:tcW w:type="dxa" w:w="576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Scheduler (nightly cadence) · retry/backoff · self-metrics + /api/ops.</w:t>
            </w:r>
          </w:p>
        </w:tc>
      </w:tr>
      <w:tr>
        <w:tc>
          <w:tcPr>
            <w:tcW w:type="dxa" w:w="21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Dashboard</w:t>
            </w:r>
          </w:p>
        </w:tc>
        <w:tc>
          <w:tcPr>
            <w:tcW w:type="dxa" w:w="15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web/</w:t>
            </w:r>
          </w:p>
        </w:tc>
        <w:tc>
          <w:tcPr>
            <w:tcW w:type="dxa" w:w="576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React + Vite + Tailwind; 5 screens, light/dark, thumbs feedback, Google login.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 Quality &amp; the acceptance bar</w:t>
      </w:r>
    </w:p>
    <w:p>
      <w:pPr>
        <w:spacing w:after="120" w:line="276"/>
      </w:pPr>
      <w:r>
        <w:rPr>
          <w:color w:val="1A1A22"/>
          <w:sz w:val="21"/>
          <w:szCs w:val="21"/>
          <w:rFonts w:ascii="Arial" w:cs="Arial" w:eastAsia="Arial" w:hAnsi="Arial"/>
        </w:rPr>
        <w:t xml:space="preserve">Quality is </w:t>
      </w:r>
      <w:r>
        <w:rPr>
          <w:b/>
          <w:bCs/>
          <w:color w:val="1A1A22"/>
          <w:sz w:val="21"/>
          <w:szCs w:val="21"/>
          <w:rFonts w:ascii="Arial" w:cs="Arial" w:eastAsia="Arial" w:hAnsi="Arial"/>
        </w:rPr>
        <w:t xml:space="preserve">anchored on outcomes</w:t>
      </w:r>
      <w:r>
        <w:rPr>
          <w:color w:val="1A1A22"/>
          <w:sz w:val="21"/>
          <w:szCs w:val="21"/>
          <w:rFonts w:ascii="Arial" w:cs="Arial" w:eastAsia="Arial" w:hAnsi="Arial"/>
        </w:rPr>
        <w:t xml:space="preserve">. Reliability order: outcome &gt; explicit user feedback &gt; implicit &gt; LLM judge (the judge is a prior, never the authority). Fusion weights are </w:t>
      </w:r>
      <w:r>
        <w:rPr>
          <w:b/>
          <w:bCs/>
          <w:color w:val="1A1A22"/>
          <w:sz w:val="21"/>
          <w:szCs w:val="21"/>
          <w:rFonts w:ascii="Arial" w:cs="Arial" w:eastAsia="Arial" w:hAnsi="Arial"/>
        </w:rPr>
        <w:t xml:space="preserve">learned</w:t>
      </w:r>
      <w:r>
        <w:rPr>
          <w:color w:val="1A1A22"/>
          <w:sz w:val="21"/>
          <w:szCs w:val="21"/>
          <w:rFonts w:ascii="Arial" w:cs="Arial" w:eastAsia="Arial" w:hAnsi="Arial"/>
        </w:rPr>
        <w:t xml:space="preserve"> from how well each source historically agreed with the anchor — a judge that disagrees with real outcomes or feedback is automatically down-weighted.</w:t>
      </w:r>
    </w:p>
    <w:p>
      <w:pPr>
        <w:spacing w:after="120" w:line="276"/>
      </w:pPr>
      <w:r>
        <w:rPr>
          <w:color w:val="1A1A22"/>
          <w:sz w:val="21"/>
          <w:szCs w:val="21"/>
          <w:rFonts w:ascii="Arial" w:cs="Arial" w:eastAsia="Arial" w:hAnsi="Arial"/>
        </w:rPr>
        <w:t xml:space="preserve">A distilled child is promotable only when all of the following hold on a frozen held-out set the distiller never saw: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3200"/>
        <w:gridCol w:w="1800"/>
      </w:tblGrid>
      <w:tr>
        <w:trPr>
          <w:tblHeader/>
        </w:trPr>
        <w:tc>
          <w:tcPr>
            <w:tcW w:type="dxa" w:w="436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1A1A22"/>
                <w:sz w:val="18"/>
                <w:szCs w:val="18"/>
                <w:rFonts w:ascii="Arial" w:cs="Arial" w:eastAsia="Arial" w:hAnsi="Arial"/>
              </w:rPr>
              <w:t xml:space="preserve">Check</w:t>
            </w:r>
          </w:p>
        </w:tc>
        <w:tc>
          <w:tcPr>
            <w:tcW w:type="dxa" w:w="32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1A1A22"/>
                <w:sz w:val="18"/>
                <w:szCs w:val="18"/>
                <w:rFonts w:ascii="Arial" w:cs="Arial" w:eastAsia="Arial" w:hAnsi="Arial"/>
              </w:rPr>
              <w:t xml:space="preserve">Threshold</w:t>
            </w:r>
          </w:p>
        </w:tc>
        <w:tc>
          <w:tcPr>
            <w:tcW w:type="dxa" w:w="18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1A1A22"/>
                <w:sz w:val="18"/>
                <w:szCs w:val="18"/>
                <w:rFonts w:ascii="Arial" w:cs="Arial" w:eastAsia="Arial" w:hAnsi="Arial"/>
              </w:rPr>
              <w:t xml:space="preserve">Type</w:t>
            </w:r>
          </w:p>
        </w:tc>
      </w:tr>
      <w:tr>
        <w:tc>
          <w:tcPr>
            <w:tcW w:type="dxa" w:w="436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Win-rate (child vs parent, recused judge)</w:t>
            </w:r>
          </w:p>
        </w:tc>
        <w:tc>
          <w:tcPr>
            <w:tcW w:type="dxa" w:w="32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≥ 55%</w:t>
            </w:r>
          </w:p>
        </w:tc>
        <w:tc>
          <w:tcPr>
            <w:tcW w:type="dxa" w:w="18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quality</w:t>
            </w:r>
          </w:p>
        </w:tc>
      </w:tr>
      <w:tr>
        <w:tc>
          <w:tcPr>
            <w:tcW w:type="dxa" w:w="436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Confidence</w:t>
            </w:r>
          </w:p>
        </w:tc>
        <w:tc>
          <w:tcPr>
            <w:tcW w:type="dxa" w:w="32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95% CI lower bound &gt; 50% (powered N)</w:t>
            </w:r>
          </w:p>
        </w:tc>
        <w:tc>
          <w:tcPr>
            <w:tcW w:type="dxa" w:w="18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statistical</w:t>
            </w:r>
          </w:p>
        </w:tc>
      </w:tr>
      <w:tr>
        <w:tc>
          <w:tcPr>
            <w:tcW w:type="dxa" w:w="436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Loss-rate</w:t>
            </w:r>
          </w:p>
        </w:tc>
        <w:tc>
          <w:tcPr>
            <w:tcW w:type="dxa" w:w="32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&lt; 10%</w:t>
            </w:r>
          </w:p>
        </w:tc>
        <w:tc>
          <w:tcPr>
            <w:tcW w:type="dxa" w:w="18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quality (downside)</w:t>
            </w:r>
          </w:p>
        </w:tc>
      </w:tr>
      <w:tr>
        <w:tc>
          <w:tcPr>
            <w:tcW w:type="dxa" w:w="436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Regression suite</w:t>
            </w:r>
          </w:p>
        </w:tc>
        <w:tc>
          <w:tcPr>
            <w:tcW w:type="dxa" w:w="32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0 failures</w:t>
            </w:r>
          </w:p>
        </w:tc>
        <w:tc>
          <w:tcPr>
            <w:tcW w:type="dxa" w:w="18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hard gate</w:t>
            </w:r>
          </w:p>
        </w:tc>
      </w:tr>
      <w:tr>
        <w:tc>
          <w:tcPr>
            <w:tcW w:type="dxa" w:w="436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Safety probes</w:t>
            </w:r>
          </w:p>
        </w:tc>
        <w:tc>
          <w:tcPr>
            <w:tcW w:type="dxa" w:w="32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0 new violations</w:t>
            </w:r>
          </w:p>
        </w:tc>
        <w:tc>
          <w:tcPr>
            <w:tcW w:type="dxa" w:w="18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hard gate</w:t>
            </w:r>
          </w:p>
        </w:tc>
      </w:tr>
      <w:tr>
        <w:tc>
          <w:tcPr>
            <w:tcW w:type="dxa" w:w="436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Promote + rollback</w:t>
            </w:r>
          </w:p>
        </w:tc>
        <w:tc>
          <w:tcPr>
            <w:tcW w:type="dxa" w:w="32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both work from the UI</w:t>
            </w:r>
          </w:p>
        </w:tc>
        <w:tc>
          <w:tcPr>
            <w:tcW w:type="dxa" w:w="18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operational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</w:rP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D9E0" w:sz="1"/>
              <w:left w:val="single" w:color="4F46E5" w:sz="18"/>
              <w:bottom w:val="single" w:color="D9D9E0" w:sz="1"/>
              <w:right w:val="single" w:color="D9D9E0" w:sz="1"/>
            </w:tcBorders>
            <w:shd w:fill="FBF3E6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5A5A66"/>
                <w:sz w:val="16"/>
                <w:szCs w:val="16"/>
                <w:rFonts w:ascii="Arial" w:cs="Arial" w:eastAsia="Arial" w:hAnsi="Arial"/>
                <w:spacing w:val="4"/>
              </w:rPr>
              <w:t xml:space="preserve">HONEST FINDING</w:t>
            </w:r>
          </w:p>
          <w:p>
            <w:pPr>
              <w:spacing w:after="0" w:line="264"/>
            </w:pPr>
            <w:r>
              <w:rPr>
                <w:color w:val="1A1A22"/>
                <w:sz w:val="21"/>
                <w:szCs w:val="21"/>
                <w:rFonts w:ascii="Arial" w:cs="Arial" w:eastAsia="Arial" w:hAnsi="Arial"/>
              </w:rPr>
              <w:t xml:space="preserve">A playbook makes the agent reliably </w:t>
            </w:r>
            <w:r>
              <w:rPr>
                <w:i/>
                <w:iCs/>
                <w:color w:val="1A1A22"/>
                <w:sz w:val="21"/>
                <w:szCs w:val="21"/>
                <w:rFonts w:ascii="Arial" w:cs="Arial" w:eastAsia="Arial" w:hAnsi="Arial"/>
              </w:rPr>
              <w:t xml:space="preserve">apply</w:t>
            </w:r>
            <w:r>
              <w:rPr>
                <w:color w:val="1A1A22"/>
                <w:sz w:val="21"/>
                <w:szCs w:val="21"/>
                <w:rFonts w:ascii="Arial" w:cs="Arial" w:eastAsia="Arial" w:hAnsi="Arial"/>
              </w:rPr>
              <w:t xml:space="preserve"> lessons — it can’t teach the base model capabilities it lacks. The apprentice only measurably wins where the parent genuinely fails or is inconsistent </w:t>
            </w:r>
            <w:r>
              <w:rPr>
                <w:i/>
                <w:iCs/>
                <w:color w:val="1A1A22"/>
                <w:sz w:val="21"/>
                <w:szCs w:val="21"/>
                <w:rFonts w:ascii="Arial" w:cs="Arial" w:eastAsia="Arial" w:hAnsi="Arial"/>
              </w:rPr>
              <w:t xml:space="preserve">and</w:t>
            </w:r>
            <w:r>
              <w:rPr>
                <w:color w:val="1A1A22"/>
                <w:sz w:val="21"/>
                <w:szCs w:val="21"/>
                <w:rFonts w:ascii="Arial" w:cs="Arial" w:eastAsia="Arial" w:hAnsi="Arial"/>
              </w:rPr>
              <w:t xml:space="preserve"> there’s ground truth to steer toward. On a real BytePlus support agent with honest headroom (a thin parent), the distilled child won </w:t>
            </w:r>
            <w:r>
              <w:rPr>
                <w:b/>
                <w:bCs/>
                <w:color w:val="1A1A22"/>
                <w:sz w:val="21"/>
                <w:szCs w:val="21"/>
                <w:rFonts w:ascii="Arial" w:cs="Arial" w:eastAsia="Arial" w:hAnsi="Arial"/>
              </w:rPr>
              <w:t xml:space="preserve">65–85%</w:t>
            </w:r>
            <w:r>
              <w:rPr>
                <w:color w:val="1A1A22"/>
                <w:sz w:val="21"/>
                <w:szCs w:val="21"/>
                <w:rFonts w:ascii="Arial" w:cs="Arial" w:eastAsia="Arial" w:hAnsi="Arial"/>
              </w:rPr>
              <w:t xml:space="preserve"> of comparisons.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7.  Key decisions (ADRs)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1A1A22"/>
                <w:sz w:val="18"/>
                <w:szCs w:val="18"/>
                <w:rFonts w:ascii="Arial" w:cs="Arial" w:eastAsia="Arial" w:hAnsi="Arial"/>
              </w:rPr>
              <w:t xml:space="preserve">#</w:t>
            </w:r>
          </w:p>
        </w:tc>
        <w:tc>
          <w:tcPr>
            <w:tcW w:type="dxa" w:w="846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1A1A22"/>
                <w:sz w:val="18"/>
                <w:szCs w:val="18"/>
                <w:rFonts w:ascii="Arial" w:cs="Arial" w:eastAsia="Arial" w:hAnsi="Arial"/>
              </w:rPr>
              <w:t xml:space="preserve">Decision</w:t>
            </w:r>
          </w:p>
        </w:tc>
      </w:tr>
      <w:tr>
        <w:tc>
          <w:tcPr>
            <w:tcW w:type="dxa" w:w="9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0001</w:t>
            </w:r>
          </w:p>
        </w:tc>
        <w:tc>
          <w:tcPr>
            <w:tcW w:type="dxa" w:w="846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VikingDB via REST (own Signature-V4 signer; SDK as a dev-only oracle).</w:t>
            </w:r>
          </w:p>
        </w:tc>
      </w:tr>
      <w:tr>
        <w:tc>
          <w:tcPr>
            <w:tcW w:type="dxa" w:w="9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0002</w:t>
            </w:r>
          </w:p>
        </w:tc>
        <w:tc>
          <w:tcPr>
            <w:tcW w:type="dxa" w:w="846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Recused judge (judge ≠ policy) to prevent self-preference.</w:t>
            </w:r>
          </w:p>
        </w:tc>
      </w:tr>
      <w:tr>
        <w:tc>
          <w:tcPr>
            <w:tcW w:type="dxa" w:w="9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0003</w:t>
            </w:r>
          </w:p>
        </w:tc>
        <w:tc>
          <w:tcPr>
            <w:tcW w:type="dxa" w:w="846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Experience Memory = VikingDB (curated lesson index, not a doc corpus).</w:t>
            </w:r>
          </w:p>
        </w:tc>
      </w:tr>
      <w:tr>
        <w:tc>
          <w:tcPr>
            <w:tcW w:type="dxa" w:w="9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0004</w:t>
            </w:r>
          </w:p>
        </w:tc>
        <w:tc>
          <w:tcPr>
            <w:tcW w:type="dxa" w:w="846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Tap = protocol-boundary collectors, wrapping OSS.</w:t>
            </w:r>
          </w:p>
        </w:tc>
      </w:tr>
      <w:tr>
        <w:tc>
          <w:tcPr>
            <w:tcW w:type="dxa" w:w="9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0005</w:t>
            </w:r>
          </w:p>
        </w:tc>
        <w:tc>
          <w:tcPr>
            <w:tcW w:type="dxa" w:w="846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aprntc is a learning product, not observability (best-effort capture).</w:t>
            </w:r>
          </w:p>
        </w:tc>
      </w:tr>
      <w:tr>
        <w:tc>
          <w:tcPr>
            <w:tcW w:type="dxa" w:w="9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0006</w:t>
            </w:r>
          </w:p>
        </w:tc>
        <w:tc>
          <w:tcPr>
            <w:tcW w:type="dxa" w:w="846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Outcome-anchored quality + playbook distillation (no fine-tuning in Phase 1).</w:t>
            </w:r>
          </w:p>
        </w:tc>
      </w:tr>
      <w:tr>
        <w:tc>
          <w:tcPr>
            <w:tcW w:type="dxa" w:w="9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0007</w:t>
            </w:r>
          </w:p>
        </w:tc>
        <w:tc>
          <w:tcPr>
            <w:tcW w:type="dxa" w:w="846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Canonical Trajectory schema.</w:t>
            </w:r>
          </w:p>
        </w:tc>
      </w:tr>
      <w:tr>
        <w:tc>
          <w:tcPr>
            <w:tcW w:type="dxa" w:w="90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0008</w:t>
            </w:r>
          </w:p>
        </w:tc>
        <w:tc>
          <w:tcPr>
            <w:tcW w:type="dxa" w:w="8460"/>
            <w:tcBorders>
              <w:top w:val="single" w:color="D9D9E0" w:sz="1"/>
              <w:left w:val="single" w:color="D9D9E0" w:sz="1"/>
              <w:bottom w:val="single" w:color="D9D9E0" w:sz="1"/>
              <w:right w:val="single" w:color="D9D9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22"/>
                <w:sz w:val="18"/>
                <w:szCs w:val="18"/>
                <w:rFonts w:ascii="Arial" w:cs="Arial" w:eastAsia="Arial" w:hAnsi="Arial"/>
              </w:rPr>
              <w:t xml:space="preserve">Tap build order: core + SDK wrapper first.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</w:rP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D9E0" w:sz="1"/>
              <w:left w:val="single" w:color="4F46E5" w:sz="18"/>
              <w:bottom w:val="single" w:color="D9D9E0" w:sz="1"/>
              <w:right w:val="single" w:color="D9D9E0" w:sz="1"/>
            </w:tcBorders>
            <w:shd w:fill="EFEE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5A5A66"/>
                <w:sz w:val="16"/>
                <w:szCs w:val="16"/>
                <w:rFonts w:ascii="Arial" w:cs="Arial" w:eastAsia="Arial" w:hAnsi="Arial"/>
                <w:spacing w:val="4"/>
              </w:rPr>
              <w:t xml:space="preserve">HARD-WON LESSON</w:t>
            </w:r>
          </w:p>
          <w:p>
            <w:pPr>
              <w:spacing w:after="0" w:line="264"/>
            </w:pPr>
            <w:r>
              <w:rPr>
                <w:color w:val="1A1A22"/>
                <w:sz w:val="21"/>
                <w:szCs w:val="21"/>
                <w:rFonts w:ascii="Arial" w:cs="Arial" w:eastAsia="Arial" w:hAnsi="Arial"/>
              </w:rPr>
              <w:t xml:space="preserve">An SDK-equivalence (“oracle”) test only proves we match the SDK given the </w:t>
            </w:r>
            <w:r>
              <w:rPr>
                <w:i/>
                <w:iCs/>
                <w:color w:val="1A1A22"/>
                <w:sz w:val="21"/>
                <w:szCs w:val="21"/>
                <w:rFonts w:ascii="Arial" w:cs="Arial" w:eastAsia="Arial" w:hAnsi="Arial"/>
              </w:rPr>
              <w:t xml:space="preserve">same inputs</w:t>
            </w:r>
            <w:r>
              <w:rPr>
                <w:color w:val="1A1A22"/>
                <w:sz w:val="21"/>
                <w:szCs w:val="21"/>
                <w:rFonts w:ascii="Arial" w:cs="Arial" w:eastAsia="Arial" w:hAnsi="Arial"/>
              </w:rPr>
              <w:t xml:space="preserve"> — it can’t catch a wrong input. The VikingDB signer matched the SDK byte-for-byte yet still returned 403 live, because both used </w:t>
            </w:r>
            <w:r>
              <w:rPr>
                <w:color w:val="33336A"/>
                <w:sz w:val="19"/>
                <w:szCs w:val="19"/>
                <w:rFonts w:ascii="Consolas" w:cs="Consolas" w:eastAsia="Consolas" w:hAnsi="Consolas"/>
              </w:rPr>
              <w:t xml:space="preserve">service="air"</w:t>
            </w:r>
            <w:r>
              <w:rPr>
                <w:color w:val="1A1A22"/>
                <w:sz w:val="21"/>
                <w:szCs w:val="21"/>
                <w:rFonts w:ascii="Arial" w:cs="Arial" w:eastAsia="Arial" w:hAnsi="Arial"/>
              </w:rPr>
              <w:t xml:space="preserve"> when the V2 API needs </w:t>
            </w:r>
            <w:r>
              <w:rPr>
                <w:color w:val="33336A"/>
                <w:sz w:val="19"/>
                <w:szCs w:val="19"/>
                <w:rFonts w:ascii="Consolas" w:cs="Consolas" w:eastAsia="Consolas" w:hAnsi="Consolas"/>
              </w:rPr>
              <w:t xml:space="preserve">service="vikingdb"</w:t>
            </w:r>
            <w:r>
              <w:rPr>
                <w:color w:val="1A1A22"/>
                <w:sz w:val="21"/>
                <w:szCs w:val="21"/>
                <w:rFonts w:ascii="Arial" w:cs="Arial" w:eastAsia="Arial" w:hAnsi="Arial"/>
              </w:rPr>
              <w:t xml:space="preserve">. </w:t>
            </w:r>
            <w:r>
              <w:rPr>
                <w:b/>
                <w:bCs/>
                <w:color w:val="1A1A22"/>
                <w:sz w:val="21"/>
                <w:szCs w:val="21"/>
                <w:rFonts w:ascii="Arial" w:cs="Arial" w:eastAsia="Arial" w:hAnsi="Arial"/>
              </w:rPr>
              <w:t xml:space="preserve">The live API is the ultimate oracle</w:t>
            </w:r>
            <w:r>
              <w:rPr>
                <w:color w:val="1A1A22"/>
                <w:sz w:val="21"/>
                <w:szCs w:val="21"/>
                <w:rFonts w:ascii="Arial" w:cs="Arial" w:eastAsia="Arial" w:hAnsi="Arial"/>
              </w:rPr>
              <w:t xml:space="preserve"> — which is why every stage is verified against live infrastructure, not just unit tests.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8.  Status &amp; what’s built</w:t>
      </w:r>
    </w:p>
    <w:p>
      <w:pPr>
        <w:spacing w:after="120" w:line="276"/>
      </w:pPr>
      <w:r>
        <w:rPr>
          <w:color w:val="1A1A22"/>
          <w:sz w:val="21"/>
          <w:szCs w:val="21"/>
          <w:rFonts w:ascii="Arial" w:cs="Arial" w:eastAsia="Arial" w:hAnsi="Arial"/>
        </w:rPr>
        <w:t xml:space="preserve">The planned roadmap is complete: the MVP loop, the v1 feature set, and productionization.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A1A22"/>
          <w:sz w:val="21"/>
          <w:szCs w:val="21"/>
          <w:rFonts w:ascii="Arial" w:cs="Arial" w:eastAsia="Arial" w:hAnsi="Arial"/>
        </w:rPr>
        <w:t xml:space="preserve">MVP loop  </w:t>
      </w:r>
      <w:r>
        <w:rPr>
          <w:color w:val="1A1A22"/>
          <w:sz w:val="21"/>
          <w:szCs w:val="21"/>
          <w:rFonts w:ascii="Arial" w:cs="Arial" w:eastAsia="Arial" w:hAnsi="Arial"/>
        </w:rPr>
        <w:t xml:space="preserve">— signing gate, trajectory schema/store, AgentTap, eval/labeling, VikingDB memory, distillation + child, promotion gate + lineage. Live-verified on BytePlus.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A1A22"/>
          <w:sz w:val="21"/>
          <w:szCs w:val="21"/>
          <w:rFonts w:ascii="Arial" w:cs="Arial" w:eastAsia="Arial" w:hAnsi="Arial"/>
        </w:rPr>
        <w:t xml:space="preserve">v1 features  </w:t>
      </w:r>
      <w:r>
        <w:rPr>
          <w:color w:val="1A1A22"/>
          <w:sz w:val="21"/>
          <w:szCs w:val="21"/>
          <w:rFonts w:ascii="Arial" w:cs="Arial" w:eastAsia="Arial" w:hAnsi="Arial"/>
        </w:rPr>
        <w:t xml:space="preserve">— distillation quality, real BytePlus support agent, external collectors (proxy/OTel/MCP), online shadow + canary, learned fusion weights, auto-promotion, multi-agent fleets. (Fine-tuning parked — open-weight models only.)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A1A22"/>
          <w:sz w:val="21"/>
          <w:szCs w:val="21"/>
          <w:rFonts w:ascii="Arial" w:cs="Arial" w:eastAsia="Arial" w:hAnsi="Arial"/>
        </w:rPr>
        <w:t xml:space="preserve">Productization  </w:t>
      </w:r>
      <w:r>
        <w:rPr>
          <w:color w:val="1A1A22"/>
          <w:sz w:val="21"/>
          <w:szCs w:val="21"/>
          <w:rFonts w:ascii="Arial" w:cs="Arial" w:eastAsia="Arial" w:hAnsi="Arial"/>
        </w:rPr>
        <w:t xml:space="preserve">— playbook registry + config-fetch API, Docker deploy, API-key tenancy, ops (scheduler/retry/metrics), Google sign-in.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A1A22"/>
          <w:sz w:val="21"/>
          <w:szCs w:val="21"/>
          <w:rFonts w:ascii="Arial" w:cs="Arial" w:eastAsia="Arial" w:hAnsi="Arial"/>
        </w:rPr>
        <w:t xml:space="preserve">288 tests passing.  </w:t>
      </w:r>
      <w:r>
        <w:rPr>
          <w:color w:val="1A1A22"/>
          <w:sz w:val="21"/>
          <w:szCs w:val="21"/>
          <w:rFonts w:ascii="Arial" w:cs="Arial" w:eastAsia="Arial" w:hAnsi="Arial"/>
        </w:rPr>
        <w:t xml:space="preserve">Docs: DESIGN_AND_SOLUTION, PRODUCTION, DEPLOY, ROADMAP, STATUS, 8 ADRs.</w:t>
      </w:r>
    </w:p>
    <w:p>
      <w:pPr>
        <w:pBdr>
          <w:bottom w:val="single" w:color="4F46E5" w:sz="6" w:space="1"/>
        </w:pBdr>
        <w:spacing w:before="60" w:after="160"/>
      </w:pPr>
      <w:r>
        <w:rPr>
          <w:rFonts w:ascii="Arial" w:cs="Arial" w:eastAsia="Arial" w:hAnsi="Arial"/>
        </w:rPr>
      </w:r>
    </w:p>
    <w:p>
      <w:pPr>
        <w:spacing w:before="60"/>
      </w:pPr>
      <w:r>
        <w:rPr>
          <w:i/>
          <w:iCs/>
          <w:color w:val="8A8A95"/>
          <w:sz w:val="17"/>
          <w:szCs w:val="17"/>
          <w:rFonts w:ascii="Arial" w:cs="Arial" w:eastAsia="Arial" w:hAnsi="Arial"/>
        </w:rPr>
        <w:t xml:space="preserve">aprntc · Design &amp; Solution Document · generated from the repository at feature-complete state. The in-repo Markdown sources remain the canonical, version-controlled record.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22"/>
        <w:sz w:val="21"/>
        <w:szCs w:val="21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2E2EC" w:sz="4" w:space="4"/>
      </w:pBdr>
      <w:spacing w:before="360" w:after="160"/>
      <w:outlineLvl w:val="0"/>
    </w:pPr>
    <w:rPr>
      <w:b/>
      <w:bCs/>
      <w:color w:val="1A1A22"/>
      <w:sz w:val="30"/>
      <w:szCs w:val="30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b/>
      <w:bCs/>
      <w:color w:val="303040"/>
      <w:sz w:val="24"/>
      <w:szCs w:val="24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g_mbcneigz9esyyylmolg.png"/><Relationship Id="rId7" Type="http://schemas.openxmlformats.org/officeDocument/2006/relationships/image" Target="media/fldbgnuin58x3fmmhzv9y.png"/><Relationship Id="rId8" Type="http://schemas.openxmlformats.org/officeDocument/2006/relationships/image" Target="media/wybbyscmcvxv3bd0mrmf5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aprntc — Design &amp; Solution Document</dc:title>
  <dc:creator>aprntc</dc:creator>
  <dc:description>Design and solution document for the aprntc self-improving agent product.</dc:description>
  <cp:lastModifiedBy>Un-named</cp:lastModifiedBy>
  <cp:revision>1</cp:revision>
  <dcterms:created xsi:type="dcterms:W3CDTF">2026-06-17T15:16:24.744Z</dcterms:created>
  <dcterms:modified xsi:type="dcterms:W3CDTF">2026-06-17T15:16:24.745Z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