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0"/>
      </w:pPr>
      <w:r>
        <w:rPr>
          <w:b/>
          <w:bCs/>
          <w:color w:val="1A1A22"/>
          <w:sz w:val="64"/>
          <w:szCs w:val="64"/>
          <w:rFonts w:ascii="Arial" w:cs="Arial" w:eastAsia="Arial" w:hAnsi="Arial"/>
        </w:rPr>
        <w:t xml:space="preserve">aprntc</w:t>
      </w:r>
    </w:p>
    <w:p>
      <w:pPr>
        <w:spacing w:after="240"/>
      </w:pPr>
      <w:r>
        <w:rPr>
          <w:color w:val="4F46E5"/>
          <w:sz w:val="32"/>
          <w:szCs w:val="32"/>
          <w:rFonts w:ascii="Arial" w:cs="Arial" w:eastAsia="Arial" w:hAnsi="Arial"/>
        </w:rPr>
        <w:t xml:space="preserve">Design &amp; Solution Document</w:t>
      </w:r>
    </w:p>
    <w:p>
      <w:pPr>
        <w:spacing w:after="80"/>
      </w:pPr>
      <w:r>
        <w:rPr>
          <w:color w:val="5A5A66"/>
          <w:sz w:val="22"/>
          <w:szCs w:val="22"/>
          <w:rFonts w:ascii="Arial" w:cs="Arial" w:eastAsia="Arial" w:hAnsi="Arial"/>
        </w:rPr>
        <w:t xml:space="preserve">A self-improving agent that shadows a live agent, distills lessons from its behavior, and is promoted — automatically or with human approval — to a measurably better successor. Codename </w:t>
      </w:r>
      <w:r>
        <w:rPr>
          <w:b/>
          <w:bCs/>
          <w:color w:val="5A5A66"/>
          <w:sz w:val="22"/>
          <w:szCs w:val="22"/>
          <w:rFonts w:ascii="Arial" w:cs="Arial" w:eastAsia="Arial" w:hAnsi="Arial"/>
        </w:rPr>
        <w:t xml:space="preserve">“Shadow.”</w:t>
      </w:r>
    </w:p>
    <w:p>
      <w:pPr>
        <w:spacing w:before="280" w:after="0"/>
      </w:pPr>
      <w:r>
        <w:rPr>
          <w:b/>
          <w:bCs/>
          <w:color w:val="1D7A5C"/>
          <w:sz w:val="20"/>
          <w:szCs w:val="20"/>
          <w:rFonts w:ascii="Arial" w:cs="Arial" w:eastAsia="Arial" w:hAnsi="Arial"/>
        </w:rPr>
        <w:t xml:space="preserve">Status:  Feature-complete · 295 tests passing</w:t>
      </w:r>
    </w:p>
    <w:p>
      <w:pPr>
        <w:spacing w:after="0"/>
      </w:pPr>
      <w:r>
        <w:rPr>
          <w:color w:val="5A5A66"/>
          <w:sz w:val="20"/>
          <w:szCs w:val="20"/>
          <w:rFonts w:ascii="Arial" w:cs="Arial" w:eastAsia="Arial" w:hAnsi="Arial"/>
        </w:rPr>
        <w:t xml:space="preserve">Reference stack:  BytePlus ModelArk + VikingDB</w:t>
      </w:r>
    </w:p>
    <w:p>
      <w:pPr>
        <w:spacing w:after="0"/>
      </w:pPr>
      <w:r>
        <w:rPr>
          <w:color w:val="5A5A66"/>
          <w:sz w:val="20"/>
          <w:szCs w:val="20"/>
          <w:rFonts w:ascii="Arial" w:cs="Arial" w:eastAsia="Arial" w:hAnsi="Arial"/>
        </w:rPr>
        <w:t xml:space="preserve">Generated:  2026-06-18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This document describes the system </w:t>
      </w:r>
      <w:r>
        <w:rPr>
          <w:i/>
          <w:iCs/>
          <w:color w:val="1A1A22"/>
          <w:sz w:val="21"/>
          <w:szCs w:val="21"/>
          <w:rFonts w:ascii="Arial" w:cs="Arial" w:eastAsia="Arial" w:hAnsi="Arial"/>
        </w:rPr>
        <w:t xml:space="preserve">as built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— every component below is implemented and tested, and the self-improvement loop has been verified end-to-end on live infrastructure. It pairs with the in-repo </w:t>
      </w:r>
      <w:r>
        <w:rPr>
          <w:color w:val="33336A"/>
          <w:sz w:val="19"/>
          <w:szCs w:val="19"/>
          <w:rFonts w:ascii="Consolas" w:cs="Consolas" w:eastAsia="Consolas" w:hAnsi="Consolas"/>
        </w:rPr>
        <w:t xml:space="preserve">docs/DESIGN_AND_SOLUTION.md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, the ADRs in </w:t>
      </w:r>
      <w:r>
        <w:rPr>
          <w:color w:val="33336A"/>
          <w:sz w:val="19"/>
          <w:szCs w:val="19"/>
          <w:rFonts w:ascii="Consolas" w:cs="Consolas" w:eastAsia="Consolas" w:hAnsi="Consolas"/>
        </w:rPr>
        <w:t xml:space="preserve">docs/decisions/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, and </w:t>
      </w:r>
      <w:r>
        <w:rPr>
          <w:color w:val="33336A"/>
          <w:sz w:val="19"/>
          <w:szCs w:val="19"/>
          <w:rFonts w:ascii="Consolas" w:cs="Consolas" w:eastAsia="Consolas" w:hAnsi="Consolas"/>
        </w:rPr>
        <w:t xml:space="preserve">docs/PRODUCTION.md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.</w:t>
      </w:r>
    </w:p>
    <w:p>
      <w:pPr>
        <w:pStyle w:val="Heading1"/>
      </w:pPr>
      <w:r>
        <w:rPr>
          <w:rFonts w:ascii="Arial" w:cs="Arial" w:eastAsia="Arial" w:hAnsi="Arial"/>
        </w:rPr>
        <w:t xml:space="preserve">1.  The concept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The #1 limitation of production LLM agents is that they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don’t learn from experience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— they stay stateless and need manual prompt and dataset work to improve. aprntc closes that gap with an autonomous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observe → label → distill → evaluate → promote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loop, with a human only at the promotion gate.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An apprentice (“child”) agent is cloned from a live parent, passively shadows it, distills lessons from what worked and what didn’t, becomes measurably better, and — whether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auto-promoted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or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human-approved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— is promoted to replace it. Then the cycle repeats.</w:t>
      </w:r>
    </w:p>
    <w:p>
      <w:pPr>
        <w:spacing w:before="120" w:after="60"/>
        <w:jc w:val="center"/>
      </w:pPr>
      <w:r>
        <w:drawing>
          <wp:inline distT="0" distB="0" distL="0" distR="0">
            <wp:extent cx="5943600" cy="3629025"/>
            <wp:effectExtent t="0" r="0" b="0" l="0"/>
            <wp:docPr id="1" name="fig3-production.png" descr="The system at a glance — aprntc runs beside production: it observes the parent through a read-only tap (inbound) and serves the improved playbook the agent pulls (outbound). Promotion is the only write back, and it is gated — applied automatically for low-risk diffs or after human approval. Detailed in §4." title="The system at a glance — aprntc runs beside production: it 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8A8A95"/>
          <w:sz w:val="17"/>
          <w:szCs w:val="17"/>
          <w:rFonts w:ascii="Arial" w:cs="Arial" w:eastAsia="Arial" w:hAnsi="Arial"/>
        </w:rPr>
        <w:t xml:space="preserve">The system at a glance — aprntc runs beside production: it observes the parent through a read-only tap (inbound) and serves the improved playbook the agent pulls (outbound). Promotion is the only write back, and it is gated — applied automatically for low-risk diffs or after human approval. Detailed in §4.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D9D9E0" w:sz="1"/>
              <w:left w:val="single" w:color="4F46E5" w:sz="18"/>
              <w:bottom w:val="single" w:color="D9D9E0" w:sz="1"/>
              <w:right w:val="single" w:color="D9D9E0" w:sz="1"/>
            </w:tcBorders>
            <w:shd w:fill="EFEE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5A5A66"/>
                <w:sz w:val="16"/>
                <w:szCs w:val="16"/>
                <w:rFonts w:ascii="Arial" w:cs="Arial" w:eastAsia="Arial" w:hAnsi="Arial"/>
                <w:spacing w:val="4"/>
              </w:rPr>
              <w:t xml:space="preserve">SCOPING PRINCIPLE (LOAD-BEARING)</w:t>
            </w:r>
          </w:p>
          <w:p>
            <w:pPr>
              <w:spacing w:after="0" w:line="264"/>
            </w:pP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aprntc is </w:t>
            </w:r>
            <w:r>
              <w:rPr>
                <w:b/>
                <w:bCs/>
                <w:color w:val="1A1A22"/>
                <w:sz w:val="21"/>
                <w:szCs w:val="21"/>
                <w:rFonts w:ascii="Arial" w:cs="Arial" w:eastAsia="Arial" w:hAnsi="Arial"/>
              </w:rPr>
              <w:t xml:space="preserve">not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a monitoring or observability product. It learns from the parent’s overall </w:t>
            </w:r>
            <w:r>
              <w:rPr>
                <w:i/>
                <w:iCs/>
                <w:color w:val="1A1A22"/>
                <w:sz w:val="21"/>
                <w:szCs w:val="21"/>
                <w:rFonts w:ascii="Arial" w:cs="Arial" w:eastAsia="Arial" w:hAnsi="Arial"/>
              </w:rPr>
              <w:t xml:space="preserve">response quality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to produce a better successor — episode- and task-level quality signal is the target, not exhaustive trace capture.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2.  What the “child” actually is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The single most important thing to understand: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there is no separate “child program.”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An agent = a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fixed engine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(the LLM, retrieval, tools, the loop)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+ a Playbook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(a config artifact: system prompt + directives + exemplars + “watch-out” lessons). Parent and child share the </w:t>
      </w:r>
      <w:r>
        <w:rPr>
          <w:i/>
          <w:iCs/>
          <w:color w:val="1A1A22"/>
          <w:sz w:val="21"/>
          <w:szCs w:val="21"/>
          <w:rFonts w:ascii="Arial" w:cs="Arial" w:eastAsia="Arial" w:hAnsi="Arial"/>
        </w:rPr>
        <w:t xml:space="preserve">exact same engine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— the only difference between them is the Playbook.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4286250"/>
            <wp:effectExtent t="0" r="0" b="0" l="0"/>
            <wp:docPr id="1" name="fig1-child.png" descr="Figure 1 — The parent and child share one engine. Only the Playbook differs; promotion swaps it." title="Figure 1 — The parent and child share one engine. Only the 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8A8A95"/>
          <w:sz w:val="17"/>
          <w:szCs w:val="17"/>
          <w:rFonts w:ascii="Arial" w:cs="Arial" w:eastAsia="Arial" w:hAnsi="Arial"/>
        </w:rPr>
        <w:t xml:space="preserve">Figure 1 — The parent and child share one engine. Only the Playbook differs; promotion swaps it.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This is the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Phase-1 mechanism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: playbook distillation, </w:t>
      </w:r>
      <w:r>
        <w:rPr>
          <w:i/>
          <w:iCs/>
          <w:color w:val="1A1A22"/>
          <w:sz w:val="21"/>
          <w:szCs w:val="21"/>
          <w:rFonts w:ascii="Arial" w:cs="Arial" w:eastAsia="Arial" w:hAnsi="Arial"/>
        </w:rPr>
        <w:t xml:space="preserve">not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fine-tuning. The consequences map directly to real-world constraints: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Works on closed-source LLMs.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You can’t fine-tune Seed-2.0 or DeepSeek — but you can change how they’re prompted and what examples and lessons they’re given.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Attributable.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Every lesson traces back to the trajectories that produced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Reversible.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A bad promotion is one config swap to undo — no opaque weight changes.</w:t>
      </w:r>
    </w:p>
    <w:p>
      <w:pPr>
        <w:pStyle w:val="Heading1"/>
      </w:pPr>
      <w:r>
        <w:rPr>
          <w:rFonts w:ascii="Arial" w:cs="Arial" w:eastAsia="Arial" w:hAnsi="Arial"/>
        </w:rPr>
        <w:t xml:space="preserve">3.  The closed loop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Each stage below is implemented; the path from parent run → distilled lesson → memory → child retrieval is verified live (</w:t>
      </w:r>
      <w:r>
        <w:rPr>
          <w:color w:val="33336A"/>
          <w:sz w:val="19"/>
          <w:szCs w:val="19"/>
          <w:rFonts w:ascii="Consolas" w:cs="Consolas" w:eastAsia="Consolas" w:hAnsi="Consolas"/>
        </w:rPr>
        <w:t xml:space="preserve">scripts/demo_byteplus_loop.py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), where a distilled child won 65–85% of head-to-head comparisons against a real BytePlus support agent.</w:t>
      </w:r>
    </w:p>
    <w:p>
      <w:pPr>
        <w:spacing w:before="120" w:after="6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fig2-loop.png" descr="Figure 2 — observe → label → distill → evaluate → promote. The dashed arrow is the only write back to the live agent (a gated config swap)." title="Figure 2 — observe → label → distill → evaluate → promote. 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8A8A95"/>
          <w:sz w:val="17"/>
          <w:szCs w:val="17"/>
          <w:rFonts w:ascii="Arial" w:cs="Arial" w:eastAsia="Arial" w:hAnsi="Arial"/>
        </w:rPr>
        <w:t xml:space="preserve">Figure 2 — observe → label → distill → evaluate → promote. The dashed arrow is the only write back to the live agent (a gated config swap).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Cadence</w:t>
            </w:r>
          </w:p>
        </w:tc>
        <w:tc>
          <w:tcPr>
            <w:tcW w:type="dxa" w:w="71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What runs</w:t>
            </w:r>
          </w:p>
        </w:tc>
      </w:tr>
      <w:tr>
        <w:tc>
          <w:tcPr>
            <w:tcW w:type="dxa" w:w="2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Continuous (ms)</w:t>
            </w:r>
          </w:p>
        </w:tc>
        <w:tc>
          <w:tcPr>
            <w:tcW w:type="dxa" w:w="71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Tap captures live interactions into the trajectory store — async, fail-open, never on the user’s response path.</w:t>
            </w:r>
          </w:p>
        </w:tc>
      </w:tr>
      <w:tr>
        <w:tc>
          <w:tcPr>
            <w:tcW w:type="dxa" w:w="2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Hourly</w:t>
            </w:r>
          </w:p>
        </w:tc>
        <w:tc>
          <w:tcPr>
            <w:tcW w:type="dxa" w:w="71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Judge + outcome scoring label the trajectories.</w:t>
            </w:r>
          </w:p>
        </w:tc>
      </w:tr>
      <w:tr>
        <w:tc>
          <w:tcPr>
            <w:tcW w:type="dxa" w:w="2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Nightly (batch)</w:t>
            </w:r>
          </w:p>
        </w:tc>
        <w:tc>
          <w:tcPr>
            <w:tcW w:type="dxa" w:w="71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Distill lessons → build child G(n+1) → run the gate on a held-out set.</w:t>
            </w:r>
          </w:p>
        </w:tc>
      </w:tr>
      <w:tr>
        <w:tc>
          <w:tcPr>
            <w:tcW w:type="dxa" w:w="2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Weekly (human)</w:t>
            </w:r>
          </w:p>
        </w:tc>
        <w:tc>
          <w:tcPr>
            <w:tcW w:type="dxa" w:w="71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Reviewer sees the diff + metrics in the dashboard → clicks Promote.</w:t>
            </w:r>
          </w:p>
        </w:tc>
      </w:tr>
      <w:tr>
        <w:tc>
          <w:tcPr>
            <w:tcW w:type="dxa" w:w="2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On regression</w:t>
            </w:r>
          </w:p>
        </w:tc>
        <w:tc>
          <w:tcPr>
            <w:tcW w:type="dxa" w:w="71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One-click rollback, or auto-rollback if a live metric degrades after promotion.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4.  Production integration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aprntc sits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beside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your agent, never in front of it. The production agent keeps running exactly as today; aprntc is a separate service that observes, improves, and proposes. It is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never in the user request path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— if it’s down or wrong, production is unaffected. The overall topology is the at-a-glance diagram in §1; this section details how an external agent connects.</w:t>
      </w:r>
    </w:p>
    <w:p>
      <w:pPr>
        <w:pStyle w:val="Heading2"/>
      </w:pPr>
      <w:r>
        <w:rPr>
          <w:rFonts w:ascii="Arial" w:cs="Arial" w:eastAsia="Arial" w:hAnsi="Arial"/>
        </w:rPr>
        <w:t xml:space="preserve">Connecting an external agent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aprntc owns neither the agent’s code nor its prompt, so the Playbook becomes a contract with two halves: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Inbound (observe).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The agent’s traffic flows into aprntc via a tap (egress proxy / OpenTelemetry / MCP gateway / A2A). Read-only. This is how aprntc sees behavior without owning the code.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Outbound (control).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The agent pulls its active playbook from aprntc’s config-fetch API (</w:t>
      </w:r>
      <w:r>
        <w:rPr>
          <w:color w:val="33336A"/>
          <w:sz w:val="19"/>
          <w:szCs w:val="19"/>
          <w:rFonts w:ascii="Consolas" w:cs="Consolas" w:eastAsia="Consolas" w:hAnsi="Consolas"/>
        </w:rPr>
        <w:t xml:space="preserve">GET /api/playbooks/{id}/active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). Promotion updates what’s served; the agent picks it up. Rollback serves the prior version. No redeploy.</w:t>
      </w:r>
    </w:p>
    <w:p>
      <w:pPr>
        <w:spacing w:after="120" w:line="276"/>
      </w:pPr>
      <w:r>
        <w:rPr>
          <w:color w:val="8A8A95"/>
          <w:sz w:val="19"/>
          <w:szCs w:val="19"/>
          <w:rFonts w:ascii="Arial" w:cs="Arial" w:eastAsia="Arial" w:hAnsi="Arial"/>
        </w:rPr>
        <w:t xml:space="preserve">Initial G0 = the customer registers their current system prompt (aprntc needs only the prompt text, not the code); if they don’t, aprntc infers an approximate G0 from the system prompt the tap observed.</w:t>
      </w:r>
    </w:p>
    <w:p>
      <w:pPr>
        <w:pStyle w:val="Heading2"/>
      </w:pPr>
      <w:r>
        <w:rPr>
          <w:rFonts w:ascii="Arial" w:cs="Arial" w:eastAsia="Arial" w:hAnsi="Arial"/>
        </w:rPr>
        <w:t xml:space="preserve">Tap boundaries — which collector, which scenario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The inbound tap isn’t one integration; it’s a set of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collectors at stable protocol boundaries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. You attach at whichever boundary your agent already exposes — no framework lock-in. Each collector normalizes into the </w:t>
      </w:r>
      <w:r>
        <w:rPr>
          <w:i/>
          <w:iCs/>
          <w:color w:val="1A1A22"/>
          <w:sz w:val="21"/>
          <w:szCs w:val="21"/>
          <w:rFonts w:ascii="Arial" w:cs="Arial" w:eastAsia="Arial" w:hAnsi="Arial"/>
        </w:rPr>
        <w:t xml:space="preserve">same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canonical Trajectory, and fidelity degrades gracefully by how the target was built: an agent we own gives full tool tracking; a closed-source agent behind the proxy still gives us model traffic.</w:t>
      </w:r>
    </w:p>
    <w:p>
      <w:pPr>
        <w:spacing w:before="120" w:after="60"/>
        <w:jc w:val="center"/>
      </w:pPr>
      <w:r>
        <w:drawing>
          <wp:inline distT="0" distB="0" distL="0" distR="0">
            <wp:extent cx="6172200" cy="3686175"/>
            <wp:effectExtent t="0" r="0" b="0" l="0"/>
            <wp:docPr id="1" name="fig4-taps.png" descr="Figure 3 — The four tap boundaries and five collectors, the scenario each fits, and how complete its tool-call capture is. All four boundaries — including the agent-to-agent (A2A) layer — are instrumented." title="Figure 3 — The four tap boundaries and five collectors, the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8A8A95"/>
          <w:sz w:val="17"/>
          <w:szCs w:val="17"/>
          <w:rFonts w:ascii="Arial" w:cs="Arial" w:eastAsia="Arial" w:hAnsi="Arial"/>
        </w:rPr>
        <w:t xml:space="preserve">Figure 3 — The four tap boundaries and five collectors, the scenario each fits, and how complete its tool-call capture is. All four boundaries — including the agent-to-agent (A2A) layer — are instrumented.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0"/>
        <w:gridCol w:w="1760"/>
        <w:gridCol w:w="4040"/>
        <w:gridCol w:w="1800"/>
      </w:tblGrid>
      <w:tr>
        <w:trPr>
          <w:tblHeader/>
        </w:trPr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Boundary</w:t>
            </w:r>
          </w:p>
        </w:tc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Collector</w:t>
            </w:r>
          </w:p>
        </w:tc>
        <w:tc>
          <w:tcPr>
            <w:tcW w:type="dxa" w:w="404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When it applies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Tool fidelity</w:t>
            </w:r>
          </w:p>
        </w:tc>
      </w:tr>
      <w:tr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Model (LLM API)</w:t>
            </w:r>
          </w:p>
        </w:tc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SDK wrapper</w:t>
            </w:r>
          </w:p>
        </w:tc>
        <w:tc>
          <w:tcPr>
            <w:tcW w:type="dxa" w:w="404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Agents whose code you own (our two demos).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FULL</w:t>
            </w:r>
          </w:p>
        </w:tc>
      </w:tr>
      <w:tr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Model (egress)</w:t>
            </w:r>
          </w:p>
        </w:tc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LiteLLM proxy</w:t>
            </w:r>
          </w:p>
        </w:tc>
        <w:tc>
          <w:tcPr>
            <w:tcW w:type="dxa" w:w="404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Any agent, incl. closed-source — points base_url at our proxy.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PARTIAL</w:t>
            </w:r>
          </w:p>
        </w:tc>
      </w:tr>
      <w:tr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Tool (MCP)</w:t>
            </w:r>
          </w:p>
        </w:tc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MCP gateway → OTel</w:t>
            </w:r>
          </w:p>
        </w:tc>
        <w:tc>
          <w:tcPr>
            <w:tcW w:type="dxa" w:w="404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Agents whose tools are MCP servers.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FULL (MCP only)</w:t>
            </w:r>
          </w:p>
        </w:tc>
      </w:tr>
      <w:tr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Telemetry (OTel)</w:t>
            </w:r>
          </w:p>
        </w:tc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OTel ingester</w:t>
            </w:r>
          </w:p>
        </w:tc>
        <w:tc>
          <w:tcPr>
            <w:tcW w:type="dxa" w:w="404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OTel-instrumented frameworks (LangChain, LlamaIndex, CrewAI).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Conditional</w:t>
            </w:r>
          </w:p>
        </w:tc>
      </w:tr>
      <w:tr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Agent (A2A)</w:t>
            </w:r>
          </w:p>
        </w:tc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A2A interceptor</w:t>
            </w:r>
          </w:p>
        </w:tc>
        <w:tc>
          <w:tcPr>
            <w:tcW w:type="dxa" w:w="404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Multi-agent systems over A2A; task/artifact-grained capture.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Coarse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 Component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5760"/>
      </w:tblGrid>
      <w:tr>
        <w:trPr>
          <w:tblHeader/>
        </w:trP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Component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Module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Responsibility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LLMProvider seam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providers/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One complete() contract; model-agnostic (Seed / DeepSeek / OpenAI / Anthropic / Gemini).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AgentTap + collectors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tap/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SDK wrapper (full fidelity) · LiteLLM egress proxy · OTel ingester · MCP gateway · A2A interceptor — all normalize into one Trajectory; async + fail-open.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Trajectory schema + store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trajectory/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Canonical Episode/Turn/Step; SQLite store; PII scrub at ingest; fused reward; GDPR delete + TTL.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Evaluation / labeling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eval/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Recused pairwise judge · deterministic outcome scorers (the anchor) · health metrics · learned fusion weights.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Experience memory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memory/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VikingDB REST adapter (own SigV4 signer) · filtered hybrid search + MMR · curated, generation-versioned lessons.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Distillation + child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distill/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Playbook + attributable diff · distiller (success→directives/exemplars, failure→watch-outs) · child runtime.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Promotion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promote/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Gate (Wilson CI + hard gates) · lineage DAG + rollback · auto-promotion policy (default-off, hard-gated).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Online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online/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Shadow runner (judge child vs parent on live traffic) · canary with auto-rollback.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Fleets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fleet/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Many parents, each own lineage · gated cross-agent lesson sharing.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Serving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serving/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Playbook registry + config-fetch API (the outbound integration).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Tenancy / auth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tenancy/, auth/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API-key tenant isolation (machine) · Google sign-in + sessions (human).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Ops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ops/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Scheduler (nightly cadence) · retry/backoff · self-metrics + /api/ops.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Dashboard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web/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React + Vite + Tailwind; 5 screens, light/dark, thumbs feedback, Google login.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 Quality &amp; the acceptance bar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Quality is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anchored on outcomes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. Reliability order: outcome &gt; explicit user feedback &gt; implicit &gt; LLM judge (the judge is a prior, never the authority). Fusion weights are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learned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from how well each source historically agreed with the anchor — a judge that disagrees with real outcomes or feedback is automatically down-weighted.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A distilled child is promotable only when all of the following hold on a frozen held-out set the distiller never saw: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3200"/>
        <w:gridCol w:w="1800"/>
      </w:tblGrid>
      <w:tr>
        <w:trPr>
          <w:tblHeader/>
        </w:trP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Check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Threshold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Type</w:t>
            </w:r>
          </w:p>
        </w:tc>
      </w:tr>
      <w:t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Win-rate (child vs parent, recused judge)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≥ 55%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quality</w:t>
            </w:r>
          </w:p>
        </w:tc>
      </w:tr>
      <w:t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Confidence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95% CI lower bound &gt; 50% (powered N)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statistical</w:t>
            </w:r>
          </w:p>
        </w:tc>
      </w:tr>
      <w:t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Loss-rate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&lt; 10%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quality (downside)</w:t>
            </w:r>
          </w:p>
        </w:tc>
      </w:tr>
      <w:t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Regression suite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 failures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hard gate</w:t>
            </w:r>
          </w:p>
        </w:tc>
      </w:tr>
      <w:t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Safety probes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 new violations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hard gate</w:t>
            </w:r>
          </w:p>
        </w:tc>
      </w:tr>
      <w:t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Promote + rollback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both work from the UI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operational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</w:rPr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D9D9E0" w:sz="1"/>
              <w:left w:val="single" w:color="4F46E5" w:sz="18"/>
              <w:bottom w:val="single" w:color="D9D9E0" w:sz="1"/>
              <w:right w:val="single" w:color="D9D9E0" w:sz="1"/>
            </w:tcBorders>
            <w:shd w:fill="FBF3E6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5A5A66"/>
                <w:sz w:val="16"/>
                <w:szCs w:val="16"/>
                <w:rFonts w:ascii="Arial" w:cs="Arial" w:eastAsia="Arial" w:hAnsi="Arial"/>
                <w:spacing w:val="4"/>
              </w:rPr>
              <w:t xml:space="preserve">HONEST FINDING</w:t>
            </w:r>
          </w:p>
          <w:p>
            <w:pPr>
              <w:spacing w:after="0" w:line="264"/>
            </w:pP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A playbook makes the agent reliably </w:t>
            </w:r>
            <w:r>
              <w:rPr>
                <w:i/>
                <w:iCs/>
                <w:color w:val="1A1A22"/>
                <w:sz w:val="21"/>
                <w:szCs w:val="21"/>
                <w:rFonts w:ascii="Arial" w:cs="Arial" w:eastAsia="Arial" w:hAnsi="Arial"/>
              </w:rPr>
              <w:t xml:space="preserve">apply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lessons — it can’t teach the base model capabilities it lacks. The apprentice only measurably wins where the parent genuinely fails or is inconsistent </w:t>
            </w:r>
            <w:r>
              <w:rPr>
                <w:i/>
                <w:iCs/>
                <w:color w:val="1A1A22"/>
                <w:sz w:val="21"/>
                <w:szCs w:val="21"/>
                <w:rFonts w:ascii="Arial" w:cs="Arial" w:eastAsia="Arial" w:hAnsi="Arial"/>
              </w:rPr>
              <w:t xml:space="preserve">and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there’s ground truth to steer toward. On a real BytePlus support agent with honest headroom (a thin parent), the distilled child won </w:t>
            </w:r>
            <w:r>
              <w:rPr>
                <w:b/>
                <w:bCs/>
                <w:color w:val="1A1A22"/>
                <w:sz w:val="21"/>
                <w:szCs w:val="21"/>
                <w:rFonts w:ascii="Arial" w:cs="Arial" w:eastAsia="Arial" w:hAnsi="Arial"/>
              </w:rPr>
              <w:t xml:space="preserve">65–85%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of comparisons.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7.  Key decisions (ADRs)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tblHeader/>
        </w:trP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Decision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0001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VikingDB via REST (own Signature-V4 signer; SDK as a dev-only oracle).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0002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Recused judge (judge ≠ policy) to prevent self-preference.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0003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Experience Memory = VikingDB (curated lesson index, not a doc corpus).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0004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Tap = protocol-boundary collectors, wrapping OSS (SDK · proxy · OTel · MCP · A2A).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0005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aprntc is a learning product, not observability (best-effort capture).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0006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Outcome-anchored quality + playbook distillation (no fine-tuning in Phase 1).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0007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Canonical Trajectory schema.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0008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Tap build order: core + SDK wrapper first.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</w:rPr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D9D9E0" w:sz="1"/>
              <w:left w:val="single" w:color="4F46E5" w:sz="18"/>
              <w:bottom w:val="single" w:color="D9D9E0" w:sz="1"/>
              <w:right w:val="single" w:color="D9D9E0" w:sz="1"/>
            </w:tcBorders>
            <w:shd w:fill="EFEE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5A5A66"/>
                <w:sz w:val="16"/>
                <w:szCs w:val="16"/>
                <w:rFonts w:ascii="Arial" w:cs="Arial" w:eastAsia="Arial" w:hAnsi="Arial"/>
                <w:spacing w:val="4"/>
              </w:rPr>
              <w:t xml:space="preserve">HARD-WON LESSON</w:t>
            </w:r>
          </w:p>
          <w:p>
            <w:pPr>
              <w:spacing w:after="0" w:line="264"/>
            </w:pP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An SDK-equivalence (“oracle”) test only proves we match the SDK given the </w:t>
            </w:r>
            <w:r>
              <w:rPr>
                <w:i/>
                <w:iCs/>
                <w:color w:val="1A1A22"/>
                <w:sz w:val="21"/>
                <w:szCs w:val="21"/>
                <w:rFonts w:ascii="Arial" w:cs="Arial" w:eastAsia="Arial" w:hAnsi="Arial"/>
              </w:rPr>
              <w:t xml:space="preserve">same inputs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— it can’t catch a wrong input. The VikingDB signer matched the SDK byte-for-byte yet still returned 403 live, because both used </w:t>
            </w:r>
            <w:r>
              <w:rPr>
                <w:color w:val="33336A"/>
                <w:sz w:val="19"/>
                <w:szCs w:val="19"/>
                <w:rFonts w:ascii="Consolas" w:cs="Consolas" w:eastAsia="Consolas" w:hAnsi="Consolas"/>
              </w:rPr>
              <w:t xml:space="preserve">service="air"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when the V2 API needs </w:t>
            </w:r>
            <w:r>
              <w:rPr>
                <w:color w:val="33336A"/>
                <w:sz w:val="19"/>
                <w:szCs w:val="19"/>
                <w:rFonts w:ascii="Consolas" w:cs="Consolas" w:eastAsia="Consolas" w:hAnsi="Consolas"/>
              </w:rPr>
              <w:t xml:space="preserve">service="vikingdb"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. </w:t>
            </w:r>
            <w:r>
              <w:rPr>
                <w:b/>
                <w:bCs/>
                <w:color w:val="1A1A22"/>
                <w:sz w:val="21"/>
                <w:szCs w:val="21"/>
                <w:rFonts w:ascii="Arial" w:cs="Arial" w:eastAsia="Arial" w:hAnsi="Arial"/>
              </w:rPr>
              <w:t xml:space="preserve">The live API is the ultimate oracle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— which is why every stage is verified against live infrastructure, not just unit tests.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8.  Status &amp; what’s built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The planned roadmap is complete: the MVP loop, the v1 feature set, and productionization.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MVP loop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— signing gate, trajectory schema/store, AgentTap, eval/labeling, VikingDB memory, distillation + child, promotion gate + lineage. Live-verified on BytePlus.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v1 features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— distillation quality, real BytePlus support agent, external collectors (proxy/OTel/MCP/A2A), online shadow + canary, learned fusion weights, auto-promotion, multi-agent fleets. (Fine-tuning parked — open-weight models only.)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Productization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— playbook registry + config-fetch API, Docker deploy, API-key tenancy, ops (scheduler/retry/metrics), Google sign-in.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295 tests passing.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Docs: DESIGN_AND_SOLUTION, PRODUCTION, DEPLOY, ROADMAP, STATUS, 8 ADRs, technical report (docs/research).</w:t>
      </w:r>
    </w:p>
    <w:p>
      <w:pPr>
        <w:pBdr>
          <w:bottom w:val="single" w:color="4F46E5" w:sz="6" w:space="1"/>
        </w:pBdr>
        <w:spacing w:before="60" w:after="160"/>
      </w:pPr>
      <w:r>
        <w:rPr>
          <w:rFonts w:ascii="Arial" w:cs="Arial" w:eastAsia="Arial" w:hAnsi="Arial"/>
        </w:rPr>
      </w:r>
    </w:p>
    <w:p>
      <w:pPr>
        <w:spacing w:before="60"/>
      </w:pPr>
      <w:r>
        <w:rPr>
          <w:i/>
          <w:iCs/>
          <w:color w:val="8A8A95"/>
          <w:sz w:val="17"/>
          <w:szCs w:val="17"/>
          <w:rFonts w:ascii="Arial" w:cs="Arial" w:eastAsia="Arial" w:hAnsi="Arial"/>
        </w:rPr>
        <w:t xml:space="preserve">aprntc · Design &amp; Solution Document · generated from the repository at feature-complete state. The in-repo Markdown sources remain the canonical, version-controlled record.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22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2E2EC" w:sz="4" w:space="4"/>
      </w:pBdr>
      <w:spacing w:before="360" w:after="160"/>
      <w:outlineLvl w:val="0"/>
    </w:pPr>
    <w:rPr>
      <w:b/>
      <w:bCs/>
      <w:color w:val="1A1A22"/>
      <w:sz w:val="30"/>
      <w:szCs w:val="3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240" w:after="100"/>
      <w:outlineLvl w:val="1"/>
    </w:pPr>
    <w:rPr>
      <w:b/>
      <w:bCs/>
      <w:color w:val="303040"/>
      <w:sz w:val="24"/>
      <w:szCs w:val="24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jrlpatte7i1mwn79mkatr.png"/><Relationship Id="rId7" Type="http://schemas.openxmlformats.org/officeDocument/2006/relationships/image" Target="media/vn0glm0gachxq5sxhdwus.png"/><Relationship Id="rId8" Type="http://schemas.openxmlformats.org/officeDocument/2006/relationships/image" Target="media/wqoozryf9pnoelsgdgocf.png"/><Relationship Id="rId9" Type="http://schemas.openxmlformats.org/officeDocument/2006/relationships/image" Target="media/a1zcq6reoulqvh5d6xvyy.png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aprntc — Design &amp; Solution Document</dc:title>
  <dc:creator>aprntc</dc:creator>
  <dc:description>Design and solution document for the aprntc self-improving agent product.</dc:description>
  <cp:lastModifiedBy>Un-named</cp:lastModifiedBy>
  <cp:revision>1</cp:revision>
  <dcterms:created xsi:type="dcterms:W3CDTF">2026-06-17T17:20:38.611Z</dcterms:created>
  <dcterms:modified xsi:type="dcterms:W3CDTF">2026-06-17T17:20:38.616Z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