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  <w:r>
        <w:rPr>
          <w:b/>
          <w:bCs/>
          <w:color w:val="1A1A22"/>
          <w:sz w:val="64"/>
          <w:szCs w:val="64"/>
          <w:rFonts w:ascii="Arial" w:cs="Arial" w:eastAsia="Arial" w:hAnsi="Arial"/>
        </w:rPr>
        <w:t xml:space="preserve">aprntc</w:t>
      </w:r>
    </w:p>
    <w:p>
      <w:pPr>
        <w:spacing w:after="240"/>
      </w:pPr>
      <w:r>
        <w:rPr>
          <w:color w:val="4F46E5"/>
          <w:sz w:val="32"/>
          <w:szCs w:val="32"/>
          <w:rFonts w:ascii="Arial" w:cs="Arial" w:eastAsia="Arial" w:hAnsi="Arial"/>
        </w:rPr>
        <w:t xml:space="preserve">Design &amp; Solution Document</w:t>
      </w:r>
    </w:p>
    <w:p>
      <w:pPr>
        <w:spacing w:after="80"/>
      </w:pPr>
      <w:r>
        <w:rPr>
          <w:color w:val="5A5A66"/>
          <w:sz w:val="22"/>
          <w:szCs w:val="22"/>
          <w:rFonts w:ascii="Arial" w:cs="Arial" w:eastAsia="Arial" w:hAnsi="Arial"/>
        </w:rPr>
        <w:t xml:space="preserve">A self-improving agent that shadows a live agent, distills lessons from its behavior, and is promoted — automatically or with human approval — to a measurably better successor. Codename </w:t>
      </w:r>
      <w:r>
        <w:rPr>
          <w:b/>
          <w:bCs/>
          <w:color w:val="5A5A66"/>
          <w:sz w:val="22"/>
          <w:szCs w:val="22"/>
          <w:rFonts w:ascii="Arial" w:cs="Arial" w:eastAsia="Arial" w:hAnsi="Arial"/>
        </w:rPr>
        <w:t xml:space="preserve">“Shadow.”</w:t>
      </w:r>
    </w:p>
    <w:p>
      <w:pPr>
        <w:spacing w:before="280" w:after="0"/>
      </w:pPr>
      <w:r>
        <w:rPr>
          <w:b/>
          <w:bCs/>
          <w:color w:val="1D7A5C"/>
          <w:sz w:val="20"/>
          <w:szCs w:val="20"/>
          <w:rFonts w:ascii="Arial" w:cs="Arial" w:eastAsia="Arial" w:hAnsi="Arial"/>
        </w:rPr>
        <w:t xml:space="preserve">Status:  Feature-complete · 288 tests passing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Reference stack:  BytePlus ModelArk + VikingDB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Generated:  2026-06-18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document describes the system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as built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every component below is implemented and tested, and the self-improvement loop has been verified end-to-end on live infrastructure. It pairs with the in-repo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docs/DESIGN_AND_SOLUTION.md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the ADRs in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docs/decisions/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and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docs/PRODUCTION.md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 The concept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#1 limitation of production LLM agents is that they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don’t learn from experience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they stay stateless and need manual prompt and dataset work to improve. aprntc closes that gap with an autonomous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observe → label → distill → evaluate → promote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loop, with a human only at the promotion gate.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An apprentice (“child”) agent is cloned from a live parent, passively shadows it, distills lessons from what worked and what didn’t, becomes measurably better, and — whether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auto-promoted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or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human-approved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is promoted to replace it. Then the cycle repeats.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ig3-production.png" descr="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" title="The system at a glance — aprntc runs beside production: it 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The system at a glance — aprntc runs beside production: it observes the parent through a read-only tap (inbound) and serves the improved playbook the agent pulls (outbound). Promotion is the only write back, and it is gated — applied automatically for low-risk diffs or after human approval. Detailed in §4.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SCOPING PRINCIPLE (LOAD-BEARING)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aprntc is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not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a monitoring or observability product. It learns from the parent’s overall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response quality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to produce a better successor — episode- and task-level quality signal is the target, not exhaustive trace capture.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2.  What the “child” actually is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single most important thing to understand: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there is no separate “child program.”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An agent = a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fixed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(the LLM, retrieval, tools, the loop)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+ a Playbook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(a config artifact: system prompt + directives + exemplars + “watch-out” lessons). Parent and child share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exact same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 only difference between them is the Playbook.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fig1-child.png" descr="Figure 1 — The parent and child share one engine. Only the Playbook differs; promotion swaps it." title="Figure 1 — The parent and child share one engine. Only the 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1 — The parent and child share one engine. Only the Playbook differs; promotion swaps it.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is the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Phase-1 mechanism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: playbook distillation,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not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fine-tuning. The consequences map directly to real-world constraints: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Works on closed-source LLMs.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You can’t fine-tune Seed-2.0 or DeepSeek — but you can change how they’re prompted and what examples and lessons they’re given.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Attributable.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Every lesson traces back to the trajectories that produced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Reversible.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A bad promotion is one config swap to undo — no opaque weight changes.</w:t>
      </w:r>
    </w:p>
    <w:p>
      <w:pPr>
        <w:pStyle w:val="Heading1"/>
      </w:pPr>
      <w:r>
        <w:rPr>
          <w:rFonts w:ascii="Arial" w:cs="Arial" w:eastAsia="Arial" w:hAnsi="Arial"/>
        </w:rPr>
        <w:t xml:space="preserve">3.  The closed loop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Each stage below is implemented; the path from parent run → distilled lesson → memory → child retrieval is verified live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scripts/demo_byteplus_loop.py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), where a distilled child won 65–85% of head-to-head comparisons against a real BytePlus support agent.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fig2-loop.png" descr="Figure 2 — observe → label → distill → evaluate → promote. The dashed arrow is the only write back to the live agent (a gated config swap)." title="Figure 2 — observe → label → distill → evaluate → promote. 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2 — observe → label → distill → evaluate → promote. The dashed arrow is the only write back to the live agent (a gated config swap).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Cadence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What runs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Continuous (ms)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captures live interactions into the trajectory store — async, fail-open, never on the user’s response path.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Hourly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Judge + outcome scoring label the trajectories.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Nightly (batch)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 lessons → build child G(n+1) → run the gate on a held-out set.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Weekly (human)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Reviewer sees the diff + metrics in the dashboard → clicks Promote.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 regression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One-click rollback, or auto-rollback if a live metric degrades after promotion.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 Production integration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sits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beside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your agent, never in front of it. The production agent keeps running exactly as today; aprntc is a separate service that observes, improves, and proposes. It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never in the user request path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if it’s down or wrong, production is unaffected. The overall topology is the at-a-glance diagram in §1; this section details how an external agent connects.</w:t>
      </w:r>
    </w:p>
    <w:p>
      <w:pPr>
        <w:pStyle w:val="Heading2"/>
      </w:pPr>
      <w:r>
        <w:rPr>
          <w:rFonts w:ascii="Arial" w:cs="Arial" w:eastAsia="Arial" w:hAnsi="Arial"/>
        </w:rPr>
        <w:t xml:space="preserve">Connecting an external agent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owns neither the agent’s code nor its prompt, so the Playbook becomes a contract with two halves: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Inbound (observe).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agent’s traffic flows into aprntc via a tap (egress proxy / OpenTelemetry / MCP gateway). Read-only. This is how aprntc sees behavior without owning the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Outbound (control).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 pulls its active playbook from aprntc’s config-fetch API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GET /api/playbooks/{id}/active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). Promotion updates what’s served; the agent picks it up. Rollback serves the prior version. No redeploy.</w:t>
      </w:r>
    </w:p>
    <w:p>
      <w:pPr>
        <w:spacing w:after="120" w:line="276"/>
      </w:pPr>
      <w:r>
        <w:rPr>
          <w:color w:val="8A8A95"/>
          <w:sz w:val="19"/>
          <w:szCs w:val="19"/>
          <w:rFonts w:ascii="Arial" w:cs="Arial" w:eastAsia="Arial" w:hAnsi="Arial"/>
        </w:rPr>
        <w:t xml:space="preserve">Initial G0 = the customer registers their current system prompt (aprntc needs only the prompt text, not the code); if they don’t, aprntc infers an approximate G0 from the system prompt the tap observed.</w:t>
      </w:r>
    </w:p>
    <w:p>
      <w:pPr>
        <w:pStyle w:val="Heading2"/>
      </w:pPr>
      <w:r>
        <w:rPr>
          <w:rFonts w:ascii="Arial" w:cs="Arial" w:eastAsia="Arial" w:hAnsi="Arial"/>
        </w:rPr>
        <w:t xml:space="preserve">Tap boundaries — which collector, which scenario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inbound tap isn’t one integration; it’s a set of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collectors at stable protocol boundaries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You attach at whichever boundary your agent already exposes — no framework lock-in. Each collector normalizes into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same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canonical Trajectory, and fidelity degrades gracefully by how the target was built: an agent we own gives full tool tracking; a closed-source agent behind the proxy still gives us model traffic.</w:t>
      </w:r>
    </w:p>
    <w:p>
      <w:pPr>
        <w:spacing w:before="120" w:after="60"/>
        <w:jc w:val="center"/>
      </w:pPr>
      <w:r>
        <w:drawing>
          <wp:inline distT="0" distB="0" distL="0" distR="0">
            <wp:extent cx="6172200" cy="3686175"/>
            <wp:effectExtent t="0" r="0" b="0" l="0"/>
            <wp:docPr id="1" name="fig4-taps.png" descr="Figure 3 — The four tap boundaries, the collector at each, the scenario it fits, and how complete its tool-call capture is. A2A is the deferred fifth boundary." title="Figure 3 — The four tap boundaries, the collector at each, 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3 — The four tap boundaries, the collector at each, the scenario it fits, and how complete its tool-call capture is. A2A is the deferred fifth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760"/>
        <w:gridCol w:w="4040"/>
        <w:gridCol w:w="1800"/>
      </w:tblGrid>
      <w:tr>
        <w:trPr>
          <w:tblHeader/>
        </w:trP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Boundary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Collector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When it applies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Tool fidelity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(LLM API)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code you own (our two demos).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(egress)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LiteLLM proxy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Any agent, incl. closed-source — points base_url at our proxy.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PARTIAL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Tool (MCP)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MCP gateway → OTel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tools are MCP servers.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 (MCP only)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Telemetry (OTel)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 ingester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OTel-instrumented frameworks (LangChain, LlamaIndex, CrewAI).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Conditional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 (A2A)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A2A interceptor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exposed over A2A. Coarsest granularity.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Deferred (post-v1)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 Component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Responsibility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LLMProvider seam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providers/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 complete() contract; model-agnostic (Seed / DeepSeek / OpenAI / Anthropic / Gemini).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AgentTap + collectors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 (full fidelity) · LiteLLM egress proxy · OTel ingester · MCP gateway — all normalize into one Trajectory; async + fail-open.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 schema + store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Episode/Turn/Step; SQLite store; PII scrub at ingest; fused reward; GDPR delete + TTL.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Evaluation / labeling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pairwise judge · deterministic outcome scorers (the anchor) · health metrics · learned fusion weights.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memory/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REST adapter (own SigV4 signer) · filtered hybrid search + MMR · curated, generation-versioned lessons.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Distillation + child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+ attributable diff · distiller (success→directives/exemplars, failure→watch-outs) · child runtime.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Promotion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Gate (Wilson CI + hard gates) · lineage DAG + rollback · auto-promotion policy (default-off, hard-gated).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Shadow runner (judge child vs parent on live traffic) · canary with auto-rollback.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Many parents, each own lineage · gated cross-agent lesson sharing.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registry + config-fetch API (the outbound integration).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 / auth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tenancy/, auth/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API-key tenant isolation (machine) · Google sign-in + sessions (human).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Scheduler (nightly cadence) · retry/backoff · self-metrics + /api/ops.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web/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React + Vite + Tailwind; 5 screens, light/dark, thumbs feedback, Google login.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 Quality &amp; the acceptance bar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Quality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anchored on outcomes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Reliability order: outcome &gt; explicit user feedback &gt; implicit &gt; LLM judge (the judge is a prior, never the authority). Fusion weights are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learned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from how well each source historically agreed with the anchor — a judge that disagrees with real outcomes or feedback is automatically down-weighted.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 distilled child is promotable only when all of the following hold on a frozen held-out set the distiller never saw: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200"/>
        <w:gridCol w:w="1800"/>
      </w:tblGrid>
      <w:tr>
        <w:trPr>
          <w:tblHeader/>
        </w:trP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Check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Threshold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Type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Win-rate (child vs parent, recused judge)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≥ 55%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Confidence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95% CI lower bound &gt; 50% (powered N)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statistical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Loss-rate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&lt; 10%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 (downside)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Regression suite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failures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Safety probes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new violations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 + rollback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both work from the UI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operational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FBF3E6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HONEST FINDING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 playbook makes the agent reliably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apply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lessons — it can’t teach the base model capabilities it lacks. The apprentice only measurably wins where the parent genuinely fails or is inconsistent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and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there’s ground truth to steer toward. On a real BytePlus support agent with honest headroom (a thin parent), the distilled child won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65–85%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of comparisons.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 Key decisions (ADRs)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Decision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0001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via REST (own Signature-V4 signer; SDK as a dev-only oracle).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0002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judge (judge ≠ policy) to prevent self-preference.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0003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 = VikingDB (curated lesson index, not a doc corpus).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0004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= protocol-boundary collectors, wrapping OSS.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0005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aprntc is a learning product, not observability (best-effort capture).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0006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Outcome-anchored quality + playbook distillation (no fine-tuning in Phase 1).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0007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Trajectory schema.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0008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build order: core + SDK wrapper first.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HARD-WON LESSON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An SDK-equivalence (“oracle”) test only proves we match the SDK given the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same inputs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it can’t catch a wrong input. The VikingDB signer matched the SDK byte-for-byte yet still returned 403 live, because both used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service="air"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when the V2 API needs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service="vikingdb"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.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The live API is the ultimate oracle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which is why every stage is verified against live infrastructure, not just unit tests.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 Status &amp; what’s built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planned roadmap is complete: the MVP loop, the v1 feature set, and productionization.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MVP loop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signing gate, trajectory schema/store, AgentTap, eval/labeling, VikingDB memory, distillation + child, promotion gate + lineage. Live-verified on BytePlus.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v1 features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distillation quality, real BytePlus support agent, external collectors (proxy/OTel/MCP), online shadow + canary, learned fusion weights, auto-promotion, multi-agent fleets. (Fine-tuning parked — open-weight models only.)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Productization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playbook registry + config-fetch API, Docker deploy, API-key tenancy, ops (scheduler/retry/metrics), Google sign-in.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288 tests passing.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Docs: DESIGN_AND_SOLUTION, PRODUCTION, DEPLOY, ROADMAP, STATUS, 8 ADRs.</w:t>
      </w:r>
    </w:p>
    <w:p>
      <w:pPr>
        <w:pBdr>
          <w:bottom w:val="single" w:color="4F46E5" w:sz="6" w:space="1"/>
        </w:pBdr>
        <w:spacing w:before="60" w:after="160"/>
      </w:pPr>
      <w:r>
        <w:rPr>
          <w:rFonts w:ascii="Arial" w:cs="Arial" w:eastAsia="Arial" w:hAnsi="Arial"/>
        </w:rPr>
      </w:r>
    </w:p>
    <w:p>
      <w:pPr>
        <w:spacing w:before="60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aprntc · Design &amp; Solution Document · generated from the repository at feature-complete state. The in-repo Markdown sources remain the canonical, version-controlled record.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22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2E2EC" w:sz="4" w:space="4"/>
      </w:pBdr>
      <w:spacing w:before="360" w:after="160"/>
      <w:outlineLvl w:val="0"/>
    </w:pPr>
    <w:rPr>
      <w:b/>
      <w:bCs/>
      <w:color w:val="1A1A22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303040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b0gmrprxeszmqh8eljgvj.png"/><Relationship Id="rId7" Type="http://schemas.openxmlformats.org/officeDocument/2006/relationships/image" Target="media/2o8gqlzwb-t4his-seqzr.png"/><Relationship Id="rId8" Type="http://schemas.openxmlformats.org/officeDocument/2006/relationships/image" Target="media/lwm_nl_sw1sd0fk3zuukp.png"/><Relationship Id="rId9" Type="http://schemas.openxmlformats.org/officeDocument/2006/relationships/image" Target="media/siiwbst2v2mw8b2fruhmk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aprntc — Design &amp; Solution Document</dc:title>
  <dc:creator>aprntc</dc:creator>
  <dc:description>Design and solution document for the aprntc self-improving agent product.</dc:description>
  <cp:lastModifiedBy>Un-named</cp:lastModifiedBy>
  <cp:revision>1</cp:revision>
  <dcterms:created xsi:type="dcterms:W3CDTF">2026-06-17T16:45:56.783Z</dcterms:created>
  <dcterms:modified xsi:type="dcterms:W3CDTF">2026-06-17T16:45:56.786Z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