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0"/>
      </w:pPr>
      <w:r>
        <w:rPr>
          <w:b/>
          <w:bCs/>
          <w:color w:val="1A1A22"/>
          <w:sz w:val="64"/>
          <w:szCs w:val="64"/>
          <w:rFonts w:ascii="Arial" w:cs="Arial" w:eastAsia="Arial" w:hAnsi="Arial"/>
        </w:rPr>
        <w:t xml:space="preserve">aprntc</w:t>
      </w:r>
    </w:p>
    <w:p>
      <w:pPr>
        <w:spacing w:after="240"/>
      </w:pPr>
      <w:r>
        <w:rPr>
          <w:color w:val="4F46E5"/>
          <w:sz w:val="32"/>
          <w:szCs w:val="32"/>
          <w:rFonts w:ascii="Arial" w:cs="Arial" w:eastAsia="Arial" w:hAnsi="Arial"/>
        </w:rPr>
        <w:t xml:space="preserve">Design &amp; Solution Document</w:t>
      </w:r>
    </w:p>
    <w:p>
      <w:pPr>
        <w:spacing w:after="80"/>
      </w:pPr>
      <w:r>
        <w:rPr>
          <w:color w:val="5A5A66"/>
          <w:sz w:val="22"/>
          <w:szCs w:val="22"/>
          <w:rFonts w:ascii="Arial" w:cs="Arial" w:eastAsia="Arial" w:hAnsi="Arial"/>
        </w:rPr>
        <w:t xml:space="preserve">A self-improving agent that shadows a live agent, distills lessons from its behavior, and is promoted — gated by a human — to a measurably better successor. Codename </w:t>
      </w:r>
      <w:r>
        <w:rPr>
          <w:b/>
          <w:bCs/>
          <w:color w:val="5A5A66"/>
          <w:sz w:val="22"/>
          <w:szCs w:val="22"/>
          <w:rFonts w:ascii="Arial" w:cs="Arial" w:eastAsia="Arial" w:hAnsi="Arial"/>
        </w:rPr>
        <w:t xml:space="preserve">“Shadow.”</w:t>
      </w:r>
    </w:p>
    <w:p>
      <w:pPr>
        <w:spacing w:before="280" w:after="0"/>
      </w:pPr>
      <w:r>
        <w:rPr>
          <w:b/>
          <w:bCs/>
          <w:color w:val="1D7A5C"/>
          <w:sz w:val="20"/>
          <w:szCs w:val="20"/>
          <w:rFonts w:ascii="Arial" w:cs="Arial" w:eastAsia="Arial" w:hAnsi="Arial"/>
        </w:rPr>
        <w:t xml:space="preserve">Status:  Feature-complete · 288 tests passing</w:t>
      </w:r>
    </w:p>
    <w:p>
      <w:pPr>
        <w:spacing w:after="0"/>
      </w:pPr>
      <w:r>
        <w:rPr>
          <w:color w:val="5A5A66"/>
          <w:sz w:val="20"/>
          <w:szCs w:val="20"/>
          <w:rFonts w:ascii="Arial" w:cs="Arial" w:eastAsia="Arial" w:hAnsi="Arial"/>
        </w:rPr>
        <w:t xml:space="preserve">Reference stack:  BytePlus ModelArk + VikingDB</w:t>
      </w:r>
    </w:p>
    <w:p>
      <w:pPr>
        <w:spacing w:after="0"/>
      </w:pPr>
      <w:r>
        <w:rPr>
          <w:color w:val="5A5A66"/>
          <w:sz w:val="20"/>
          <w:szCs w:val="20"/>
          <w:rFonts w:ascii="Arial" w:cs="Arial" w:eastAsia="Arial" w:hAnsi="Arial"/>
        </w:rPr>
        <w:t xml:space="preserve">Generated:  2026-06-17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This document describes the system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as built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every component below is implemented and tested, and the self-improvement loop has been verified end-to-end on live infrastructure. It pairs with the in-repo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docs/DESIGN_AND_SOLUTION.md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, the ADRs in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docs/decisions/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, and 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docs/PRODUCTION.md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 The concept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#1 limitation of production LLM agents is that they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don’t learn from experience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they stay stateless and need manual prompt and dataset work to improve. aprntc closes that gap with an autonomous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observe → label → distill → evaluate → promote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loop, with a human only at the promotion gate.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An apprentice (“child”) agent is cloned from a live parent, passively shadows it, distills lessons from what worked and what didn’t, becomes measurably better, and — once a human approves — is promoted to replace it. Then the cycle repeats.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EFEE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SCOPING PRINCIPLE (LOAD-BEARING)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aprntc is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not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a monitoring or observability product. It learns from the parent’s overall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response quality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to produce a better successor — episode- and task-level quality signal is the target, not exhaustive trace capture.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2.  What the “child” actually is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single most important thing to understand: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there is no separate “child program.”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An agent = a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fixed engine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(the LLM, retrieval, tools, the loop)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+ a Playbook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(a config artifact: system prompt + directives + exemplars + “watch-out” lessons). Parent and child share the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exact same engine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the only difference between them is the Playbook.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fig1-child.png" descr="Figure 1 — The parent and child share one engine. Only the Playbook differs; promotion swaps it." title="Figure 1 — The parent and child share one engine. Only the Playbook differs; promotion swaps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1 — The parent and child share one engine. Only the Playbook differs; promotion swaps it.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This is the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Phase-1 mechanism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: playbook distillation,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not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fine-tuning. The consequences map directly to real-world constraints: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Works on closed-source LLMs.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You can’t fine-tune Seed-2.0 or DeepSeek — but you can change how they’re prompted and what examples and lessons they’re given.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Attributable.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Every lesson traces back to the trajectories that produced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Reversible.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A bad promotion is one config swap to undo — no opaque weight changes.</w:t>
      </w:r>
    </w:p>
    <w:p>
      <w:pPr>
        <w:pStyle w:val="Heading1"/>
      </w:pPr>
      <w:r>
        <w:rPr>
          <w:rFonts w:ascii="Arial" w:cs="Arial" w:eastAsia="Arial" w:hAnsi="Arial"/>
        </w:rPr>
        <w:t xml:space="preserve">3.  The closed loop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Each stage below is implemented; the path from parent run → distilled lesson → memory → child retrieval is verified live (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scripts/demo_byteplus_loop.py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), where a distilled child won 65–85% of head-to-head comparisons against a real BytePlus support agent.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fig2-loop.png" descr="Figure 2 — observe → label → distill → evaluate → promote. The dashed arrow is the only write back to the live agent (a gated config swap)." title="Figure 2 — observe → label → distill → evaluate → promote. The dashed arrow is the only write back to the live agent (a gated config swap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2 — observe → label → distill → evaluate → promote. The dashed arrow is the only write back to the live agent (a gated config swap).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Cadence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What runs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Continuous (ms)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captures live interactions into the trajectory store — async, fail-open, never on the user’s response path.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Hourly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Judge + outcome scoring label the trajectories.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Nightly (batch)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 lessons → build child G(n+1) → run the gate on a held-out set.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Weekly (human)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Reviewer sees the diff + metrics in the dashboard → clicks Promote.</w:t>
            </w:r>
          </w:p>
        </w:tc>
      </w:tr>
      <w:tr>
        <w:tc>
          <w:tcPr>
            <w:tcW w:type="dxa" w:w="2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 regression</w:t>
            </w:r>
          </w:p>
        </w:tc>
        <w:tc>
          <w:tcPr>
            <w:tcW w:type="dxa" w:w="71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One-click rollback, or auto-rollback if a live metric degrades after promotion.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 Production integration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aprntc sits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beside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your agent, never in front of it. The production agent keeps running exactly as today; aprntc is a separate service that observes, improves, and proposes. It is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never in the user request path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— if it’s down or wrong, production is unaffected.</w:t>
      </w:r>
    </w:p>
    <w:p>
      <w:pPr>
        <w:spacing w:before="120" w:after="6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ig3-production.png" descr="Figure 3 — aprntc observes via a read-only tap (inbound) and serves the improved playbook the agent pulls (outbound). The gated config swap is the only write back to production." title="Figure 3 — aprntc observes via a read-only tap (inbound) and serves the improved playbook the agent pulls (outbound). The gated config swap is the only write back to produc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3 — aprntc observes via a read-only tap (inbound) and serves the improved playbook the agent pulls (outbound). The gated config swap is the only write back to production.</w:t>
      </w:r>
    </w:p>
    <w:p>
      <w:pPr>
        <w:pStyle w:val="Heading2"/>
      </w:pPr>
      <w:r>
        <w:rPr>
          <w:rFonts w:ascii="Arial" w:cs="Arial" w:eastAsia="Arial" w:hAnsi="Arial"/>
        </w:rPr>
        <w:t xml:space="preserve">Connecting an external agent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aprntc owns neither the agent’s code nor its prompt, so the Playbook becomes a contract with two halves: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Inbound (observe).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The agent’s traffic flows into aprntc via a tap (egress proxy / OpenTelemetry / MCP gateway). Read-only. This is how aprntc sees behavior without owning the code.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Outbound (control).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The agent pulls its active playbook from aprntc’s config-fetch API (</w:t>
      </w:r>
      <w:r>
        <w:rPr>
          <w:color w:val="33336A"/>
          <w:sz w:val="19"/>
          <w:szCs w:val="19"/>
          <w:rFonts w:ascii="Consolas" w:cs="Consolas" w:eastAsia="Consolas" w:hAnsi="Consolas"/>
        </w:rPr>
        <w:t xml:space="preserve">GET /api/playbooks/{id}/active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). Promotion updates what’s served; the agent picks it up. Rollback serves the prior version. No redeploy.</w:t>
      </w:r>
    </w:p>
    <w:p>
      <w:pPr>
        <w:spacing w:after="120" w:line="276"/>
      </w:pPr>
      <w:r>
        <w:rPr>
          <w:color w:val="8A8A95"/>
          <w:sz w:val="19"/>
          <w:szCs w:val="19"/>
          <w:rFonts w:ascii="Arial" w:cs="Arial" w:eastAsia="Arial" w:hAnsi="Arial"/>
        </w:rPr>
        <w:t xml:space="preserve">Initial G0 = the customer registers their current system prompt (aprntc needs only the prompt text, not the code); if they don’t, aprntc infers an approximate G0 from the system prompt the tap observed.</w:t>
      </w:r>
    </w:p>
    <w:p>
      <w:pPr>
        <w:pStyle w:val="Heading2"/>
      </w:pPr>
      <w:r>
        <w:rPr>
          <w:rFonts w:ascii="Arial" w:cs="Arial" w:eastAsia="Arial" w:hAnsi="Arial"/>
        </w:rPr>
        <w:t xml:space="preserve">Tap boundaries — which collector, which scenario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inbound tap isn’t one integration; it’s a set of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collectors at stable protocol boundaries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 You attach at whichever boundary your agent already exposes — no framework lock-in. Each collector normalizes into the </w:t>
      </w:r>
      <w:r>
        <w:rPr>
          <w:i/>
          <w:iCs/>
          <w:color w:val="1A1A22"/>
          <w:sz w:val="21"/>
          <w:szCs w:val="21"/>
          <w:rFonts w:ascii="Arial" w:cs="Arial" w:eastAsia="Arial" w:hAnsi="Arial"/>
        </w:rPr>
        <w:t xml:space="preserve">same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canonical Trajectory, and fidelity degrades gracefully by how the target was built: an agent we own gives full tool tracking; a closed-source agent behind the proxy still gives us model traffic.</w:t>
      </w:r>
    </w:p>
    <w:p>
      <w:pPr>
        <w:spacing w:before="120" w:after="60"/>
        <w:jc w:val="center"/>
      </w:pPr>
      <w:r>
        <w:drawing>
          <wp:inline distT="0" distB="0" distL="0" distR="0">
            <wp:extent cx="6172200" cy="3686175"/>
            <wp:effectExtent t="0" r="0" b="0" l="0"/>
            <wp:docPr id="1" name="fig4-taps.png" descr="Figure 4 — The four tap boundaries, the collector at each, the scenario it fits, and how complete its tool-call capture is. A2A is the deferred fifth boundary." title="Figure 4 — The four tap boundaries, the collector at each, the scenario it fits, and how complete its tool-call capture is. A2A is the deferred fifth bounda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Figure 4 — The four tap boundaries, the collector at each, the scenario it fits, and how complete its tool-call capture is. A2A is the deferred fifth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760"/>
        <w:gridCol w:w="4040"/>
        <w:gridCol w:w="1800"/>
      </w:tblGrid>
      <w:tr>
        <w:trPr>
          <w:tblHeader/>
        </w:trP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Boundary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Collector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When it applies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Tool fidelity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Model (LLM API)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SDK wrapper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whose code you own (our two demos).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FULL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Model (egress)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LiteLLM proxy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Any agent, incl. closed-source — points base_url at our proxy.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PARTIAL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Tool (MCP)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MCP gateway → OTel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whose tools are MCP servers.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FULL (MCP only)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Telemetry (OTel)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OTel ingester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OTel-instrumented frameworks (LangChain, LlamaIndex, CrewAI).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Conditional</w:t>
            </w:r>
          </w:p>
        </w:tc>
      </w:tr>
      <w:tr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 (A2A)</w:t>
            </w:r>
          </w:p>
        </w:tc>
        <w:tc>
          <w:tcPr>
            <w:tcW w:type="dxa" w:w="1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A2A interceptor</w:t>
            </w:r>
          </w:p>
        </w:tc>
        <w:tc>
          <w:tcPr>
            <w:tcW w:type="dxa" w:w="404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Agents exposed over A2A. Coarsest granularity.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Deferred (post-v1)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 Component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Component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Module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Responsibility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LLMProvider seam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providers/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One complete() contract; model-agnostic (Seed / DeepSeek / OpenAI / Anthropic / Gemini).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AgentTap + collectors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SDK wrapper (full fidelity) · LiteLLM egress proxy · OTel ingester · MCP gateway — all normalize into one Trajectory; async + fail-open.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Trajectory schema + store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trajectory/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Canonical Episode/Turn/Step; SQLite store; PII scrub at ingest; fused reward; GDPR delete + TTL.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Evaluation / labeling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eval/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Recused pairwise judge · deterministic outcome scorers (the anchor) · health metrics · learned fusion weights.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Experience memory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memory/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VikingDB REST adapter (own SigV4 signer) · filtered hybrid search + MMR · curated, generation-versioned lessons.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Distillation + child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distill/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Playbook + attributable diff · distiller (success→directives/exemplars, failure→watch-outs) · child runtime.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Promotion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promote/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Gate (Wilson CI + hard gates) · lineage DAG + rollback · auto-promotion policy (default-off, hard-gated).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Online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online/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Shadow runner (judge child vs parent on live traffic) · canary with auto-rollback.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Fleets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fleet/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Many parents, each own lineage · gated cross-agent lesson sharing.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Serving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serving/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Playbook registry + config-fetch API (the outbound integration).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Tenancy / auth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tenancy/, auth/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API-key tenant isolation (machine) · Google sign-in + sessions (human).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Ops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ops/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Scheduler (nightly cadence) · retry/backoff · self-metrics + /api/ops.</w:t>
            </w:r>
          </w:p>
        </w:tc>
      </w:tr>
      <w:tr>
        <w:tc>
          <w:tcPr>
            <w:tcW w:type="dxa" w:w="21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Dashboard</w:t>
            </w:r>
          </w:p>
        </w:tc>
        <w:tc>
          <w:tcPr>
            <w:tcW w:type="dxa" w:w="15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web/</w:t>
            </w:r>
          </w:p>
        </w:tc>
        <w:tc>
          <w:tcPr>
            <w:tcW w:type="dxa" w:w="57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React + Vite + Tailwind; 5 screens, light/dark, thumbs feedback, Google login.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 Quality &amp; the acceptance bar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Quality is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anchored on outcomes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. Reliability order: outcome &gt; explicit user feedback &gt; implicit &gt; LLM judge (the judge is a prior, never the authority). Fusion weights are </w:t>
      </w: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learned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 from how well each source historically agreed with the anchor — a judge that disagrees with real outcomes or feedback is automatically down-weighted.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A distilled child is promotable only when all of the following hold on a frozen held-out set the distiller never saw: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200"/>
        <w:gridCol w:w="1800"/>
      </w:tblGrid>
      <w:tr>
        <w:trPr>
          <w:tblHeader/>
        </w:trP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Check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Threshold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Type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Win-rate (child vs parent, recused judge)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≥ 55%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quality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Confidence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95% CI lower bound &gt; 50% (powered N)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statistical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Loss-rate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&lt; 10%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quality (downside)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Regression suite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 failures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hard gate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Safety probes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 new violations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hard gate</w:t>
            </w:r>
          </w:p>
        </w:tc>
      </w:tr>
      <w:tr>
        <w:tc>
          <w:tcPr>
            <w:tcW w:type="dxa" w:w="43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Promote + rollback</w:t>
            </w:r>
          </w:p>
        </w:tc>
        <w:tc>
          <w:tcPr>
            <w:tcW w:type="dxa" w:w="32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both work from the UI</w:t>
            </w:r>
          </w:p>
        </w:tc>
        <w:tc>
          <w:tcPr>
            <w:tcW w:type="dxa" w:w="18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operational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FBF3E6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HONEST FINDING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 playbook makes the agent reliably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apply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lessons — it can’t teach the base model capabilities it lacks. The apprentice only measurably wins where the parent genuinely fails or is inconsistent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and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there’s ground truth to steer toward. On a real BytePlus support agent with honest headroom (a thin parent), the distilled child won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65–85%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of comparisons.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7.  Key decisions (ADRs)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shd w:fill="EE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A1A22"/>
                <w:sz w:val="18"/>
                <w:szCs w:val="18"/>
                <w:rFonts w:ascii="Arial" w:cs="Arial" w:eastAsia="Arial" w:hAnsi="Arial"/>
              </w:rPr>
              <w:t xml:space="preserve">Decision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0001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VikingDB via REST (own Signature-V4 signer; SDK as a dev-only oracle).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0002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Recused judge (judge ≠ policy) to prevent self-preference.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0003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Experience Memory = VikingDB (curated lesson index, not a doc corpus).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0004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= protocol-boundary collectors, wrapping OSS.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0005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aprntc is a learning product, not observability (best-effort capture).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0006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Outcome-anchored quality + playbook distillation (no fine-tuning in Phase 1).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0007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Canonical Trajectory schema.</w:t>
            </w:r>
          </w:p>
        </w:tc>
      </w:tr>
      <w:tr>
        <w:tc>
          <w:tcPr>
            <w:tcW w:type="dxa" w:w="90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0008</w:t>
            </w:r>
          </w:p>
        </w:tc>
        <w:tc>
          <w:tcPr>
            <w:tcW w:type="dxa" w:w="8460"/>
            <w:tcBorders>
              <w:top w:val="single" w:color="D9D9E0" w:sz="1"/>
              <w:left w:val="single" w:color="D9D9E0" w:sz="1"/>
              <w:bottom w:val="single" w:color="D9D9E0" w:sz="1"/>
              <w:right w:val="single" w:color="D9D9E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A1A22"/>
                <w:sz w:val="18"/>
                <w:szCs w:val="18"/>
                <w:rFonts w:ascii="Arial" w:cs="Arial" w:eastAsia="Arial" w:hAnsi="Arial"/>
              </w:rPr>
              <w:t xml:space="preserve">Tap build order: core + SDK wrapper first.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9D9E0" w:sz="1"/>
              <w:left w:val="single" w:color="4F46E5" w:sz="18"/>
              <w:bottom w:val="single" w:color="D9D9E0" w:sz="1"/>
              <w:right w:val="single" w:color="D9D9E0" w:sz="1"/>
            </w:tcBorders>
            <w:shd w:fill="EFEE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5A5A66"/>
                <w:sz w:val="16"/>
                <w:szCs w:val="16"/>
                <w:rFonts w:ascii="Arial" w:cs="Arial" w:eastAsia="Arial" w:hAnsi="Arial"/>
                <w:spacing w:val="4"/>
              </w:rPr>
              <w:t xml:space="preserve">HARD-WON LESSON</w:t>
            </w:r>
          </w:p>
          <w:p>
            <w:pPr>
              <w:spacing w:after="0" w:line="264"/>
            </w:pP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An SDK-equivalence (“oracle”) test only proves we match the SDK given the </w:t>
            </w:r>
            <w:r>
              <w:rPr>
                <w:i/>
                <w:iCs/>
                <w:color w:val="1A1A22"/>
                <w:sz w:val="21"/>
                <w:szCs w:val="21"/>
                <w:rFonts w:ascii="Arial" w:cs="Arial" w:eastAsia="Arial" w:hAnsi="Arial"/>
              </w:rPr>
              <w:t xml:space="preserve">same inputs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— it can’t catch a wrong input. The VikingDB signer matched the SDK byte-for-byte yet still returned 403 live, because both used </w:t>
            </w:r>
            <w:r>
              <w:rPr>
                <w:color w:val="33336A"/>
                <w:sz w:val="19"/>
                <w:szCs w:val="19"/>
                <w:rFonts w:ascii="Consolas" w:cs="Consolas" w:eastAsia="Consolas" w:hAnsi="Consolas"/>
              </w:rPr>
              <w:t xml:space="preserve">service="air"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when the V2 API needs </w:t>
            </w:r>
            <w:r>
              <w:rPr>
                <w:color w:val="33336A"/>
                <w:sz w:val="19"/>
                <w:szCs w:val="19"/>
                <w:rFonts w:ascii="Consolas" w:cs="Consolas" w:eastAsia="Consolas" w:hAnsi="Consolas"/>
              </w:rPr>
              <w:t xml:space="preserve">service="vikingdb"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. </w:t>
            </w:r>
            <w:r>
              <w:rPr>
                <w:b/>
                <w:bCs/>
                <w:color w:val="1A1A22"/>
                <w:sz w:val="21"/>
                <w:szCs w:val="21"/>
                <w:rFonts w:ascii="Arial" w:cs="Arial" w:eastAsia="Arial" w:hAnsi="Arial"/>
              </w:rPr>
              <w:t xml:space="preserve">The live API is the ultimate oracle</w:t>
            </w:r>
            <w:r>
              <w:rPr>
                <w:color w:val="1A1A22"/>
                <w:sz w:val="21"/>
                <w:szCs w:val="21"/>
                <w:rFonts w:ascii="Arial" w:cs="Arial" w:eastAsia="Arial" w:hAnsi="Arial"/>
              </w:rPr>
              <w:t xml:space="preserve"> — which is why every stage is verified against live infrastructure, not just unit tests.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 Status &amp; what’s built</w:t>
      </w:r>
    </w:p>
    <w:p>
      <w:pPr>
        <w:spacing w:after="120" w:line="276"/>
      </w:pPr>
      <w:r>
        <w:rPr>
          <w:color w:val="1A1A22"/>
          <w:sz w:val="21"/>
          <w:szCs w:val="21"/>
          <w:rFonts w:ascii="Arial" w:cs="Arial" w:eastAsia="Arial" w:hAnsi="Arial"/>
        </w:rPr>
        <w:t xml:space="preserve">The planned roadmap is complete: the MVP loop, the v1 feature set, and productionization.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MVP loop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signing gate, trajectory schema/store, AgentTap, eval/labeling, VikingDB memory, distillation + child, promotion gate + lineage. Live-verified on BytePlus.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v1 features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distillation quality, real BytePlus support agent, external collectors (proxy/OTel/MCP), online shadow + canary, learned fusion weights, auto-promotion, multi-agent fleets. (Fine-tuning parked — open-weight models only.)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Productization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— playbook registry + config-fetch API, Docker deploy, API-key tenancy, ops (scheduler/retry/metrics), Google sign-in.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A1A22"/>
          <w:sz w:val="21"/>
          <w:szCs w:val="21"/>
          <w:rFonts w:ascii="Arial" w:cs="Arial" w:eastAsia="Arial" w:hAnsi="Arial"/>
        </w:rPr>
        <w:t xml:space="preserve">288 tests passing.  </w:t>
      </w:r>
      <w:r>
        <w:rPr>
          <w:color w:val="1A1A22"/>
          <w:sz w:val="21"/>
          <w:szCs w:val="21"/>
          <w:rFonts w:ascii="Arial" w:cs="Arial" w:eastAsia="Arial" w:hAnsi="Arial"/>
        </w:rPr>
        <w:t xml:space="preserve">Docs: DESIGN_AND_SOLUTION, PRODUCTION, DEPLOY, ROADMAP, STATUS, 8 ADRs.</w:t>
      </w:r>
    </w:p>
    <w:p>
      <w:pPr>
        <w:pBdr>
          <w:bottom w:val="single" w:color="4F46E5" w:sz="6" w:space="1"/>
        </w:pBdr>
        <w:spacing w:before="60" w:after="160"/>
      </w:pPr>
      <w:r>
        <w:rPr>
          <w:rFonts w:ascii="Arial" w:cs="Arial" w:eastAsia="Arial" w:hAnsi="Arial"/>
        </w:rPr>
      </w:r>
    </w:p>
    <w:p>
      <w:pPr>
        <w:spacing w:before="60"/>
      </w:pPr>
      <w:r>
        <w:rPr>
          <w:i/>
          <w:iCs/>
          <w:color w:val="8A8A95"/>
          <w:sz w:val="17"/>
          <w:szCs w:val="17"/>
          <w:rFonts w:ascii="Arial" w:cs="Arial" w:eastAsia="Arial" w:hAnsi="Arial"/>
        </w:rPr>
        <w:t xml:space="preserve">aprntc · Design &amp; Solution Document · generated from the repository at feature-complete state. The in-repo Markdown sources remain the canonical, version-controlled record.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22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2E2EC" w:sz="4" w:space="4"/>
      </w:pBdr>
      <w:spacing w:before="360" w:after="160"/>
      <w:outlineLvl w:val="0"/>
    </w:pPr>
    <w:rPr>
      <w:b/>
      <w:bCs/>
      <w:color w:val="1A1A22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b/>
      <w:bCs/>
      <w:color w:val="303040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y_nyicrm05wgahtkyuukh.png"/><Relationship Id="rId7" Type="http://schemas.openxmlformats.org/officeDocument/2006/relationships/image" Target="media/yxcvv4sfjvp-bxarpeyw3.png"/><Relationship Id="rId8" Type="http://schemas.openxmlformats.org/officeDocument/2006/relationships/image" Target="media/d3ocfm3e9hhatqydqkn-7.png"/><Relationship Id="rId9" Type="http://schemas.openxmlformats.org/officeDocument/2006/relationships/image" Target="media/ywujkvfg91-xeptot4pmo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aprntc — Design &amp; Solution Document</dc:title>
  <dc:creator>aprntc</dc:creator>
  <dc:description>Design and solution document for the aprntc self-improving agent product.</dc:description>
  <cp:lastModifiedBy>Un-named</cp:lastModifiedBy>
  <cp:revision>1</cp:revision>
  <dcterms:created xsi:type="dcterms:W3CDTF">2026-06-17T15:41:12.623Z</dcterms:created>
  <dcterms:modified xsi:type="dcterms:W3CDTF">2026-06-17T15:41:12.627Z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