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безопасности в сети.</w:t>
      </w:r>
    </w:p>
    <w:bookmarkEnd w:id="20"/>
    <w:bookmarkStart w:id="65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Единственным протоколом прикладного уровня из списка является протокол HTTPS.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Протокол TCP работает на транспортном уровне.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 8 битах 256 разных значений, но нумерация идет с нуля и как итог, допустимые значения в IP адресе - с 0 до 255.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Основная задача DNS-сервера - это сопоставить название, то есть доменное имя, с корректным IP-адресом, с тем, где лежит этот сервер, этот сайт.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Корректная последовательность протоколов в модели TCP/IP: прикладной-транспортный-сетевой-канальный.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Протокол http, в отличие от протокола https, предполагает передачу данных между клиентом и сервером в открытом виде.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Протокол https состоит из двух фаз: рукопожатия (handshake) и передачи данных.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Версия протокола TLS определяется и клиентом, и сервером в процессе</w:t>
      </w:r>
      <w:r>
        <w:t xml:space="preserve"> </w:t>
      </w:r>
      <w:r>
        <w:t xml:space="preserve">“</w:t>
      </w:r>
      <w:r>
        <w:t xml:space="preserve">переговоров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 фазе рукопожатия не предусмотрено шифрование данных, так как эта фаза является вводной перед защищенной передачей данных.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Куки хранят id сессии, идентификатор пользователя, пароль и IP адрес они не хранят.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Куки не используются для улучшения надежности соединения, они с соединением пользователя никак не связаны.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Куки генерируются сервером для клиента.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Сессионные куки хранятся в браузере до конца сессии, то есть на время пользования веб-сайтом.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 луковой сети TOR 3 промежуточных узла: охранный, промежуточный и выходной.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 TOR IP-адрес получателя известен лишь отправителю и выходному узлу, это одна из причин почему TOR считается конфиденциальной сетью.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Отправитель генерирует общий секретный ключ со всеми тремя узлами: с охранным, с промежуточным, с выходным. Этот процесс делает передачу данных крайне защищенной.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000375"/>
            <wp:effectExtent b="0" l="0" r="0" t="0"/>
            <wp:docPr descr="Figure 16: шес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шестнадцатое задание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Для получения пакетов через луковую маршрутизацию необязательно использовать браузер, основанный на луковой маршрутизации, это обязательно для отправителя пакетов.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3000375"/>
            <wp:effectExtent b="0" l="0" r="0" t="0"/>
            <wp:docPr descr="Figure 17: сем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семнадцатое задание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Согласно определению, Wi-Fi - это технология беспроводной локальной сети, работающая в соответствии со стандартом IEEE 802.11.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000375"/>
            <wp:effectExtent b="0" l="0" r="0" t="0"/>
            <wp:docPr descr="Figure 18: восем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восемнадцатое задание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Протокол Wifi работает на самом нижнем, канальном уровне.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3000375"/>
            <wp:effectExtent b="0" l="0" r="0" t="0"/>
            <wp:docPr descr="Figure 19: дев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девятнадцатое задание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Небезопасным методом обеспечения шифрования и аутентификации в сети Wifi является WEP, так как он устарел, в частности, потому, что использовал малую длину ключа: так, например, он использовал длину ключа в 40 бит, это довольно мало на сегодняшний день, он может быть легко взломан.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3000375"/>
            <wp:effectExtent b="0" l="0" r="0" t="0"/>
            <wp:docPr descr="Figure 20: дв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двадцатое задание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Данные между хостом сети (компьютером или смартфоном) и роутером передаются в зашифрованном виде после аутентификации устройств.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3000375"/>
            <wp:effectExtent b="0" l="0" r="0" t="0"/>
            <wp:docPr descr="Figure 21: двадцать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двадцать первое задание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Для домашней сети для аутентификации обычно используется метод WPA2 Personal, WPA2 Enterprise используется для корпоративных сетей.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3000375"/>
            <wp:effectExtent b="0" l="0" r="0" t="0"/>
            <wp:docPr descr="Figure 22: двадцать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двадцать второе задание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безопасности в сети.</w:t>
      </w:r>
    </w:p>
    <w:bookmarkEnd w:id="66"/>
    <w:bookmarkStart w:id="67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1</dc:title>
  <dc:creator>Кудряшов Артём Николаевич</dc:creator>
  <dc:language>ru-RU</dc:language>
  <cp:keywords/>
  <dcterms:created xsi:type="dcterms:W3CDTF">2024-05-18T19:04:34Z</dcterms:created>
  <dcterms:modified xsi:type="dcterms:W3CDTF">2024-05-18T19:04:34Z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Безопасность в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