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</w:t>
      </w:r>
      <w:r>
        <w:t xml:space="preserve"> </w:t>
      </w:r>
      <w:r>
        <w:t xml:space="preserve">раздел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Криптография</w:t>
      </w:r>
      <w:r>
        <w:t xml:space="preserve"> </w:t>
      </w:r>
      <w:r>
        <w:t xml:space="preserve">на</w:t>
      </w:r>
      <w:r>
        <w:t xml:space="preserve"> </w:t>
      </w:r>
      <w:r>
        <w:t xml:space="preserve">практике</w:t>
      </w:r>
    </w:p>
    <w:p>
      <w:pPr>
        <w:pStyle w:val="Author"/>
      </w:pPr>
      <w:r>
        <w:t xml:space="preserve">Кудряшов</w:t>
      </w:r>
      <w:r>
        <w:t xml:space="preserve"> </w:t>
      </w:r>
      <w:r>
        <w:t xml:space="preserve">Артём</w:t>
      </w:r>
      <w:r>
        <w:t xml:space="preserve"> </w:t>
      </w:r>
      <w:r>
        <w:t xml:space="preserve">Николаевич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основы криптографии.</w:t>
      </w:r>
    </w:p>
    <w:bookmarkEnd w:id="20"/>
    <w:bookmarkStart w:id="53" w:name="выполн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В асимметричных криптографических примитивах обе стороны имеют пару ключей - публичный и секретный.</w:t>
      </w:r>
    </w:p>
    <w:bookmarkStart w:id="0" w:name="fig:001"/>
    <w:p>
      <w:pPr>
        <w:pStyle w:val="CaptionedFigure"/>
      </w:pPr>
      <w:bookmarkStart w:id="22" w:name="fig:001"/>
      <w:r>
        <w:drawing>
          <wp:inline>
            <wp:extent cx="5334000" cy="3000375"/>
            <wp:effectExtent b="0" l="0" r="0" t="0"/>
            <wp:docPr descr="Figure 1: первое задание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 1: первое задание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Криптографическая хэш-функция, в отличие от обычной хэш-функции, не обеспечивает конфиденциальность захэшированных данных, но она стойкая к коллизиям, эффективно вычисляется, дает на выходе фиксированное число бит независимо от объема входных данных.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Figure 2: второе задани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2: второе задание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К алгоритмам цифровой подписи относятся зарубежные RSA и ECDSA, российский ГОСТ Р 34.10-2012.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3: третье задание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3: третье задание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Код аутентификации сообщения относится к симметричным примитивам.</w:t>
      </w:r>
    </w:p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000375"/>
            <wp:effectExtent b="0" l="0" r="0" t="0"/>
            <wp:docPr descr="Figure 4: четвертое зада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4: четвертое задание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Обмен ключами Диффи-Хэллмана - это асимметричный примитив генерации общего секретного ключа.</w:t>
      </w:r>
    </w:p>
    <w:bookmarkStart w:id="0" w:name="fig:001"/>
    <w:p>
      <w:pPr>
        <w:pStyle w:val="CaptionedFigure"/>
      </w:pPr>
      <w:bookmarkStart w:id="30" w:name="fig:001"/>
      <w:r>
        <w:drawing>
          <wp:inline>
            <wp:extent cx="5334000" cy="3000375"/>
            <wp:effectExtent b="0" l="0" r="0" t="0"/>
            <wp:docPr descr="Figure 5: пятое задание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5: пятое задание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Протокол электронной цифровой подписи относится к протоколам с публичным ключом.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000375"/>
            <wp:effectExtent b="0" l="0" r="0" t="0"/>
            <wp:docPr descr="Figure 6: шестое зада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6: шестое задание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Алгоритм верификации электронной цифровой подписи требует на вход подпись, открытый ключ, сообщение.</w:t>
      </w:r>
    </w:p>
    <w:bookmarkStart w:id="0" w:name="fig:001"/>
    <w:p>
      <w:pPr>
        <w:pStyle w:val="CaptionedFigure"/>
      </w:pPr>
      <w:bookmarkStart w:id="34" w:name="fig:001"/>
      <w:r>
        <w:drawing>
          <wp:inline>
            <wp:extent cx="5334000" cy="3000375"/>
            <wp:effectExtent b="0" l="0" r="0" t="0"/>
            <wp:docPr descr="Figure 7: седьмое зада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7: седьмое задание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Электронная цифровая подпись не обеспечивает конфиденциальность.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000375"/>
            <wp:effectExtent b="0" l="0" r="0" t="0"/>
            <wp:docPr descr="Figure 8: восьмое задани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8: восьмое задание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Для отправки налоговой отчетности в ФНС понадобится самый сильный тип сертификата электронной подписи - усиленная квалификационная.</w:t>
      </w:r>
    </w:p>
    <w:bookmarkStart w:id="0" w:name="fig:001"/>
    <w:p>
      <w:pPr>
        <w:pStyle w:val="CaptionedFigure"/>
      </w:pPr>
      <w:bookmarkStart w:id="38" w:name="fig:001"/>
      <w:r>
        <w:drawing>
          <wp:inline>
            <wp:extent cx="5334000" cy="3000375"/>
            <wp:effectExtent b="0" l="0" r="0" t="0"/>
            <wp:docPr descr="Figure 9: девятое задание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9: девятое задание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Квалифицированный сертификат ключа проверки электронной подписи можно получить в удостоверяющем (сертификационном) центре.</w:t>
      </w:r>
    </w:p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3000375"/>
            <wp:effectExtent b="0" l="0" r="0" t="0"/>
            <wp:docPr descr="Figure 10: десятое задание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10: десятое задание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MasterCard и МИР являются платежными системами в предоставленном в задании списке.</w:t>
      </w:r>
    </w:p>
    <w:bookmarkStart w:id="0" w:name="fig:001"/>
    <w:p>
      <w:pPr>
        <w:pStyle w:val="CaptionedFigure"/>
      </w:pPr>
      <w:bookmarkStart w:id="42" w:name="fig:001"/>
      <w:r>
        <w:drawing>
          <wp:inline>
            <wp:extent cx="5334000" cy="3000375"/>
            <wp:effectExtent b="0" l="0" r="0" t="0"/>
            <wp:docPr descr="Figure 11: один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11: одиннадцатое задание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Примерами многофакторной аутентификации являются комбинация проверка пароля + код в sms сообщении, комбинация код в sms сообщении + отпечаток пальца, капча с паролем и пароль с пин кодом не являются примерами многофакторной аутентификации.</w:t>
      </w:r>
    </w:p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3000375"/>
            <wp:effectExtent b="0" l="0" r="0" t="0"/>
            <wp:docPr descr="Figure 12: две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12: двенадцатое задание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При онлайн платежах сегодня используется многофакторная аутентификация покупателя перед банком-эмитентом - банком, на счете которого покупатель хранит денежные средства.</w:t>
      </w:r>
    </w:p>
    <w:bookmarkStart w:id="0" w:name="fig:001"/>
    <w:p>
      <w:pPr>
        <w:pStyle w:val="CaptionedFigure"/>
      </w:pPr>
      <w:bookmarkStart w:id="46" w:name="fig:001"/>
      <w:r>
        <w:drawing>
          <wp:inline>
            <wp:extent cx="5334000" cy="3000375"/>
            <wp:effectExtent b="0" l="0" r="0" t="0"/>
            <wp:docPr descr="Figure 13: три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13: тринадцатое задание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Сложность нахождения прообраза как свойство криптографической хэш-функции используется в доказательстве работы майнера.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000375"/>
            <wp:effectExtent b="0" l="0" r="0" t="0"/>
            <wp:docPr descr="Figure 14: четыр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14: четырнадцатое задание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Консенсус в некоторых системах блокчейн обладает свойствами: открытость, живучесть, постоянство.</w:t>
      </w:r>
    </w:p>
    <w:bookmarkStart w:id="0" w:name="fig:001"/>
    <w:p>
      <w:pPr>
        <w:pStyle w:val="CaptionedFigure"/>
      </w:pPr>
      <w:bookmarkStart w:id="50" w:name="fig:001"/>
      <w:r>
        <w:drawing>
          <wp:inline>
            <wp:extent cx="5334000" cy="3000375"/>
            <wp:effectExtent b="0" l="0" r="0" t="0"/>
            <wp:docPr descr="Figure 15: пя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15: пятнадцатое задание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Цифровая подпись используется в качестве криптографического примитива в блокчейне.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3000375"/>
            <wp:effectExtent b="0" l="0" r="0" t="0"/>
            <wp:docPr descr="Figure 16: шестнадцатое задание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16: шестнадцатое задание</w:t>
      </w:r>
    </w:p>
    <w:bookmarkEnd w:id="0"/>
    <w:bookmarkEnd w:id="53"/>
    <w:bookmarkStart w:id="5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 основы криптографии.</w:t>
      </w:r>
    </w:p>
    <w:bookmarkEnd w:id="54"/>
    <w:bookmarkStart w:id="55" w:name="список-литератур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Список литературы</w:t>
      </w:r>
    </w:p>
    <w:p>
      <w:pPr>
        <w:pStyle w:val="FirstParagraph"/>
      </w:pPr>
      <w:r>
        <w:t xml:space="preserve">Конспекты к лекциям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5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 раздел 3</dc:title>
  <dc:creator>Кудряшов Артём Николаевич</dc:creator>
  <dc:language>ru-RU</dc:language>
  <cp:keywords/>
  <dcterms:created xsi:type="dcterms:W3CDTF">2024-05-18T19:10:03Z</dcterms:created>
  <dcterms:modified xsi:type="dcterms:W3CDTF">2024-05-18T19:10:03Z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Криптография на практике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