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5"/>
        </w:rPr>
        <w:t>Received [date], accepted [date], date of publication [date], date of current version [date].  Digital Object Identifier 10.1109/ACCESS.2026.DOI</w:t>
      </w:r>
    </w:p>
    <w:p>
      <w:pPr>
        <w:spacing w:before="200" w:after="160"/>
      </w:pPr>
      <w:r>
        <w:rPr>
          <w:rFonts w:ascii="Arial" w:hAnsi="Arial"/>
          <w:b/>
          <w:color w:val="111111"/>
          <w:sz w:val="42"/>
        </w:rPr>
        <w:t>AgriSense AI: Design and Implementation of an Edge-Authoritative IoT Platform for Fail-Safe Closed-Loop Irrigation and Leakage-Aware Crop Disease Diagnosis</w:t>
      </w:r>
    </w:p>
    <w:p>
      <w:pPr>
        <w:spacing w:after="80"/>
      </w:pPr>
      <w:r>
        <w:rPr>
          <w:b/>
          <w:sz w:val="21"/>
        </w:rPr>
        <w:t>TISHA JHARIYA</w:t>
      </w:r>
      <w:r>
        <w:rPr>
          <w:sz w:val="21"/>
          <w:vertAlign w:val="superscript"/>
        </w:rPr>
        <w:t>1</w:t>
      </w:r>
      <w:r>
        <w:rPr>
          <w:sz w:val="21"/>
        </w:rPr>
        <w:t xml:space="preserve">, </w:t>
      </w:r>
      <w:r>
        <w:rPr>
          <w:b/>
          <w:sz w:val="21"/>
        </w:rPr>
        <w:t>AKIKO GAJBHIYE</w:t>
      </w:r>
      <w:r>
        <w:rPr>
          <w:sz w:val="21"/>
          <w:vertAlign w:val="superscript"/>
        </w:rPr>
        <w:t>1</w:t>
      </w:r>
      <w:r>
        <w:rPr>
          <w:sz w:val="21"/>
        </w:rPr>
        <w:t xml:space="preserve">, </w:t>
      </w:r>
      <w:r>
        <w:rPr>
          <w:b/>
          <w:sz w:val="21"/>
        </w:rPr>
        <w:t>ANSH MESHRAM</w:t>
      </w:r>
      <w:r>
        <w:rPr>
          <w:sz w:val="21"/>
          <w:vertAlign w:val="superscript"/>
        </w:rPr>
        <w:t>1</w:t>
      </w:r>
      <w:r>
        <w:rPr>
          <w:sz w:val="21"/>
        </w:rPr>
        <w:t xml:space="preserve">, </w:t>
      </w:r>
      <w:r>
        <w:rPr>
          <w:b/>
          <w:sz w:val="21"/>
        </w:rPr>
        <w:t>AGYA CHOURASIA</w:t>
      </w:r>
      <w:r>
        <w:rPr>
          <w:sz w:val="21"/>
          <w:vertAlign w:val="superscript"/>
        </w:rPr>
        <w:t>1</w:t>
      </w:r>
      <w:r>
        <w:rPr>
          <w:sz w:val="21"/>
        </w:rPr>
        <w:t xml:space="preserve">, AND </w:t>
      </w:r>
      <w:r>
        <w:rPr>
          <w:b/>
          <w:sz w:val="21"/>
        </w:rPr>
        <w:t>[GUIDE NAME]</w:t>
      </w:r>
      <w:r>
        <w:rPr>
          <w:sz w:val="21"/>
          <w:vertAlign w:val="superscript"/>
        </w:rPr>
        <w:t>1</w:t>
      </w:r>
    </w:p>
    <w:p>
      <w:r>
        <w:rPr>
          <w:sz w:val="16"/>
          <w:vertAlign w:val="superscript"/>
        </w:rPr>
        <w:t>1</w:t>
      </w:r>
      <w:r>
        <w:rPr>
          <w:sz w:val="16"/>
        </w:rPr>
        <w:t>Department of Emerging Technologies (Artificial Intelligence &amp; Data Science), S. B. Jain Institute of Technology, Management and Research, Nagpur, Maharashtra 441501, India</w:t>
      </w:r>
    </w:p>
    <w:p>
      <w:pPr>
        <w:spacing w:after="80"/>
      </w:pPr>
      <w:r>
        <w:rPr>
          <w:sz w:val="16"/>
        </w:rPr>
        <w:t>Corresponding author: [Guide Name] ([email address])</w:t>
      </w:r>
    </w:p>
    <w:p>
      <w:pPr>
        <w:pBdr>
          <w:bottom w:val="single" w:sz="6" w:space="1" w:color="1B3A6B"/>
        </w:pBdr>
        <w:spacing w:after="80"/>
      </w:pPr>
    </w:p>
    <w:p>
      <w:pPr>
        <w:spacing w:after="80"/>
        <w:jc w:val="both"/>
      </w:pPr>
      <w:r>
        <w:rPr>
          <w:b/>
          <w:color w:val="1B3A6B"/>
          <w:sz w:val="18"/>
        </w:rPr>
        <w:t xml:space="preserve">ABSTRACT  </w:t>
      </w:r>
      <w:r>
        <w:rPr>
          <w:sz w:val="18"/>
        </w:rPr>
        <w:t>Smart-agriculture systems that combine microcontroller sensing, automated irrigation and image-based disease diagnosis are widely reported, yet three engineering weaknesses recur: the irrigation decision usually lives in the cloud and stops when connectivity fails, a disconnected soil probe is often indistinguishable from saturated or bone-dry soil, and headline disease-classification accuracies are measured on laboratory imagery with splits that permit near-duplicate leakage. This paper presents the design, implementation and verification of AgriSense AI, an open three-tier platform that addresses each weakness explicitly. An ESP32 sensor node evaluates an ordered, seven-rule irrigation policy on the device itself, so that safety interlocks (failed probe, rain, saturated soil) dominate any operator or cloud command, with a 30/70 % hysteresis band, a 15 min run cap, a 30 min cooldown and an 11-case boot-time self-test. Telemetry and commands flow directly between the device and a managed PostgreSQL store with row-level security, so monitoring and manual control survive a backend outage. A demand-driven ESP32-CAM relay streams the field without port forwarding. Diagnosis is served by a two-stage ONNX pipeline built on a leakage-aware data path (SHA-256 and perceptual-hash de-duplication, duplicate-group-aware stratified splits, a field dataset held out for evaluation only), with a schema-constrained vision-language fallback and a telemetry-grounded advisory assistant. A YOLO11n-cls baseline with 1.57 M parameters reaches 99.32 % top-1 and 100 % top-5 accuracy on 10,861 PlantVillage validation images across 38 classes and runs in 6.07 ms per image on one CPU thread. We report that figure as a laboratory upper bound, not a field estimate, show analytically why the exported model cannot run on the base ESP32 as-is, and list the field measurements that remain open.</w:t>
      </w:r>
    </w:p>
    <w:p>
      <w:pPr>
        <w:spacing w:after="80"/>
        <w:jc w:val="both"/>
      </w:pPr>
      <w:r>
        <w:rPr>
          <w:b/>
          <w:color w:val="1B3A6B"/>
          <w:sz w:val="18"/>
        </w:rPr>
        <w:t xml:space="preserve">INDEX TERMS  </w:t>
      </w:r>
      <w:r>
        <w:rPr>
          <w:sz w:val="18"/>
        </w:rPr>
        <w:t>Internet of Things, precision agriculture, smart irrigation, fail-safe control, ESP32, plant disease classification, YOLO11, ONNX, data leakage, edge computing, large language models.</w:t>
      </w:r>
    </w:p>
    <w:p>
      <w:pPr>
        <w:pBdr>
          <w:bottom w:val="single" w:sz="6" w:space="1" w:color="1B3A6B"/>
        </w:pBdr>
        <w:spacing w:after="80"/>
      </w:pPr>
    </w:p>
    <w:p>
      <w:pPr>
        <w:sectPr>
          <w:headerReference w:type="default" r:id="rId9"/>
          <w:footerReference w:type="default" r:id="rId10"/>
          <w:pgSz w:w="12240" w:h="15840"/>
          <w:pgMar w:top="1080" w:right="965" w:bottom="1152" w:left="965" w:header="504" w:footer="720" w:gutter="0"/>
          <w:cols w:space="720"/>
          <w:docGrid w:linePitch="360"/>
        </w:sectPr>
      </w:pPr>
    </w:p>
    <w:p>
      <w:pPr>
        <w:keepNext/>
        <w:spacing w:before="160" w:after="60"/>
      </w:pPr>
      <w:r>
        <w:rPr>
          <w:b/>
          <w:color w:val="1B3A6B"/>
          <w:sz w:val="19"/>
        </w:rPr>
        <w:t>I. INTRODUCTION</w:t>
      </w:r>
    </w:p>
    <w:p>
      <w:pPr>
        <w:spacing w:after="0"/>
        <w:ind w:firstLine="216"/>
        <w:jc w:val="both"/>
      </w:pPr>
      <w:r>
        <w:t>Agriculture is under simultaneous pressure from water scarcity and crop disease. Irrigated agriculture accounts for roughly 70 % of global freshwater withdrawals [1], while pathogens and pests are estimated to cost 10–28 % of wheat, 25–41 % of rice and 20–41 % of maize yield worldwide, with the heaviest losses in food-deficit regions [2], [3]. For smallholders both problems share a cause: decisions are made by eye and by habit, on fixed schedules and late visual inspection, because sensing and expert diagnosis are expensive.</w:t>
      </w:r>
    </w:p>
    <w:p>
      <w:pPr>
        <w:spacing w:after="0"/>
        <w:ind w:firstLine="216"/>
        <w:jc w:val="both"/>
      </w:pPr>
      <w:r>
        <w:t>The Internet of Things (IoT) and deep learning have each been proposed as the remedy. Wireless soil-moisture sensing with automated actuation was demonstrated more than a decade ago [4] and has since been extended with machine-learning scheduling and platform-scale water management [5]–[7]. Convolutional networks trained on leaf images report accuracies above 99 % [8]–[10]. Systems that combine the two on low-cost microcontrollers are now common [11]–[13].</w:t>
      </w:r>
    </w:p>
    <w:p>
      <w:pPr>
        <w:spacing w:after="0"/>
        <w:ind w:firstLine="216"/>
        <w:jc w:val="both"/>
      </w:pPr>
      <w:r>
        <w:t xml:space="preserve">Building one more such system is not, by itself, a contribution. What we found missing when reviewing these systems was attention to how they </w:t>
      </w:r>
      <w:r>
        <w:rPr>
          <w:i/>
        </w:rPr>
        <w:t>fail</w:t>
      </w:r>
      <w:r>
        <w:t>. Three failure modes motivated this work:</w:t>
      </w:r>
    </w:p>
    <w:p>
      <w:pPr>
        <w:spacing w:after="20"/>
        <w:ind w:left="288" w:hanging="202"/>
        <w:jc w:val="both"/>
      </w:pPr>
      <w:r>
        <w:t xml:space="preserve">1)  </w:t>
      </w:r>
      <w:r>
        <w:rPr>
          <w:b/>
        </w:rPr>
        <w:t>Cloud-dependent control.</w:t>
      </w:r>
      <w:r>
        <w:t xml:space="preserve"> When the pump decision runs on a server, a Wi-Fi drop or backend crash leaves the field either unwatered or, worse, with a pump latched on.</w:t>
      </w:r>
    </w:p>
    <w:p>
      <w:pPr>
        <w:spacing w:after="20"/>
        <w:ind w:left="288" w:hanging="202"/>
        <w:jc w:val="both"/>
      </w:pPr>
      <w:r>
        <w:t xml:space="preserve">2)  </w:t>
      </w:r>
      <w:r>
        <w:rPr>
          <w:b/>
        </w:rPr>
        <w:t>Fail-unsafe sensing.</w:t>
      </w:r>
      <w:r>
        <w:t xml:space="preserve"> A disconnected analogue soil probe floats to an ADC value near zero. Depending on calibration direction this reads as saturated or as completely dry soil; in the latter case a naïve threshold rule runs the pump indefinitely.</w:t>
      </w:r>
    </w:p>
    <w:p>
      <w:pPr>
        <w:spacing w:after="20"/>
        <w:ind w:left="288" w:hanging="202"/>
        <w:jc w:val="both"/>
      </w:pPr>
      <w:r>
        <w:t xml:space="preserve">3)  </w:t>
      </w:r>
      <w:r>
        <w:rPr>
          <w:b/>
        </w:rPr>
        <w:t>Unaudited accuracy.</w:t>
      </w:r>
      <w:r>
        <w:t xml:space="preserve"> Laboratory leaf datasets contain near-duplicate photographs of the same leaf; random splits place them on both sides of the partition, and the resulting accuracy does not transfer to field photographs, where published models fall to roughly 31–68 % [8], [14], [15].</w:t>
      </w:r>
    </w:p>
    <w:p>
      <w:pPr>
        <w:spacing w:after="0"/>
        <w:ind w:firstLine="216"/>
        <w:jc w:val="both"/>
      </w:pPr>
      <w:r>
        <w:t>This paper describes AgriSense AI, a complete, open implementation designed around these three failure modes, and reports what has and has not yet been measured. Its contributions are:</w:t>
      </w:r>
    </w:p>
    <w:p>
      <w:pPr>
        <w:spacing w:after="20"/>
        <w:ind w:left="288" w:hanging="202"/>
        <w:jc w:val="both"/>
      </w:pPr>
      <w:r>
        <w:t xml:space="preserve">1)  </w:t>
      </w:r>
      <w:r>
        <w:t xml:space="preserve">An </w:t>
      </w:r>
      <w:r>
        <w:rPr>
          <w:b/>
        </w:rPr>
        <w:t>edge-authoritative irrigation controller</w:t>
      </w:r>
      <w:r>
        <w:t xml:space="preserve"> whose ordered rule set places sensor interlocks above operator and cloud commands, with hysteresis, hard run-time limits and a boot-time self-test (Section V); and a simulation showing its effect on actuator cycling under sensor noise (Section X-D).</w:t>
      </w:r>
    </w:p>
    <w:p>
      <w:pPr>
        <w:spacing w:after="20"/>
        <w:ind w:left="288" w:hanging="202"/>
        <w:jc w:val="both"/>
      </w:pPr>
      <w:r>
        <w:t xml:space="preserve">2)  </w:t>
      </w:r>
      <w:r>
        <w:t xml:space="preserve">A </w:t>
      </w:r>
      <w:r>
        <w:rPr>
          <w:b/>
        </w:rPr>
        <w:t>cloud-decoupled data path</w:t>
      </w:r>
      <w:r>
        <w:t xml:space="preserve"> in which the device writes telemetry and reads commands directly from a row-level-secured database, so that the application backend is required only for value-added services and every optional service degrades independently (Sections III and VI).</w:t>
      </w:r>
    </w:p>
    <w:p>
      <w:pPr>
        <w:spacing w:after="20"/>
        <w:ind w:left="288" w:hanging="202"/>
        <w:jc w:val="both"/>
      </w:pPr>
      <w:r>
        <w:t xml:space="preserve">3)  </w:t>
      </w:r>
      <w:r>
        <w:t xml:space="preserve">A </w:t>
      </w:r>
      <w:r>
        <w:rPr>
          <w:b/>
        </w:rPr>
        <w:t>leakage-aware diagnosis pipeline</w:t>
      </w:r>
      <w:r>
        <w:t>: exact and perceptual-hash de-duplication, duplicate-group-aware stratified splitting, a field dataset quarantined for evaluation, and a two-stage species-then-condition classifier exported to ONNX with confidence gating (Section VII).</w:t>
      </w:r>
    </w:p>
    <w:p>
      <w:pPr>
        <w:spacing w:after="20"/>
        <w:ind w:left="288" w:hanging="202"/>
        <w:jc w:val="both"/>
      </w:pPr>
      <w:r>
        <w:t xml:space="preserve">4)  </w:t>
      </w:r>
      <w:r>
        <w:t xml:space="preserve">A </w:t>
      </w:r>
      <w:r>
        <w:rPr>
          <w:b/>
        </w:rPr>
        <w:t>measured baseline and a static edge-feasibility bound</w:t>
      </w:r>
      <w:r>
        <w:t>: training curves, model complexity, CPU latency, and a closed-form memory analysis of the exported model against ESP32 SRAM (Section X).</w:t>
      </w:r>
    </w:p>
    <w:p>
      <w:pPr>
        <w:spacing w:after="20"/>
        <w:ind w:left="288" w:hanging="202"/>
        <w:jc w:val="both"/>
      </w:pPr>
      <w:r>
        <w:t xml:space="preserve">5)  </w:t>
      </w:r>
      <w:r>
        <w:t xml:space="preserve">An </w:t>
      </w:r>
      <w:r>
        <w:rPr>
          <w:b/>
        </w:rPr>
        <w:t>explicit limitations statement</w:t>
      </w:r>
      <w:r>
        <w:t xml:space="preserve"> separating implemented, measured and pending items (Section XI).</w:t>
      </w:r>
    </w:p>
    <w:p>
      <w:pPr>
        <w:spacing w:after="0"/>
        <w:ind w:firstLine="216"/>
        <w:jc w:val="both"/>
      </w:pPr>
      <w:r>
        <w:t>Section II reviews related work. Sections III–IX describe the architecture, hardware, firmware, backend, diagnosis pipeline, advisory layer and client applications. Section X reports results, Section XI discusses limitations, and Section XII concludes.</w:t>
      </w:r>
    </w:p>
    <w:p>
      <w:pPr>
        <w:keepNext/>
        <w:spacing w:before="160" w:after="60"/>
      </w:pPr>
      <w:r>
        <w:rPr>
          <w:b/>
          <w:color w:val="1B3A6B"/>
          <w:sz w:val="19"/>
        </w:rPr>
        <w:t>II. RELATED WORK</w:t>
      </w:r>
    </w:p>
    <w:p>
      <w:pPr>
        <w:keepNext/>
        <w:spacing w:before="100" w:after="40"/>
      </w:pPr>
      <w:r>
        <w:rPr>
          <w:b/>
          <w:color w:val="1B3A6B"/>
          <w:sz w:val="17"/>
        </w:rPr>
        <w:t>A. IOT-BASED IRRIGATION</w:t>
      </w:r>
    </w:p>
    <w:p>
      <w:pPr>
        <w:spacing w:after="0"/>
        <w:ind w:firstLine="216"/>
        <w:jc w:val="both"/>
      </w:pPr>
      <w:r>
        <w:t>Gutiérrez et al. [4] combined a wireless sensor network with a GPRS gateway and threshold-based actuation. Goap et al. [5] added weather forecasts and machine-learning prediction of soil moisture to schedule irrigation, and the SWAMP project [6] generalised this to a platform for precision irrigation. Reviews [7], [16] report water savings spanning roughly 9–50 %, a range wide enough that unmetered claims are uninformative; a recent metered trial reports a 27.16 % reduction (431.47 L vs. 592.39 L) against a fixed schedule [17]. Few of these works specify behaviour under sensor failure or connectivity loss, which is the focus of our controller design.</w:t>
      </w:r>
    </w:p>
    <w:p>
      <w:pPr>
        <w:keepNext/>
        <w:spacing w:before="100" w:after="40"/>
      </w:pPr>
      <w:r>
        <w:rPr>
          <w:b/>
          <w:color w:val="1B3A6B"/>
          <w:sz w:val="17"/>
        </w:rPr>
        <w:t>B. DEEP LEARNING FOR PLANT DISEASE DIAGNOSIS</w:t>
      </w:r>
    </w:p>
    <w:p>
      <w:pPr>
        <w:spacing w:after="0"/>
        <w:ind w:firstLine="216"/>
        <w:jc w:val="both"/>
      </w:pPr>
      <w:r>
        <w:t>Following Mohanty et al. [8], transfer learning from ImageNet-pretrained backbones [18], [19] became the standard recipe on the PlantVillage corpus [20], with accuracies above 99 % [9], [10], [21]. The same authors observed a fall to about 31 % on images from outside the corpus, and PlantDoc [22] was assembled to provide a field-condition benchmark; the current cross-domain reference point for PlantVillage-trained models on such data is about 68 % [14]. Barbedo attributes the gap to background clutter, capture variability and lesion co-occurrence absent from laboratory images [23]. We adopt the YOLO11 classification family [24] for its maintained export path to ONNX.</w:t>
      </w:r>
    </w:p>
    <w:p>
      <w:pPr>
        <w:keepNext/>
        <w:spacing w:before="100" w:after="40"/>
      </w:pPr>
      <w:r>
        <w:rPr>
          <w:b/>
          <w:color w:val="1B3A6B"/>
          <w:sz w:val="17"/>
        </w:rPr>
        <w:t>C. EDGE AND TINYML DEPLOYMENT</w:t>
      </w:r>
    </w:p>
    <w:p>
      <w:pPr>
        <w:spacing w:after="0"/>
        <w:ind w:firstLine="216"/>
        <w:jc w:val="both"/>
      </w:pPr>
      <w:r>
        <w:t>Microcontroller inference is bound by on-chip SRAM for activations rather than flash for weights [25], [26], and relies on integer quantization [27] executed by embedded runtimes such as TensorFlow Lite Micro [28]. Published ESP32-class results disagree: Nyakuri et al. found ESP32-CAM unable to host their model and moved to a Raspberry Pi 5 [12], whereas Samanta et al. report 92 % on ESP32-CAM [11] and Aqasizade et al. 94.6 % on ESP32-S3 with a seven-day field deployment [13].</w:t>
      </w:r>
    </w:p>
    <w:p>
      <w:pPr>
        <w:keepNext/>
        <w:spacing w:before="100" w:after="40"/>
      </w:pPr>
      <w:r>
        <w:rPr>
          <w:b/>
          <w:color w:val="1B3A6B"/>
          <w:sz w:val="17"/>
        </w:rPr>
        <w:t>D. LANGUAGE MODELS IN AGRICULTURE</w:t>
      </w:r>
    </w:p>
    <w:p>
      <w:pPr>
        <w:spacing w:after="0"/>
        <w:ind w:firstLine="216"/>
        <w:jc w:val="both"/>
      </w:pPr>
      <w:r>
        <w:t>Large language models (LLMs) have been evaluated as extension agents [29] and on agronomy examinations [30]; retrieval augmentation and fine-tuning both improve domain answers [31], [32]. A consistent caution is that ungrounded answers can be confidently wrong, which motivates grounding the model in measured farm state, as done here.</w:t>
      </w:r>
    </w:p>
    <w:p>
      <w:pPr>
        <w:sectPr>
          <w:type w:val="continuous"/>
          <w:pgSz w:w="12240" w:h="15840"/>
          <w:pgMar w:top="1080" w:right="965" w:bottom="1152" w:left="965" w:header="504" w:footer="720" w:gutter="0"/>
          <w:docGrid w:linePitch="360"/>
          <w:cols w:num="2" w:space="360"/>
        </w:sectPr>
      </w:pPr>
    </w:p>
    <w:p>
      <w:pPr>
        <w:keepNext/>
        <w:spacing w:before="120" w:after="60"/>
        <w:jc w:val="center"/>
      </w:pPr>
      <w:r>
        <w:rPr>
          <w:b/>
          <w:color w:val="1B3A6B"/>
          <w:sz w:val="16"/>
        </w:rPr>
        <w:t xml:space="preserve">TABLE 1. </w:t>
      </w:r>
      <w:r>
        <w:rPr>
          <w:sz w:val="16"/>
        </w:rPr>
        <w:t>Positioning against representative systems. n/s = not stated in the cited source; — = not applicable. AgriSense is behind on field validation.</w:t>
      </w:r>
    </w:p>
    <w:tbl>
      <w:tblPr>
        <w:tblStyle w:val="TableGrid"/>
        <w:tblW w:type="auto" w:w="0"/>
        <w:jc w:val="center"/>
        <w:tblLook w:firstColumn="1" w:firstRow="1" w:lastColumn="0" w:lastRow="0" w:noHBand="0" w:noVBand="1" w:val="04A0"/>
      </w:tblPr>
      <w:tblGrid>
        <w:gridCol w:w="1718"/>
        <w:gridCol w:w="1718"/>
        <w:gridCol w:w="1718"/>
        <w:gridCol w:w="1718"/>
        <w:gridCol w:w="1718"/>
        <w:gridCol w:w="1718"/>
      </w:tblGrid>
      <w:tr>
        <w:trPr>
          <w:cantSplit/>
        </w:trPr>
        <w:tc>
          <w:tcPr>
            <w:tcW w:type="dxa" w:w="2455"/>
            <w:shd w:val="clear" w:color="auto" w:fill="1B3A6B"/>
          </w:tcPr>
          <w:p>
            <w:pPr>
              <w:keepNext/>
              <w:jc w:val="left"/>
            </w:pPr>
            <w:r>
              <w:rPr>
                <w:b/>
                <w:color w:val="FFFFFF"/>
                <w:sz w:val="15"/>
              </w:rPr>
              <w:t>System</w:t>
            </w:r>
          </w:p>
        </w:tc>
        <w:tc>
          <w:tcPr>
            <w:tcW w:type="dxa" w:w="1473"/>
            <w:shd w:val="clear" w:color="auto" w:fill="1B3A6B"/>
          </w:tcPr>
          <w:p>
            <w:pPr>
              <w:keepNext/>
              <w:jc w:val="center"/>
            </w:pPr>
            <w:r>
              <w:rPr>
                <w:b/>
                <w:color w:val="FFFFFF"/>
                <w:sz w:val="15"/>
              </w:rPr>
              <w:t>Control locus</w:t>
            </w:r>
          </w:p>
        </w:tc>
        <w:tc>
          <w:tcPr>
            <w:tcW w:type="dxa" w:w="1309"/>
            <w:shd w:val="clear" w:color="auto" w:fill="1B3A6B"/>
          </w:tcPr>
          <w:p>
            <w:pPr>
              <w:keepNext/>
              <w:jc w:val="center"/>
            </w:pPr>
            <w:r>
              <w:rPr>
                <w:b/>
                <w:color w:val="FFFFFF"/>
                <w:sz w:val="15"/>
              </w:rPr>
              <w:t>Fail-safe probe</w:t>
            </w:r>
          </w:p>
        </w:tc>
        <w:tc>
          <w:tcPr>
            <w:tcW w:type="dxa" w:w="2128"/>
            <w:shd w:val="clear" w:color="auto" w:fill="1B3A6B"/>
          </w:tcPr>
          <w:p>
            <w:pPr>
              <w:keepNext/>
              <w:jc w:val="center"/>
            </w:pPr>
            <w:r>
              <w:rPr>
                <w:b/>
                <w:color w:val="FFFFFF"/>
                <w:sz w:val="15"/>
              </w:rPr>
              <w:t>Disease model</w:t>
            </w:r>
          </w:p>
        </w:tc>
        <w:tc>
          <w:tcPr>
            <w:tcW w:type="dxa" w:w="1637"/>
            <w:shd w:val="clear" w:color="auto" w:fill="1B3A6B"/>
          </w:tcPr>
          <w:p>
            <w:pPr>
              <w:keepNext/>
              <w:jc w:val="center"/>
            </w:pPr>
            <w:r>
              <w:rPr>
                <w:b/>
                <w:color w:val="FFFFFF"/>
                <w:sz w:val="15"/>
              </w:rPr>
              <w:t>Field-validated</w:t>
            </w:r>
          </w:p>
        </w:tc>
        <w:tc>
          <w:tcPr>
            <w:tcW w:type="dxa" w:w="1309"/>
            <w:shd w:val="clear" w:color="auto" w:fill="1B3A6B"/>
          </w:tcPr>
          <w:p>
            <w:pPr>
              <w:keepNext/>
              <w:jc w:val="center"/>
            </w:pPr>
            <w:r>
              <w:rPr>
                <w:b/>
                <w:color w:val="FFFFFF"/>
                <w:sz w:val="15"/>
              </w:rPr>
              <w:t>LLM advisor</w:t>
            </w:r>
          </w:p>
        </w:tc>
      </w:tr>
      <w:tr>
        <w:trPr>
          <w:cantSplit/>
        </w:trPr>
        <w:tc>
          <w:tcPr>
            <w:tcW w:type="dxa" w:w="2455"/>
          </w:tcPr>
          <w:p>
            <w:pPr>
              <w:keepNext/>
              <w:jc w:val="left"/>
            </w:pPr>
            <w:r>
              <w:rPr>
                <w:sz w:val="15"/>
              </w:rPr>
              <w:t>Gutiérrez [4]</w:t>
            </w:r>
          </w:p>
        </w:tc>
        <w:tc>
          <w:tcPr>
            <w:tcW w:type="dxa" w:w="1473"/>
          </w:tcPr>
          <w:p>
            <w:pPr>
              <w:keepNext/>
              <w:jc w:val="center"/>
            </w:pPr>
            <w:r>
              <w:rPr>
                <w:sz w:val="15"/>
              </w:rPr>
              <w:t>Gateway</w:t>
            </w:r>
          </w:p>
        </w:tc>
        <w:tc>
          <w:tcPr>
            <w:tcW w:type="dxa" w:w="1309"/>
          </w:tcPr>
          <w:p>
            <w:pPr>
              <w:keepNext/>
              <w:jc w:val="center"/>
            </w:pPr>
            <w:r>
              <w:rPr>
                <w:sz w:val="15"/>
              </w:rPr>
              <w:t>n/s</w:t>
            </w:r>
          </w:p>
        </w:tc>
        <w:tc>
          <w:tcPr>
            <w:tcW w:type="dxa" w:w="2128"/>
          </w:tcPr>
          <w:p>
            <w:pPr>
              <w:keepNext/>
              <w:jc w:val="center"/>
            </w:pPr>
            <w:r>
              <w:rPr>
                <w:sz w:val="15"/>
              </w:rPr>
              <w:t>No</w:t>
            </w:r>
          </w:p>
        </w:tc>
        <w:tc>
          <w:tcPr>
            <w:tcW w:type="dxa" w:w="1637"/>
          </w:tcPr>
          <w:p>
            <w:pPr>
              <w:keepNext/>
              <w:jc w:val="center"/>
            </w:pPr>
            <w:r>
              <w:rPr>
                <w:sz w:val="15"/>
              </w:rPr>
              <w:t>Yes (irrigation)</w:t>
            </w:r>
          </w:p>
        </w:tc>
        <w:tc>
          <w:tcPr>
            <w:tcW w:type="dxa" w:w="1309"/>
          </w:tcPr>
          <w:p>
            <w:pPr>
              <w:keepNext/>
              <w:jc w:val="center"/>
            </w:pPr>
            <w:r>
              <w:rPr>
                <w:sz w:val="15"/>
              </w:rPr>
              <w:t>No</w:t>
            </w:r>
          </w:p>
        </w:tc>
      </w:tr>
      <w:tr>
        <w:trPr>
          <w:cantSplit/>
        </w:trPr>
        <w:tc>
          <w:tcPr>
            <w:tcW w:type="dxa" w:w="2455"/>
            <w:shd w:val="clear" w:color="auto" w:fill="EDF1F6"/>
          </w:tcPr>
          <w:p>
            <w:pPr>
              <w:keepNext/>
              <w:jc w:val="left"/>
            </w:pPr>
            <w:r>
              <w:rPr>
                <w:sz w:val="15"/>
              </w:rPr>
              <w:t>Goap [5]</w:t>
            </w:r>
          </w:p>
        </w:tc>
        <w:tc>
          <w:tcPr>
            <w:tcW w:type="dxa" w:w="1473"/>
            <w:shd w:val="clear" w:color="auto" w:fill="EDF1F6"/>
          </w:tcPr>
          <w:p>
            <w:pPr>
              <w:keepNext/>
              <w:jc w:val="center"/>
            </w:pPr>
            <w:r>
              <w:rPr>
                <w:sz w:val="15"/>
              </w:rPr>
              <w:t>Cloud/ML</w:t>
            </w:r>
          </w:p>
        </w:tc>
        <w:tc>
          <w:tcPr>
            <w:tcW w:type="dxa" w:w="1309"/>
            <w:shd w:val="clear" w:color="auto" w:fill="EDF1F6"/>
          </w:tcPr>
          <w:p>
            <w:pPr>
              <w:keepNext/>
              <w:jc w:val="center"/>
            </w:pPr>
            <w:r>
              <w:rPr>
                <w:sz w:val="15"/>
              </w:rPr>
              <w:t>n/s</w:t>
            </w:r>
          </w:p>
        </w:tc>
        <w:tc>
          <w:tcPr>
            <w:tcW w:type="dxa" w:w="2128"/>
            <w:shd w:val="clear" w:color="auto" w:fill="EDF1F6"/>
          </w:tcPr>
          <w:p>
            <w:pPr>
              <w:keepNext/>
              <w:jc w:val="center"/>
            </w:pPr>
            <w:r>
              <w:rPr>
                <w:sz w:val="15"/>
              </w:rPr>
              <w:t>No</w:t>
            </w:r>
          </w:p>
        </w:tc>
        <w:tc>
          <w:tcPr>
            <w:tcW w:type="dxa" w:w="1637"/>
            <w:shd w:val="clear" w:color="auto" w:fill="EDF1F6"/>
          </w:tcPr>
          <w:p>
            <w:pPr>
              <w:keepNext/>
              <w:jc w:val="center"/>
            </w:pPr>
            <w:r>
              <w:rPr>
                <w:sz w:val="15"/>
              </w:rPr>
              <w:t>Yes (irrigation)</w:t>
            </w:r>
          </w:p>
        </w:tc>
        <w:tc>
          <w:tcPr>
            <w:tcW w:type="dxa" w:w="1309"/>
            <w:shd w:val="clear" w:color="auto" w:fill="EDF1F6"/>
          </w:tcPr>
          <w:p>
            <w:pPr>
              <w:keepNext/>
              <w:jc w:val="center"/>
            </w:pPr>
            <w:r>
              <w:rPr>
                <w:sz w:val="15"/>
              </w:rPr>
              <w:t>No</w:t>
            </w:r>
          </w:p>
        </w:tc>
      </w:tr>
      <w:tr>
        <w:trPr>
          <w:cantSplit/>
        </w:trPr>
        <w:tc>
          <w:tcPr>
            <w:tcW w:type="dxa" w:w="2455"/>
          </w:tcPr>
          <w:p>
            <w:pPr>
              <w:keepNext/>
              <w:jc w:val="left"/>
            </w:pPr>
            <w:r>
              <w:rPr>
                <w:sz w:val="15"/>
              </w:rPr>
              <w:t>Samanta [11]</w:t>
            </w:r>
          </w:p>
        </w:tc>
        <w:tc>
          <w:tcPr>
            <w:tcW w:type="dxa" w:w="1473"/>
          </w:tcPr>
          <w:p>
            <w:pPr>
              <w:keepNext/>
              <w:jc w:val="center"/>
            </w:pPr>
            <w:r>
              <w:rPr>
                <w:sz w:val="15"/>
              </w:rPr>
              <w:t>—</w:t>
            </w:r>
          </w:p>
        </w:tc>
        <w:tc>
          <w:tcPr>
            <w:tcW w:type="dxa" w:w="1309"/>
          </w:tcPr>
          <w:p>
            <w:pPr>
              <w:keepNext/>
              <w:jc w:val="center"/>
            </w:pPr>
            <w:r>
              <w:rPr>
                <w:sz w:val="15"/>
              </w:rPr>
              <w:t>—</w:t>
            </w:r>
          </w:p>
        </w:tc>
        <w:tc>
          <w:tcPr>
            <w:tcW w:type="dxa" w:w="2128"/>
          </w:tcPr>
          <w:p>
            <w:pPr>
              <w:keepNext/>
              <w:jc w:val="center"/>
            </w:pPr>
            <w:r>
              <w:rPr>
                <w:sz w:val="15"/>
              </w:rPr>
              <w:t>ESP32-CAM, 92 %</w:t>
            </w:r>
          </w:p>
        </w:tc>
        <w:tc>
          <w:tcPr>
            <w:tcW w:type="dxa" w:w="1637"/>
          </w:tcPr>
          <w:p>
            <w:pPr>
              <w:keepNext/>
              <w:jc w:val="center"/>
            </w:pPr>
            <w:r>
              <w:rPr>
                <w:sz w:val="15"/>
              </w:rPr>
              <w:t>No</w:t>
            </w:r>
          </w:p>
        </w:tc>
        <w:tc>
          <w:tcPr>
            <w:tcW w:type="dxa" w:w="1309"/>
          </w:tcPr>
          <w:p>
            <w:pPr>
              <w:keepNext/>
              <w:jc w:val="center"/>
            </w:pPr>
            <w:r>
              <w:rPr>
                <w:sz w:val="15"/>
              </w:rPr>
              <w:t>No</w:t>
            </w:r>
          </w:p>
        </w:tc>
      </w:tr>
      <w:tr>
        <w:trPr>
          <w:cantSplit/>
        </w:trPr>
        <w:tc>
          <w:tcPr>
            <w:tcW w:type="dxa" w:w="2455"/>
            <w:shd w:val="clear" w:color="auto" w:fill="EDF1F6"/>
          </w:tcPr>
          <w:p>
            <w:pPr>
              <w:keepNext/>
              <w:jc w:val="left"/>
            </w:pPr>
            <w:r>
              <w:rPr>
                <w:sz w:val="15"/>
              </w:rPr>
              <w:t>Nyakuri [12]</w:t>
            </w:r>
          </w:p>
        </w:tc>
        <w:tc>
          <w:tcPr>
            <w:tcW w:type="dxa" w:w="1473"/>
            <w:shd w:val="clear" w:color="auto" w:fill="EDF1F6"/>
          </w:tcPr>
          <w:p>
            <w:pPr>
              <w:keepNext/>
              <w:jc w:val="center"/>
            </w:pPr>
            <w:r>
              <w:rPr>
                <w:sz w:val="15"/>
              </w:rPr>
              <w:t>—</w:t>
            </w:r>
          </w:p>
        </w:tc>
        <w:tc>
          <w:tcPr>
            <w:tcW w:type="dxa" w:w="1309"/>
            <w:shd w:val="clear" w:color="auto" w:fill="EDF1F6"/>
          </w:tcPr>
          <w:p>
            <w:pPr>
              <w:keepNext/>
              <w:jc w:val="center"/>
            </w:pPr>
            <w:r>
              <w:rPr>
                <w:sz w:val="15"/>
              </w:rPr>
              <w:t>—</w:t>
            </w:r>
          </w:p>
        </w:tc>
        <w:tc>
          <w:tcPr>
            <w:tcW w:type="dxa" w:w="2128"/>
            <w:shd w:val="clear" w:color="auto" w:fill="EDF1F6"/>
          </w:tcPr>
          <w:p>
            <w:pPr>
              <w:keepNext/>
              <w:jc w:val="center"/>
            </w:pPr>
            <w:r>
              <w:rPr>
                <w:sz w:val="15"/>
              </w:rPr>
              <w:t>RPi 5, 98.6 %</w:t>
            </w:r>
          </w:p>
        </w:tc>
        <w:tc>
          <w:tcPr>
            <w:tcW w:type="dxa" w:w="1637"/>
            <w:shd w:val="clear" w:color="auto" w:fill="EDF1F6"/>
          </w:tcPr>
          <w:p>
            <w:pPr>
              <w:keepNext/>
              <w:jc w:val="center"/>
            </w:pPr>
            <w:r>
              <w:rPr>
                <w:sz w:val="15"/>
              </w:rPr>
              <w:t>n/s</w:t>
            </w:r>
          </w:p>
        </w:tc>
        <w:tc>
          <w:tcPr>
            <w:tcW w:type="dxa" w:w="1309"/>
            <w:shd w:val="clear" w:color="auto" w:fill="EDF1F6"/>
          </w:tcPr>
          <w:p>
            <w:pPr>
              <w:keepNext/>
              <w:jc w:val="center"/>
            </w:pPr>
            <w:r>
              <w:rPr>
                <w:sz w:val="15"/>
              </w:rPr>
              <w:t>No</w:t>
            </w:r>
          </w:p>
        </w:tc>
      </w:tr>
      <w:tr>
        <w:trPr>
          <w:cantSplit/>
        </w:trPr>
        <w:tc>
          <w:tcPr>
            <w:tcW w:type="dxa" w:w="2455"/>
          </w:tcPr>
          <w:p>
            <w:pPr>
              <w:keepNext/>
              <w:jc w:val="left"/>
            </w:pPr>
            <w:r>
              <w:rPr>
                <w:sz w:val="15"/>
              </w:rPr>
              <w:t>Aqasizade [13]</w:t>
            </w:r>
          </w:p>
        </w:tc>
        <w:tc>
          <w:tcPr>
            <w:tcW w:type="dxa" w:w="1473"/>
          </w:tcPr>
          <w:p>
            <w:pPr>
              <w:keepNext/>
              <w:jc w:val="center"/>
            </w:pPr>
            <w:r>
              <w:rPr>
                <w:sz w:val="15"/>
              </w:rPr>
              <w:t>—</w:t>
            </w:r>
          </w:p>
        </w:tc>
        <w:tc>
          <w:tcPr>
            <w:tcW w:type="dxa" w:w="1309"/>
          </w:tcPr>
          <w:p>
            <w:pPr>
              <w:keepNext/>
              <w:jc w:val="center"/>
            </w:pPr>
            <w:r>
              <w:rPr>
                <w:sz w:val="15"/>
              </w:rPr>
              <w:t>—</w:t>
            </w:r>
          </w:p>
        </w:tc>
        <w:tc>
          <w:tcPr>
            <w:tcW w:type="dxa" w:w="2128"/>
          </w:tcPr>
          <w:p>
            <w:pPr>
              <w:keepNext/>
              <w:jc w:val="center"/>
            </w:pPr>
            <w:r>
              <w:rPr>
                <w:sz w:val="15"/>
              </w:rPr>
              <w:t>ESP32-S3, 94.6 %</w:t>
            </w:r>
          </w:p>
        </w:tc>
        <w:tc>
          <w:tcPr>
            <w:tcW w:type="dxa" w:w="1637"/>
          </w:tcPr>
          <w:p>
            <w:pPr>
              <w:keepNext/>
              <w:jc w:val="center"/>
            </w:pPr>
            <w:r>
              <w:rPr>
                <w:sz w:val="15"/>
              </w:rPr>
              <w:t>Yes (7 days)</w:t>
            </w:r>
          </w:p>
        </w:tc>
        <w:tc>
          <w:tcPr>
            <w:tcW w:type="dxa" w:w="1309"/>
          </w:tcPr>
          <w:p>
            <w:pPr>
              <w:keepNext/>
              <w:jc w:val="center"/>
            </w:pPr>
            <w:r>
              <w:rPr>
                <w:sz w:val="15"/>
              </w:rPr>
              <w:t>No</w:t>
            </w:r>
          </w:p>
        </w:tc>
      </w:tr>
      <w:tr>
        <w:trPr>
          <w:cantSplit/>
        </w:trPr>
        <w:tc>
          <w:tcPr>
            <w:tcW w:type="dxa" w:w="2455"/>
            <w:shd w:val="clear" w:color="auto" w:fill="EDF1F6"/>
          </w:tcPr>
          <w:p>
            <w:pPr>
              <w:jc w:val="left"/>
            </w:pPr>
            <w:r>
              <w:rPr>
                <w:b/>
                <w:sz w:val="15"/>
              </w:rPr>
              <w:t>AgriSense (this work)</w:t>
            </w:r>
          </w:p>
        </w:tc>
        <w:tc>
          <w:tcPr>
            <w:tcW w:type="dxa" w:w="1473"/>
            <w:shd w:val="clear" w:color="auto" w:fill="EDF1F6"/>
          </w:tcPr>
          <w:p>
            <w:pPr>
              <w:jc w:val="center"/>
            </w:pPr>
            <w:r>
              <w:rPr>
                <w:b/>
                <w:sz w:val="15"/>
              </w:rPr>
              <w:t>On-node</w:t>
            </w:r>
          </w:p>
        </w:tc>
        <w:tc>
          <w:tcPr>
            <w:tcW w:type="dxa" w:w="1309"/>
            <w:shd w:val="clear" w:color="auto" w:fill="EDF1F6"/>
          </w:tcPr>
          <w:p>
            <w:pPr>
              <w:jc w:val="center"/>
            </w:pPr>
            <w:r>
              <w:rPr>
                <w:b/>
                <w:sz w:val="15"/>
              </w:rPr>
              <w:t>Yes</w:t>
            </w:r>
          </w:p>
        </w:tc>
        <w:tc>
          <w:tcPr>
            <w:tcW w:type="dxa" w:w="2128"/>
            <w:shd w:val="clear" w:color="auto" w:fill="EDF1F6"/>
          </w:tcPr>
          <w:p>
            <w:pPr>
              <w:jc w:val="center"/>
            </w:pPr>
            <w:r>
              <w:rPr>
                <w:sz w:val="15"/>
              </w:rPr>
              <w:t>Server ONNX, 99.32 % lab</w:t>
            </w:r>
          </w:p>
        </w:tc>
        <w:tc>
          <w:tcPr>
            <w:tcW w:type="dxa" w:w="1637"/>
            <w:shd w:val="clear" w:color="auto" w:fill="EDF1F6"/>
          </w:tcPr>
          <w:p>
            <w:pPr>
              <w:jc w:val="center"/>
            </w:pPr>
            <w:r>
              <w:rPr>
                <w:b/>
                <w:sz w:val="15"/>
              </w:rPr>
              <w:t>Pending</w:t>
            </w:r>
          </w:p>
        </w:tc>
        <w:tc>
          <w:tcPr>
            <w:tcW w:type="dxa" w:w="1309"/>
            <w:shd w:val="clear" w:color="auto" w:fill="EDF1F6"/>
          </w:tcPr>
          <w:p>
            <w:pPr>
              <w:jc w:val="center"/>
            </w:pPr>
            <w:r>
              <w:rPr>
                <w:b/>
                <w:sz w:val="15"/>
              </w:rPr>
              <w:t>Yes</w:t>
            </w:r>
          </w:p>
        </w:tc>
      </w:tr>
    </w:tbl>
    <w:p>
      <w:pPr>
        <w:spacing w:after="120"/>
      </w:pPr>
    </w:p>
    <w:p>
      <w:pPr>
        <w:sectPr>
          <w:type w:val="continuous"/>
          <w:pgSz w:w="12240" w:h="15840"/>
          <w:pgMar w:top="1080" w:right="965" w:bottom="1152" w:left="965" w:header="504" w:footer="720" w:gutter="0"/>
          <w:docGrid w:linePitch="360"/>
          <w:cols w:num="1" w:space="360"/>
        </w:sectPr>
      </w:pPr>
    </w:p>
    <w:p>
      <w:pPr>
        <w:keepNext/>
        <w:spacing w:before="160" w:after="60"/>
      </w:pPr>
      <w:r>
        <w:rPr>
          <w:b/>
          <w:color w:val="1B3A6B"/>
          <w:sz w:val="19"/>
        </w:rPr>
        <w:t>III. SYSTEM ARCHITECTURE</w:t>
      </w:r>
    </w:p>
    <w:p>
      <w:pPr>
        <w:spacing w:after="0"/>
        <w:ind w:firstLine="216"/>
        <w:jc w:val="both"/>
      </w:pPr>
      <w:r>
        <w:t xml:space="preserve">AgriSense is organised in three tiers (Fig. 1). The </w:t>
      </w:r>
      <w:r>
        <w:rPr>
          <w:b/>
        </w:rPr>
        <w:t>field tier</w:t>
      </w:r>
      <w:r>
        <w:t xml:space="preserve"> contains two physically separate boards: an ESP32 DevKit V1 sensor/actuator node and an AI-Thinker ESP32-CAM imaging node. The </w:t>
      </w:r>
      <w:r>
        <w:rPr>
          <w:b/>
        </w:rPr>
        <w:t>cloud tier</w:t>
      </w:r>
      <w:r>
        <w:t xml:space="preserve"> consists of a managed PostgreSQL database with authentication, Realtime subscriptions and row-level security (Supabase [33]), and a Python 3.11 FastAPI backend packaged with Docker. The </w:t>
      </w:r>
      <w:r>
        <w:rPr>
          <w:b/>
        </w:rPr>
        <w:t>client tier</w:t>
      </w:r>
      <w:r>
        <w:t xml:space="preserve"> comprises a web dashboard and a cross-platform mobile application.</w:t>
      </w:r>
    </w:p>
    <w:p>
      <w:pPr>
        <w:sectPr>
          <w:type w:val="continuous"/>
          <w:pgSz w:w="12240" w:h="15840"/>
          <w:pgMar w:top="1080" w:right="965" w:bottom="1152" w:left="965" w:header="504" w:footer="720" w:gutter="0"/>
          <w:docGrid w:linePitch="360"/>
          <w:cols w:num="2" w:space="360"/>
        </w:sectPr>
      </w:pPr>
    </w:p>
    <w:p>
      <w:pPr>
        <w:keepNext/>
        <w:spacing w:before="120"/>
        <w:jc w:val="center"/>
      </w:pPr>
      <w:r>
        <w:drawing>
          <wp:inline xmlns:a="http://schemas.openxmlformats.org/drawingml/2006/main" xmlns:pic="http://schemas.openxmlformats.org/drawingml/2006/picture">
            <wp:extent cx="6547104" cy="2722152"/>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6547104" cy="2722152"/>
                    </a:xfrm>
                    <a:prstGeom prst="rect"/>
                  </pic:spPr>
                </pic:pic>
              </a:graphicData>
            </a:graphic>
          </wp:inline>
        </w:drawing>
      </w:r>
    </w:p>
    <w:p>
      <w:pPr>
        <w:spacing w:after="160"/>
        <w:jc w:val="both"/>
      </w:pPr>
      <w:r>
        <w:rPr>
          <w:b/>
          <w:color w:val="1B3A6B"/>
          <w:sz w:val="16"/>
        </w:rPr>
        <w:t xml:space="preserve">FIGURE 1. </w:t>
      </w:r>
      <w:r>
        <w:rPr>
          <w:sz w:val="16"/>
        </w:rPr>
        <w:t>Three-tier architecture of AgriSense AI. Periods and rate limits are the deployed firmware constants. The irrigation decision executes on the sensor node and remains authoritative when the cloud tier is unreachable.</w:t>
      </w:r>
    </w:p>
    <w:p>
      <w:pPr>
        <w:sectPr>
          <w:type w:val="continuous"/>
          <w:pgSz w:w="12240" w:h="15840"/>
          <w:pgMar w:top="1080" w:right="965" w:bottom="1152" w:left="965" w:header="504" w:footer="720" w:gutter="0"/>
          <w:docGrid w:linePitch="360"/>
          <w:cols w:num="1" w:space="360"/>
        </w:sectPr>
      </w:pPr>
    </w:p>
    <w:p>
      <w:pPr>
        <w:spacing w:after="0"/>
        <w:ind w:firstLine="216"/>
        <w:jc w:val="both"/>
      </w:pPr>
      <w:r>
        <w:t>Four design principles shaped the implementation:</w:t>
      </w:r>
    </w:p>
    <w:p>
      <w:pPr>
        <w:spacing w:after="20"/>
        <w:ind w:left="288" w:hanging="202"/>
        <w:jc w:val="both"/>
      </w:pPr>
      <w:r>
        <w:t xml:space="preserve">•  </w:t>
      </w:r>
      <w:r>
        <w:rPr>
          <w:b/>
        </w:rPr>
        <w:t>P1 – Edge authority.</w:t>
      </w:r>
      <w:r>
        <w:t xml:space="preserve"> The device makes the final pump decision; cloud components may only </w:t>
      </w:r>
      <w:r>
        <w:rPr>
          <w:i/>
        </w:rPr>
        <w:t>request</w:t>
      </w:r>
      <w:r>
        <w:t xml:space="preserve"> actuation.</w:t>
      </w:r>
    </w:p>
    <w:p>
      <w:pPr>
        <w:spacing w:after="20"/>
        <w:ind w:left="288" w:hanging="202"/>
        <w:jc w:val="both"/>
      </w:pPr>
      <w:r>
        <w:t xml:space="preserve">•  </w:t>
      </w:r>
      <w:r>
        <w:rPr>
          <w:b/>
        </w:rPr>
        <w:t>P2 – Fail-safe defaults.</w:t>
      </w:r>
      <w:r>
        <w:t xml:space="preserve"> Any missing, stale or implausible input resolves to </w:t>
      </w:r>
      <w:r>
        <w:rPr>
          <w:i/>
        </w:rPr>
        <w:t>pump off</w:t>
      </w:r>
      <w:r>
        <w:t>.</w:t>
      </w:r>
    </w:p>
    <w:p>
      <w:pPr>
        <w:spacing w:after="20"/>
        <w:ind w:left="288" w:hanging="202"/>
        <w:jc w:val="both"/>
      </w:pPr>
      <w:r>
        <w:t xml:space="preserve">•  </w:t>
      </w:r>
      <w:r>
        <w:rPr>
          <w:b/>
        </w:rPr>
        <w:t>P3 – Least privilege.</w:t>
      </w:r>
      <w:r>
        <w:t xml:space="preserve"> Clients never hold third-party API keys or the database service key; every table is scoped to its owner by row-level security.</w:t>
      </w:r>
    </w:p>
    <w:p>
      <w:pPr>
        <w:spacing w:after="20"/>
        <w:ind w:left="288" w:hanging="202"/>
        <w:jc w:val="both"/>
      </w:pPr>
      <w:r>
        <w:t xml:space="preserve">•  </w:t>
      </w:r>
      <w:r>
        <w:rPr>
          <w:b/>
        </w:rPr>
        <w:t>P4 – Graceful degradation.</w:t>
      </w:r>
      <w:r>
        <w:t xml:space="preserve"> Each optional service (diagnosis, advisor, camera) returns HTTP 503 when its credential is absent, without affecting the others.</w:t>
      </w:r>
    </w:p>
    <w:p>
      <w:pPr>
        <w:spacing w:after="0"/>
        <w:ind w:firstLine="216"/>
        <w:jc w:val="both"/>
      </w:pPr>
      <w:r>
        <w:t xml:space="preserve">The decisive architectural choice is that the sensor node talks </w:t>
      </w:r>
      <w:r>
        <w:rPr>
          <w:b/>
        </w:rPr>
        <w:t>directly</w:t>
      </w:r>
      <w:r>
        <w:t xml:space="preserve"> to the database over HTTPS rather than through the backend. The backend is required only for scheduled automation, diagnosis, the advisor and the camera relay; telemetry, manual pump control and device pairing keep working with it stopped. Table 2 lists the data model.</w:t>
      </w:r>
    </w:p>
    <w:p>
      <w:pPr>
        <w:keepNext/>
        <w:spacing w:before="120" w:after="60"/>
        <w:jc w:val="center"/>
      </w:pPr>
      <w:r>
        <w:rPr>
          <w:b/>
          <w:color w:val="1B3A6B"/>
          <w:sz w:val="16"/>
        </w:rPr>
        <w:t xml:space="preserve">TABLE 2. </w:t>
      </w:r>
      <w:r>
        <w:rPr>
          <w:sz w:val="16"/>
        </w:rPr>
        <w:t>Database schema. All tables are protected by row-level security policies.</w:t>
      </w:r>
    </w:p>
    <w:tbl>
      <w:tblPr>
        <w:tblStyle w:val="TableGrid"/>
        <w:tblW w:type="auto" w:w="0"/>
        <w:jc w:val="center"/>
        <w:tblLook w:firstColumn="1" w:firstRow="1" w:lastColumn="0" w:lastRow="0" w:noHBand="0" w:noVBand="1" w:val="04A0"/>
      </w:tblPr>
      <w:tblGrid>
        <w:gridCol w:w="5155"/>
        <w:gridCol w:w="5155"/>
      </w:tblGrid>
      <w:tr>
        <w:trPr>
          <w:cantSplit/>
        </w:trPr>
        <w:tc>
          <w:tcPr>
            <w:tcW w:type="dxa" w:w="1584"/>
            <w:shd w:val="clear" w:color="auto" w:fill="1B3A6B"/>
          </w:tcPr>
          <w:p>
            <w:pPr>
              <w:keepNext/>
              <w:jc w:val="left"/>
            </w:pPr>
            <w:r>
              <w:rPr>
                <w:b/>
                <w:color w:val="FFFFFF"/>
                <w:sz w:val="15"/>
              </w:rPr>
              <w:t>Table</w:t>
            </w:r>
          </w:p>
        </w:tc>
        <w:tc>
          <w:tcPr>
            <w:tcW w:type="dxa" w:w="3384"/>
            <w:shd w:val="clear" w:color="auto" w:fill="1B3A6B"/>
          </w:tcPr>
          <w:p>
            <w:pPr>
              <w:keepNext/>
              <w:jc w:val="center"/>
            </w:pPr>
            <w:r>
              <w:rPr>
                <w:b/>
                <w:color w:val="FFFFFF"/>
                <w:sz w:val="15"/>
              </w:rPr>
              <w:t>Purpose</w:t>
            </w:r>
          </w:p>
        </w:tc>
      </w:tr>
      <w:tr>
        <w:trPr>
          <w:cantSplit/>
        </w:trPr>
        <w:tc>
          <w:tcPr>
            <w:tcW w:type="dxa" w:w="1584"/>
          </w:tcPr>
          <w:p>
            <w:pPr>
              <w:keepNext/>
              <w:jc w:val="left"/>
            </w:pPr>
            <w:r>
              <w:rPr>
                <w:b/>
                <w:sz w:val="15"/>
              </w:rPr>
              <w:t>devices</w:t>
            </w:r>
          </w:p>
        </w:tc>
        <w:tc>
          <w:tcPr>
            <w:tcW w:type="dxa" w:w="3384"/>
          </w:tcPr>
          <w:p>
            <w:pPr>
              <w:keepNext/>
              <w:jc w:val="center"/>
            </w:pPr>
            <w:r>
              <w:rPr>
                <w:sz w:val="15"/>
              </w:rPr>
              <w:t>Device ownership; trigger enforces ≤ 4 devices per account</w:t>
            </w:r>
          </w:p>
        </w:tc>
      </w:tr>
      <w:tr>
        <w:trPr>
          <w:cantSplit/>
        </w:trPr>
        <w:tc>
          <w:tcPr>
            <w:tcW w:type="dxa" w:w="1584"/>
            <w:shd w:val="clear" w:color="auto" w:fill="EDF1F6"/>
          </w:tcPr>
          <w:p>
            <w:pPr>
              <w:keepNext/>
              <w:jc w:val="left"/>
            </w:pPr>
            <w:r>
              <w:rPr>
                <w:b/>
                <w:sz w:val="15"/>
              </w:rPr>
              <w:t>device_registry</w:t>
            </w:r>
          </w:p>
        </w:tc>
        <w:tc>
          <w:tcPr>
            <w:tcW w:type="dxa" w:w="3384"/>
            <w:shd w:val="clear" w:color="auto" w:fill="EDF1F6"/>
          </w:tcPr>
          <w:p>
            <w:pPr>
              <w:keepNext/>
              <w:jc w:val="center"/>
            </w:pPr>
            <w:r>
              <w:rPr>
                <w:sz w:val="15"/>
              </w:rPr>
              <w:t>Factory serial and pairing secret</w:t>
            </w:r>
          </w:p>
        </w:tc>
      </w:tr>
      <w:tr>
        <w:trPr>
          <w:cantSplit/>
        </w:trPr>
        <w:tc>
          <w:tcPr>
            <w:tcW w:type="dxa" w:w="1584"/>
          </w:tcPr>
          <w:p>
            <w:pPr>
              <w:keepNext/>
              <w:jc w:val="left"/>
            </w:pPr>
            <w:r>
              <w:rPr>
                <w:b/>
                <w:sz w:val="15"/>
              </w:rPr>
              <w:t>device_status</w:t>
            </w:r>
          </w:p>
        </w:tc>
        <w:tc>
          <w:tcPr>
            <w:tcW w:type="dxa" w:w="3384"/>
          </w:tcPr>
          <w:p>
            <w:pPr>
              <w:keepNext/>
              <w:jc w:val="center"/>
            </w:pPr>
            <w:r>
              <w:rPr>
                <w:sz w:val="15"/>
              </w:rPr>
              <w:t>Heartbeat (last_seen_at), per-sensor health flags</w:t>
            </w:r>
          </w:p>
        </w:tc>
      </w:tr>
      <w:tr>
        <w:trPr>
          <w:cantSplit/>
        </w:trPr>
        <w:tc>
          <w:tcPr>
            <w:tcW w:type="dxa" w:w="1584"/>
            <w:shd w:val="clear" w:color="auto" w:fill="EDF1F6"/>
          </w:tcPr>
          <w:p>
            <w:pPr>
              <w:keepNext/>
              <w:jc w:val="left"/>
            </w:pPr>
            <w:r>
              <w:rPr>
                <w:b/>
                <w:sz w:val="15"/>
              </w:rPr>
              <w:t>device_config</w:t>
            </w:r>
          </w:p>
        </w:tc>
        <w:tc>
          <w:tcPr>
            <w:tcW w:type="dxa" w:w="3384"/>
            <w:shd w:val="clear" w:color="auto" w:fill="EDF1F6"/>
          </w:tcPr>
          <w:p>
            <w:pPr>
              <w:keepNext/>
              <w:jc w:val="center"/>
            </w:pPr>
            <w:r>
              <w:rPr>
                <w:sz w:val="15"/>
              </w:rPr>
              <w:t>Automation mode, thresholds, pump state</w:t>
            </w:r>
          </w:p>
        </w:tc>
      </w:tr>
      <w:tr>
        <w:trPr>
          <w:cantSplit/>
        </w:trPr>
        <w:tc>
          <w:tcPr>
            <w:tcW w:type="dxa" w:w="1584"/>
          </w:tcPr>
          <w:p>
            <w:pPr>
              <w:keepNext/>
              <w:jc w:val="left"/>
            </w:pPr>
            <w:r>
              <w:rPr>
                <w:b/>
                <w:sz w:val="15"/>
              </w:rPr>
              <w:t>telemetry_data</w:t>
            </w:r>
          </w:p>
        </w:tc>
        <w:tc>
          <w:tcPr>
            <w:tcW w:type="dxa" w:w="3384"/>
          </w:tcPr>
          <w:p>
            <w:pPr>
              <w:keepNext/>
              <w:jc w:val="center"/>
            </w:pPr>
            <w:r>
              <w:rPr>
                <w:sz w:val="15"/>
              </w:rPr>
              <w:t>Time series: temperature, humidity, soil, rain</w:t>
            </w:r>
          </w:p>
        </w:tc>
      </w:tr>
      <w:tr>
        <w:trPr>
          <w:cantSplit/>
        </w:trPr>
        <w:tc>
          <w:tcPr>
            <w:tcW w:type="dxa" w:w="1584"/>
            <w:shd w:val="clear" w:color="auto" w:fill="EDF1F6"/>
          </w:tcPr>
          <w:p>
            <w:pPr>
              <w:keepNext/>
              <w:jc w:val="left"/>
            </w:pPr>
            <w:r>
              <w:rPr>
                <w:b/>
                <w:sz w:val="15"/>
              </w:rPr>
              <w:t>device_commands</w:t>
            </w:r>
          </w:p>
        </w:tc>
        <w:tc>
          <w:tcPr>
            <w:tcW w:type="dxa" w:w="3384"/>
            <w:shd w:val="clear" w:color="auto" w:fill="EDF1F6"/>
          </w:tcPr>
          <w:p>
            <w:pPr>
              <w:keepNext/>
              <w:jc w:val="center"/>
            </w:pPr>
            <w:r>
              <w:rPr>
                <w:sz w:val="15"/>
              </w:rPr>
              <w:t>Command queue (PUMP_ON / PUMP_OFF), executed flag</w:t>
            </w:r>
          </w:p>
        </w:tc>
      </w:tr>
      <w:tr>
        <w:trPr>
          <w:cantSplit/>
        </w:trPr>
        <w:tc>
          <w:tcPr>
            <w:tcW w:type="dxa" w:w="1584"/>
          </w:tcPr>
          <w:p>
            <w:pPr>
              <w:jc w:val="left"/>
            </w:pPr>
            <w:r>
              <w:rPr>
                <w:b/>
                <w:sz w:val="15"/>
              </w:rPr>
              <w:t>timers</w:t>
            </w:r>
          </w:p>
        </w:tc>
        <w:tc>
          <w:tcPr>
            <w:tcW w:type="dxa" w:w="3384"/>
          </w:tcPr>
          <w:p>
            <w:pPr>
              <w:jc w:val="center"/>
            </w:pPr>
            <w:r>
              <w:rPr>
                <w:sz w:val="15"/>
              </w:rPr>
              <w:t>Irrigation windows: start, duration, active days</w:t>
            </w:r>
          </w:p>
        </w:tc>
      </w:tr>
    </w:tbl>
    <w:p>
      <w:pPr>
        <w:spacing w:after="120"/>
      </w:pPr>
    </w:p>
    <w:p>
      <w:pPr>
        <w:keepNext/>
        <w:spacing w:before="160" w:after="60"/>
      </w:pPr>
      <w:r>
        <w:rPr>
          <w:b/>
          <w:color w:val="1B3A6B"/>
          <w:sz w:val="19"/>
        </w:rPr>
        <w:t>IV. HARDWARE IMPLEMENTATION</w:t>
      </w:r>
    </w:p>
    <w:p>
      <w:pPr>
        <w:spacing w:after="0"/>
        <w:ind w:firstLine="216"/>
        <w:jc w:val="both"/>
      </w:pPr>
      <w:r>
        <w:t>Fig. 2 and Table 3 give the sensing and actuation topology. Air temperature and relative humidity are read from a DHT11; soil moisture from a capacitive probe on a 12-bit ADC1 channel; rain from an active-low digital module; and a single relay with a normally-open contact switches the pump.</w:t>
      </w:r>
    </w:p>
    <w:p>
      <w:pPr>
        <w:keepNext/>
        <w:spacing w:before="120"/>
        <w:jc w:val="center"/>
      </w:pPr>
      <w:r>
        <w:drawing>
          <wp:inline xmlns:a="http://schemas.openxmlformats.org/drawingml/2006/main" xmlns:pic="http://schemas.openxmlformats.org/drawingml/2006/picture">
            <wp:extent cx="3154680" cy="2535800"/>
            <wp:docPr id="2" name="Picture 2"/>
            <wp:cNvGraphicFramePr>
              <a:graphicFrameLocks noChangeAspect="1"/>
            </wp:cNvGraphicFramePr>
            <a:graphic>
              <a:graphicData uri="http://schemas.openxmlformats.org/drawingml/2006/picture">
                <pic:pic>
                  <pic:nvPicPr>
                    <pic:cNvPr id="0" name="fig_hardware.png"/>
                    <pic:cNvPicPr/>
                  </pic:nvPicPr>
                  <pic:blipFill>
                    <a:blip r:embed="rId12"/>
                    <a:stretch>
                      <a:fillRect/>
                    </a:stretch>
                  </pic:blipFill>
                  <pic:spPr>
                    <a:xfrm>
                      <a:off x="0" y="0"/>
                      <a:ext cx="3154680" cy="2535800"/>
                    </a:xfrm>
                    <a:prstGeom prst="rect"/>
                  </pic:spPr>
                </pic:pic>
              </a:graphicData>
            </a:graphic>
          </wp:inline>
        </w:drawing>
      </w:r>
    </w:p>
    <w:p>
      <w:pPr>
        <w:spacing w:after="160"/>
        <w:jc w:val="both"/>
      </w:pPr>
      <w:r>
        <w:rPr>
          <w:b/>
          <w:color w:val="1B3A6B"/>
          <w:sz w:val="16"/>
        </w:rPr>
        <w:t xml:space="preserve">FIGURE 2. </w:t>
      </w:r>
      <w:r>
        <w:rPr>
          <w:sz w:val="16"/>
        </w:rPr>
        <w:t>Sensor node wiring and pin assignment. Root-zone temperature is derived, not measured.</w:t>
      </w:r>
    </w:p>
    <w:p>
      <w:pPr>
        <w:keepNext/>
        <w:spacing w:before="120" w:after="60"/>
        <w:jc w:val="center"/>
      </w:pPr>
      <w:r>
        <w:rPr>
          <w:b/>
          <w:color w:val="1B3A6B"/>
          <w:sz w:val="16"/>
        </w:rPr>
        <w:t xml:space="preserve">TABLE 3. </w:t>
      </w:r>
      <w:r>
        <w:rPr>
          <w:sz w:val="16"/>
        </w:rPr>
        <w:t>Sensor node bill of materials and pin map (firmware v3.1.0).</w:t>
      </w:r>
    </w:p>
    <w:tbl>
      <w:tblPr>
        <w:tblStyle w:val="TableGrid"/>
        <w:tblW w:type="auto" w:w="0"/>
        <w:jc w:val="center"/>
        <w:tblLook w:firstColumn="1" w:firstRow="1" w:lastColumn="0" w:lastRow="0" w:noHBand="0" w:noVBand="1" w:val="04A0"/>
      </w:tblPr>
      <w:tblGrid>
        <w:gridCol w:w="3437"/>
        <w:gridCol w:w="3437"/>
        <w:gridCol w:w="3437"/>
      </w:tblGrid>
      <w:tr>
        <w:trPr>
          <w:cantSplit/>
        </w:trPr>
        <w:tc>
          <w:tcPr>
            <w:tcW w:type="dxa" w:w="1800"/>
            <w:shd w:val="clear" w:color="auto" w:fill="1B3A6B"/>
          </w:tcPr>
          <w:p>
            <w:pPr>
              <w:keepNext/>
              <w:jc w:val="left"/>
            </w:pPr>
            <w:r>
              <w:rPr>
                <w:b/>
                <w:color w:val="FFFFFF"/>
                <w:sz w:val="15"/>
              </w:rPr>
              <w:t>Component</w:t>
            </w:r>
          </w:p>
        </w:tc>
        <w:tc>
          <w:tcPr>
            <w:tcW w:type="dxa" w:w="648"/>
            <w:shd w:val="clear" w:color="auto" w:fill="1B3A6B"/>
          </w:tcPr>
          <w:p>
            <w:pPr>
              <w:keepNext/>
              <w:jc w:val="center"/>
            </w:pPr>
            <w:r>
              <w:rPr>
                <w:b/>
                <w:color w:val="FFFFFF"/>
                <w:sz w:val="15"/>
              </w:rPr>
              <w:t>GPIO</w:t>
            </w:r>
          </w:p>
        </w:tc>
        <w:tc>
          <w:tcPr>
            <w:tcW w:type="dxa" w:w="2520"/>
            <w:shd w:val="clear" w:color="auto" w:fill="1B3A6B"/>
          </w:tcPr>
          <w:p>
            <w:pPr>
              <w:keepNext/>
              <w:jc w:val="center"/>
            </w:pPr>
            <w:r>
              <w:rPr>
                <w:b/>
                <w:color w:val="FFFFFF"/>
                <w:sz w:val="15"/>
              </w:rPr>
              <w:t>Notes</w:t>
            </w:r>
          </w:p>
        </w:tc>
      </w:tr>
      <w:tr>
        <w:trPr>
          <w:cantSplit/>
        </w:trPr>
        <w:tc>
          <w:tcPr>
            <w:tcW w:type="dxa" w:w="1800"/>
          </w:tcPr>
          <w:p>
            <w:pPr>
              <w:keepNext/>
              <w:jc w:val="left"/>
            </w:pPr>
            <w:r>
              <w:rPr>
                <w:sz w:val="15"/>
              </w:rPr>
              <w:t>DHT11 (air T, RH)</w:t>
            </w:r>
          </w:p>
        </w:tc>
        <w:tc>
          <w:tcPr>
            <w:tcW w:type="dxa" w:w="648"/>
          </w:tcPr>
          <w:p>
            <w:pPr>
              <w:keepNext/>
              <w:jc w:val="center"/>
            </w:pPr>
            <w:r>
              <w:rPr>
                <w:sz w:val="15"/>
              </w:rPr>
              <w:t>4</w:t>
            </w:r>
          </w:p>
        </w:tc>
        <w:tc>
          <w:tcPr>
            <w:tcW w:type="dxa" w:w="2520"/>
          </w:tcPr>
          <w:p>
            <w:pPr>
              <w:keepNext/>
              <w:jc w:val="center"/>
            </w:pPr>
            <w:r>
              <w:rPr>
                <w:sz w:val="15"/>
              </w:rPr>
              <w:t>10 kΩ pull-up; 3 reads, 2.2 s apart</w:t>
            </w:r>
          </w:p>
        </w:tc>
      </w:tr>
      <w:tr>
        <w:trPr>
          <w:cantSplit/>
        </w:trPr>
        <w:tc>
          <w:tcPr>
            <w:tcW w:type="dxa" w:w="1800"/>
            <w:shd w:val="clear" w:color="auto" w:fill="EDF1F6"/>
          </w:tcPr>
          <w:p>
            <w:pPr>
              <w:keepNext/>
              <w:jc w:val="left"/>
            </w:pPr>
            <w:r>
              <w:rPr>
                <w:sz w:val="15"/>
              </w:rPr>
              <w:t>Capacitive soil probe</w:t>
            </w:r>
          </w:p>
        </w:tc>
        <w:tc>
          <w:tcPr>
            <w:tcW w:type="dxa" w:w="648"/>
            <w:shd w:val="clear" w:color="auto" w:fill="EDF1F6"/>
          </w:tcPr>
          <w:p>
            <w:pPr>
              <w:keepNext/>
              <w:jc w:val="center"/>
            </w:pPr>
            <w:r>
              <w:rPr>
                <w:sz w:val="15"/>
              </w:rPr>
              <w:t>34</w:t>
            </w:r>
          </w:p>
        </w:tc>
        <w:tc>
          <w:tcPr>
            <w:tcW w:type="dxa" w:w="2520"/>
            <w:shd w:val="clear" w:color="auto" w:fill="EDF1F6"/>
          </w:tcPr>
          <w:p>
            <w:pPr>
              <w:keepNext/>
              <w:jc w:val="center"/>
            </w:pPr>
            <w:r>
              <w:rPr>
                <w:sz w:val="15"/>
              </w:rPr>
              <w:t>ADC1, input-only; dry 4095, wet 30</w:t>
            </w:r>
          </w:p>
        </w:tc>
      </w:tr>
      <w:tr>
        <w:trPr>
          <w:cantSplit/>
        </w:trPr>
        <w:tc>
          <w:tcPr>
            <w:tcW w:type="dxa" w:w="1800"/>
          </w:tcPr>
          <w:p>
            <w:pPr>
              <w:keepNext/>
              <w:jc w:val="left"/>
            </w:pPr>
            <w:r>
              <w:rPr>
                <w:sz w:val="15"/>
              </w:rPr>
              <w:t>Rain module (DO)</w:t>
            </w:r>
          </w:p>
        </w:tc>
        <w:tc>
          <w:tcPr>
            <w:tcW w:type="dxa" w:w="648"/>
          </w:tcPr>
          <w:p>
            <w:pPr>
              <w:keepNext/>
              <w:jc w:val="center"/>
            </w:pPr>
            <w:r>
              <w:rPr>
                <w:sz w:val="15"/>
              </w:rPr>
              <w:t>33</w:t>
            </w:r>
          </w:p>
        </w:tc>
        <w:tc>
          <w:tcPr>
            <w:tcW w:type="dxa" w:w="2520"/>
          </w:tcPr>
          <w:p>
            <w:pPr>
              <w:keepNext/>
              <w:jc w:val="center"/>
            </w:pPr>
            <w:r>
              <w:rPr>
                <w:sz w:val="15"/>
              </w:rPr>
              <w:t>Active-LOW; cannot be health-checked</w:t>
            </w:r>
          </w:p>
        </w:tc>
      </w:tr>
      <w:tr>
        <w:trPr>
          <w:cantSplit/>
        </w:trPr>
        <w:tc>
          <w:tcPr>
            <w:tcW w:type="dxa" w:w="1800"/>
            <w:shd w:val="clear" w:color="auto" w:fill="EDF1F6"/>
          </w:tcPr>
          <w:p>
            <w:pPr>
              <w:keepNext/>
              <w:jc w:val="left"/>
            </w:pPr>
            <w:r>
              <w:rPr>
                <w:sz w:val="15"/>
              </w:rPr>
              <w:t>Relay (pump)</w:t>
            </w:r>
          </w:p>
        </w:tc>
        <w:tc>
          <w:tcPr>
            <w:tcW w:type="dxa" w:w="648"/>
            <w:shd w:val="clear" w:color="auto" w:fill="EDF1F6"/>
          </w:tcPr>
          <w:p>
            <w:pPr>
              <w:keepNext/>
              <w:jc w:val="center"/>
            </w:pPr>
            <w:r>
              <w:rPr>
                <w:sz w:val="15"/>
              </w:rPr>
              <w:t>16</w:t>
            </w:r>
          </w:p>
        </w:tc>
        <w:tc>
          <w:tcPr>
            <w:tcW w:type="dxa" w:w="2520"/>
            <w:shd w:val="clear" w:color="auto" w:fill="EDF1F6"/>
          </w:tcPr>
          <w:p>
            <w:pPr>
              <w:keepNext/>
              <w:jc w:val="center"/>
            </w:pPr>
            <w:r>
              <w:rPr>
                <w:sz w:val="15"/>
              </w:rPr>
              <w:t>Active-LOW, NO contact</w:t>
            </w:r>
          </w:p>
        </w:tc>
      </w:tr>
      <w:tr>
        <w:trPr>
          <w:cantSplit/>
        </w:trPr>
        <w:tc>
          <w:tcPr>
            <w:tcW w:type="dxa" w:w="1800"/>
          </w:tcPr>
          <w:p>
            <w:pPr>
              <w:jc w:val="left"/>
            </w:pPr>
            <w:r>
              <w:rPr>
                <w:sz w:val="15"/>
              </w:rPr>
              <w:t>ESP32-CAM (OV2640)</w:t>
            </w:r>
          </w:p>
        </w:tc>
        <w:tc>
          <w:tcPr>
            <w:tcW w:type="dxa" w:w="648"/>
          </w:tcPr>
          <w:p>
            <w:pPr>
              <w:jc w:val="center"/>
            </w:pPr>
            <w:r>
              <w:rPr>
                <w:sz w:val="15"/>
              </w:rPr>
              <w:t>—</w:t>
            </w:r>
          </w:p>
        </w:tc>
        <w:tc>
          <w:tcPr>
            <w:tcW w:type="dxa" w:w="2520"/>
          </w:tcPr>
          <w:p>
            <w:pPr>
              <w:jc w:val="center"/>
            </w:pPr>
            <w:r>
              <w:rPr>
                <w:sz w:val="15"/>
              </w:rPr>
              <w:t>Separate board; VGA/QVGA JPEG</w:t>
            </w:r>
          </w:p>
        </w:tc>
      </w:tr>
    </w:tbl>
    <w:p>
      <w:pPr>
        <w:spacing w:after="120"/>
      </w:pPr>
    </w:p>
    <w:p>
      <w:pPr>
        <w:keepNext/>
        <w:spacing w:before="100" w:after="40"/>
      </w:pPr>
      <w:r>
        <w:rPr>
          <w:b/>
          <w:color w:val="1B3A6B"/>
          <w:sz w:val="17"/>
        </w:rPr>
        <w:t>A. WHY TWO BOARDS</w:t>
      </w:r>
    </w:p>
    <w:p>
      <w:pPr>
        <w:spacing w:after="0"/>
        <w:ind w:firstLine="216"/>
        <w:jc w:val="both"/>
      </w:pPr>
      <w:r>
        <w:t>On the AI-Thinker ESP32-CAM the OV2640 interface and PSRAM occupy GPIO 34 (the soil ADC), GPIO 4 (flash LED) and GPIO 16 (PSRAM chip-select), leaving no ADC1 pin free for the soil probe. Imaging is therefore placed on a second board that shares only the Wi-Fi network. This also isolates the safety-critical control loop from camera memory pressure.</w:t>
      </w:r>
    </w:p>
    <w:p>
      <w:pPr>
        <w:keepNext/>
        <w:spacing w:before="100" w:after="40"/>
      </w:pPr>
      <w:r>
        <w:rPr>
          <w:b/>
          <w:color w:val="1B3A6B"/>
          <w:sz w:val="17"/>
        </w:rPr>
        <w:t>B. SENSOR CONDITIONING</w:t>
      </w:r>
    </w:p>
    <w:p>
      <w:pPr>
        <w:spacing w:after="0"/>
        <w:ind w:firstLine="216"/>
        <w:jc w:val="both"/>
      </w:pPr>
      <w:r>
        <w:t xml:space="preserve">The averaged raw ADC value </w:t>
      </w:r>
      <w:r>
        <w:rPr>
          <w:i/>
        </w:rPr>
        <w:t>r</w:t>
      </w:r>
      <w:r>
        <w:t xml:space="preserve"> is mapped to a moisture percentage by a two-point calibration measured on the deployed probe, with dry-air reading </w:t>
      </w:r>
      <w:r>
        <w:rPr>
          <w:i/>
        </w:rPr>
        <w:t>D</w:t>
      </w:r>
      <w:r>
        <w:t xml:space="preserve"> = 4095 and saturated-soil reading </w:t>
      </w:r>
      <w:r>
        <w:rPr>
          <w:i/>
        </w:rPr>
        <w:t>W</w:t>
      </w:r>
      <w:r>
        <w:t xml:space="preserve"> = 30:</w:t>
      </w:r>
    </w:p>
    <w:tbl>
      <w:tblPr>
        <w:tblW w:type="auto" w:w="0"/>
        <w:jc w:val="center"/>
        <w:tblLayout w:type="fixed"/>
        <w:tblLook w:firstColumn="1" w:firstRow="1" w:lastColumn="0" w:lastRow="0" w:noHBand="0" w:noVBand="1" w:val="04A0"/>
      </w:tblPr>
      <w:tblGrid>
        <w:gridCol w:w="5155"/>
        <w:gridCol w:w="5155"/>
      </w:tblGrid>
      <w:tr>
        <w:tc>
          <w:tcPr>
            <w:tcW w:type="dxa" w:w="4320"/>
          </w:tcPr>
          <w:p>
            <w:pPr>
              <w:spacing w:before="60" w:after="60"/>
              <w:jc w:val="center"/>
            </w:pPr>
            <w:r>
              <w:drawing>
                <wp:inline xmlns:a="http://schemas.openxmlformats.org/drawingml/2006/main" xmlns:pic="http://schemas.openxmlformats.org/drawingml/2006/picture">
                  <wp:extent cx="2241331" cy="185440"/>
                  <wp:docPr id="3" name="Picture 3"/>
                  <wp:cNvGraphicFramePr>
                    <a:graphicFrameLocks noChangeAspect="1"/>
                  </wp:cNvGraphicFramePr>
                  <a:graphic>
                    <a:graphicData uri="http://schemas.openxmlformats.org/drawingml/2006/picture">
                      <pic:pic>
                        <pic:nvPicPr>
                          <pic:cNvPr id="0" name="3935258769203760864.png"/>
                          <pic:cNvPicPr/>
                        </pic:nvPicPr>
                        <pic:blipFill>
                          <a:blip r:embed="rId13"/>
                          <a:stretch>
                            <a:fillRect/>
                          </a:stretch>
                        </pic:blipFill>
                        <pic:spPr>
                          <a:xfrm>
                            <a:off x="0" y="0"/>
                            <a:ext cx="2241331" cy="185440"/>
                          </a:xfrm>
                          <a:prstGeom prst="rect"/>
                        </pic:spPr>
                      </pic:pic>
                    </a:graphicData>
                  </a:graphic>
                </wp:inline>
              </w:drawing>
            </w:r>
          </w:p>
        </w:tc>
        <w:tc>
          <w:tcPr>
            <w:tcW w:type="dxa" w:w="648"/>
          </w:tcPr>
          <w:p>
            <w:pPr>
              <w:jc w:val="right"/>
            </w:pPr>
            <w:r>
              <w:t>(1)</w:t>
            </w:r>
          </w:p>
        </w:tc>
      </w:tr>
    </w:tbl>
    <w:p>
      <w:pPr>
        <w:spacing w:after="0"/>
        <w:ind w:firstLine="216"/>
        <w:jc w:val="both"/>
      </w:pPr>
      <w:r>
        <w:t xml:space="preserve">Readings below </w:t>
      </w:r>
      <w:r>
        <w:rPr>
          <w:i/>
        </w:rPr>
        <w:t>r</w:t>
      </w:r>
      <w:r>
        <w:rPr>
          <w:vertAlign w:val="subscript"/>
        </w:rPr>
        <w:t>disc</w:t>
      </w:r>
      <w:r>
        <w:t xml:space="preserve"> = 10 are rejected as a disconnected probe instead of being converted, because an unplugged input floats to approximately zero, which (1) would otherwise map to above 100 % and be indistinguishable from flooded soil. The DHT11 is retried up to three times per tick, 2.2 s apart (beyond the library's 2 s cache window); on failure the node reports the last good reading rather than zeros. Soil temperature is a derived quantity (air temperature – 2.5 °C) and is labelled as such. The rain module cannot be health-checked: a floating input reads as “no rain”, which is fail-safe for watering only because rain merely </w:t>
      </w:r>
      <w:r>
        <w:rPr>
          <w:i/>
        </w:rPr>
        <w:t>inhibits</w:t>
      </w:r>
      <w:r>
        <w:t xml:space="preserve"> the pump.</w:t>
      </w:r>
    </w:p>
    <w:p>
      <w:pPr>
        <w:keepNext/>
        <w:spacing w:before="160" w:after="60"/>
      </w:pPr>
      <w:r>
        <w:rPr>
          <w:b/>
          <w:color w:val="1B3A6B"/>
          <w:sz w:val="19"/>
        </w:rPr>
        <w:t>V. FIRMWARE AND ON-NODE CONTROL</w:t>
      </w:r>
    </w:p>
    <w:p>
      <w:pPr>
        <w:keepNext/>
        <w:spacing w:before="100" w:after="40"/>
      </w:pPr>
      <w:r>
        <w:rPr>
          <w:b/>
          <w:color w:val="1B3A6B"/>
          <w:sz w:val="17"/>
        </w:rPr>
        <w:t>A. TASK SCHEDULE</w:t>
      </w:r>
    </w:p>
    <w:p>
      <w:pPr>
        <w:spacing w:after="0"/>
        <w:ind w:firstLine="216"/>
        <w:jc w:val="both"/>
      </w:pPr>
      <w:r>
        <w:t xml:space="preserve">The firmware (Arduino C++, version 3.1.0) runs a cooperative loop with four periodic tasks: telemetry upload every 10 s, heartbeat upsert to </w:t>
      </w:r>
      <w:r>
        <w:rPr>
          <w:i/>
        </w:rPr>
        <w:t>device_status</w:t>
      </w:r>
      <w:r>
        <w:t xml:space="preserve"> every 10 s, command polling every 5 s, and a pairing check every 30 s. The heartbeat carries per-sensor health flags so the backend can gate automation per sensor.</w:t>
      </w:r>
    </w:p>
    <w:p>
      <w:pPr>
        <w:keepNext/>
        <w:spacing w:before="100" w:after="40"/>
      </w:pPr>
      <w:r>
        <w:rPr>
          <w:b/>
          <w:color w:val="1B3A6B"/>
          <w:sz w:val="17"/>
        </w:rPr>
        <w:t>B. ORDERED IRRIGATION POLICY</w:t>
      </w:r>
    </w:p>
    <w:p>
      <w:pPr>
        <w:spacing w:after="0"/>
        <w:ind w:firstLine="216"/>
        <w:jc w:val="both"/>
      </w:pPr>
      <w:r>
        <w:t xml:space="preserve">Let </w:t>
      </w:r>
      <w:r>
        <w:rPr>
          <w:i/>
        </w:rPr>
        <w:t>m</w:t>
      </w:r>
      <w:r>
        <w:t xml:space="preserve"> be calibrated moisture, </w:t>
      </w:r>
      <w:r>
        <w:rPr>
          <w:i/>
        </w:rPr>
        <w:t>s</w:t>
      </w:r>
      <w:r>
        <w:t xml:space="preserve"> ∈ {0,1} probe health, </w:t>
      </w:r>
      <w:r>
        <w:rPr>
          <w:i/>
        </w:rPr>
        <w:t>ρ</w:t>
      </w:r>
      <w:r>
        <w:t xml:space="preserve"> ∈ {0,1} rain, </w:t>
      </w:r>
      <w:r>
        <w:rPr>
          <w:i/>
        </w:rPr>
        <w:t>u</w:t>
      </w:r>
      <w:r>
        <w:t xml:space="preserve"> ∈ {–1,0,+1} the pending manual command and </w:t>
      </w:r>
      <w:r>
        <w:rPr>
          <w:i/>
        </w:rPr>
        <w:t>p</w:t>
      </w:r>
      <w:r>
        <w:t xml:space="preserve"> the current pump state. Algorithm 1 is evaluated every 10 s; the first matching rule wins, so the three sensor interlocks always dominate operator intent: a manual </w:t>
      </w:r>
      <w:r>
        <w:rPr>
          <w:i/>
        </w:rPr>
        <w:t>run</w:t>
      </w:r>
      <w:r>
        <w:t xml:space="preserve"> cannot water through rain, wet soil or a failed probe.</w:t>
      </w:r>
    </w:p>
    <w:p>
      <w:pPr>
        <w:spacing w:after="0"/>
        <w:jc w:val="both"/>
      </w:pPr>
      <w:r>
        <w:rPr>
          <w:b/>
          <w:sz w:val="17"/>
        </w:rPr>
        <w:t>Algorithm 1: pumpShouldRun(m, s, ρ, p, u)</w:t>
      </w:r>
    </w:p>
    <w:tbl>
      <w:tblPr>
        <w:tblStyle w:val="TableGrid"/>
        <w:tblW w:type="auto" w:w="0"/>
        <w:tblLook w:firstColumn="1" w:firstRow="1" w:lastColumn="0" w:lastRow="0" w:noHBand="0" w:noVBand="1" w:val="04A0"/>
      </w:tblPr>
      <w:tblGrid>
        <w:gridCol w:w="10310"/>
      </w:tblGrid>
      <w:tr>
        <w:tc>
          <w:tcPr>
            <w:tcW w:type="dxa" w:w="10310"/>
            <w:shd w:val="clear" w:color="auto" w:fill="F6F8FA"/>
          </w:tcPr>
          <w:p>
            <w:r>
              <w:rPr>
                <w:rFonts w:ascii="Consolas" w:hAnsi="Consolas"/>
                <w:sz w:val="15"/>
              </w:rPr>
              <w:t xml:space="preserve"> 1: </w:t>
            </w:r>
            <w:r>
              <w:rPr>
                <w:rFonts w:ascii="Consolas" w:hAnsi="Consolas"/>
                <w:sz w:val="15"/>
              </w:rPr>
              <w:t>if s = 0     then return OFF  // failed probe</w:t>
            </w:r>
          </w:p>
          <w:p>
            <w:r>
              <w:rPr>
                <w:rFonts w:ascii="Consolas" w:hAnsi="Consolas"/>
                <w:sz w:val="15"/>
              </w:rPr>
              <w:t xml:space="preserve"> 2: </w:t>
            </w:r>
            <w:r>
              <w:rPr>
                <w:rFonts w:ascii="Consolas" w:hAnsi="Consolas"/>
                <w:sz w:val="15"/>
              </w:rPr>
              <w:t>if ρ = 1     then return OFF  // raining</w:t>
            </w:r>
          </w:p>
          <w:p>
            <w:r>
              <w:rPr>
                <w:rFonts w:ascii="Consolas" w:hAnsi="Consolas"/>
                <w:sz w:val="15"/>
              </w:rPr>
              <w:t xml:space="preserve"> 3: </w:t>
            </w:r>
            <w:r>
              <w:rPr>
                <w:rFonts w:ascii="Consolas" w:hAnsi="Consolas"/>
                <w:sz w:val="15"/>
              </w:rPr>
              <w:t>if m ≥ θ_wet then return OFF  // wet (70 %)</w:t>
            </w:r>
          </w:p>
          <w:p>
            <w:r>
              <w:rPr>
                <w:rFonts w:ascii="Consolas" w:hAnsi="Consolas"/>
                <w:sz w:val="15"/>
              </w:rPr>
              <w:t xml:space="preserve"> 4: </w:t>
            </w:r>
            <w:r>
              <w:rPr>
                <w:rFonts w:ascii="Consolas" w:hAnsi="Consolas"/>
                <w:sz w:val="15"/>
              </w:rPr>
              <w:t>if u = −1    then return OFF  // force stop</w:t>
            </w:r>
          </w:p>
          <w:p>
            <w:r>
              <w:rPr>
                <w:rFonts w:ascii="Consolas" w:hAnsi="Consolas"/>
                <w:sz w:val="15"/>
              </w:rPr>
              <w:t xml:space="preserve"> 5: </w:t>
            </w:r>
            <w:r>
              <w:rPr>
                <w:rFonts w:ascii="Consolas" w:hAnsi="Consolas"/>
                <w:sz w:val="15"/>
              </w:rPr>
              <w:t>if u = +1    then return ON   // manual run</w:t>
            </w:r>
          </w:p>
          <w:p>
            <w:r>
              <w:rPr>
                <w:rFonts w:ascii="Consolas" w:hAnsi="Consolas"/>
                <w:sz w:val="15"/>
              </w:rPr>
              <w:t xml:space="preserve"> 6: </w:t>
            </w:r>
            <w:r>
              <w:rPr>
                <w:rFonts w:ascii="Consolas" w:hAnsi="Consolas"/>
                <w:sz w:val="15"/>
              </w:rPr>
              <w:t>if m &lt; θ_dry then return ON   // dry (30 %)</w:t>
            </w:r>
          </w:p>
          <w:p>
            <w:r>
              <w:rPr>
                <w:rFonts w:ascii="Consolas" w:hAnsi="Consolas"/>
                <w:sz w:val="15"/>
              </w:rPr>
              <w:t xml:space="preserve"> 7: </w:t>
            </w:r>
            <w:r>
              <w:rPr>
                <w:rFonts w:ascii="Consolas" w:hAnsi="Consolas"/>
                <w:sz w:val="15"/>
              </w:rPr>
              <w:t>return p                      // band: hold</w:t>
            </w:r>
          </w:p>
        </w:tc>
      </w:tr>
    </w:tbl>
    <w:p>
      <w:pPr>
        <w:spacing w:after="80"/>
      </w:pPr>
    </w:p>
    <w:p>
      <w:pPr>
        <w:spacing w:after="0"/>
        <w:ind w:firstLine="216"/>
        <w:jc w:val="both"/>
      </w:pPr>
      <w:r>
        <w:t>The last rule implements the hysteresis band of Fig. 3, which prevents relay chatter when moisture hovers near a single threshold. Two hard limits bound delivery regardless of sensor state,</w:t>
      </w:r>
    </w:p>
    <w:tbl>
      <w:tblPr>
        <w:tblW w:type="auto" w:w="0"/>
        <w:jc w:val="center"/>
        <w:tblLayout w:type="fixed"/>
        <w:tblLook w:firstColumn="1" w:firstRow="1" w:lastColumn="0" w:lastRow="0" w:noHBand="0" w:noVBand="1" w:val="04A0"/>
      </w:tblPr>
      <w:tblGrid>
        <w:gridCol w:w="5155"/>
        <w:gridCol w:w="5155"/>
      </w:tblGrid>
      <w:tr>
        <w:tc>
          <w:tcPr>
            <w:tcW w:type="dxa" w:w="4320"/>
          </w:tcPr>
          <w:p>
            <w:pPr>
              <w:spacing w:before="60" w:after="60"/>
              <w:jc w:val="center"/>
            </w:pPr>
            <w:r>
              <w:drawing>
                <wp:inline xmlns:a="http://schemas.openxmlformats.org/drawingml/2006/main" xmlns:pic="http://schemas.openxmlformats.org/drawingml/2006/picture">
                  <wp:extent cx="1818741" cy="156911"/>
                  <wp:docPr id="4" name="Picture 4"/>
                  <wp:cNvGraphicFramePr>
                    <a:graphicFrameLocks noChangeAspect="1"/>
                  </wp:cNvGraphicFramePr>
                  <a:graphic>
                    <a:graphicData uri="http://schemas.openxmlformats.org/drawingml/2006/picture">
                      <pic:pic>
                        <pic:nvPicPr>
                          <pic:cNvPr id="0" name="1519323789594120923.png"/>
                          <pic:cNvPicPr/>
                        </pic:nvPicPr>
                        <pic:blipFill>
                          <a:blip r:embed="rId14"/>
                          <a:stretch>
                            <a:fillRect/>
                          </a:stretch>
                        </pic:blipFill>
                        <pic:spPr>
                          <a:xfrm>
                            <a:off x="0" y="0"/>
                            <a:ext cx="1818741" cy="156911"/>
                          </a:xfrm>
                          <a:prstGeom prst="rect"/>
                        </pic:spPr>
                      </pic:pic>
                    </a:graphicData>
                  </a:graphic>
                </wp:inline>
              </w:drawing>
            </w:r>
          </w:p>
        </w:tc>
        <w:tc>
          <w:tcPr>
            <w:tcW w:type="dxa" w:w="648"/>
          </w:tcPr>
          <w:p>
            <w:pPr>
              <w:jc w:val="right"/>
            </w:pPr>
            <w:r>
              <w:t>(2)</w:t>
            </w:r>
          </w:p>
        </w:tc>
      </w:tr>
    </w:tbl>
    <w:p>
      <w:pPr>
        <w:spacing w:after="0"/>
        <w:ind w:firstLine="216"/>
        <w:jc w:val="both"/>
      </w:pPr>
      <w:r>
        <w:t>so a mis-calibrated probe cannot cycle the pump indefinitely. A manual command expires after 10 min and control returns to the automatic rules.</w:t>
      </w:r>
    </w:p>
    <w:p>
      <w:pPr>
        <w:keepNext/>
        <w:spacing w:before="120"/>
        <w:jc w:val="center"/>
      </w:pPr>
      <w:r>
        <w:drawing>
          <wp:inline xmlns:a="http://schemas.openxmlformats.org/drawingml/2006/main" xmlns:pic="http://schemas.openxmlformats.org/drawingml/2006/picture">
            <wp:extent cx="3154680" cy="1784303"/>
            <wp:docPr id="5" name="Picture 5"/>
            <wp:cNvGraphicFramePr>
              <a:graphicFrameLocks noChangeAspect="1"/>
            </wp:cNvGraphicFramePr>
            <a:graphic>
              <a:graphicData uri="http://schemas.openxmlformats.org/drawingml/2006/picture">
                <pic:pic>
                  <pic:nvPicPr>
                    <pic:cNvPr id="0" name="fig_hysteresis.png"/>
                    <pic:cNvPicPr/>
                  </pic:nvPicPr>
                  <pic:blipFill>
                    <a:blip r:embed="rId15"/>
                    <a:stretch>
                      <a:fillRect/>
                    </a:stretch>
                  </pic:blipFill>
                  <pic:spPr>
                    <a:xfrm>
                      <a:off x="0" y="0"/>
                      <a:ext cx="3154680" cy="1784303"/>
                    </a:xfrm>
                    <a:prstGeom prst="rect"/>
                  </pic:spPr>
                </pic:pic>
              </a:graphicData>
            </a:graphic>
          </wp:inline>
        </w:drawing>
      </w:r>
    </w:p>
    <w:p>
      <w:pPr>
        <w:spacing w:after="160"/>
        <w:jc w:val="both"/>
      </w:pPr>
      <w:r>
        <w:rPr>
          <w:b/>
          <w:color w:val="1B3A6B"/>
          <w:sz w:val="16"/>
        </w:rPr>
        <w:t xml:space="preserve">FIGURE 3. </w:t>
      </w:r>
      <w:r>
        <w:rPr>
          <w:sz w:val="16"/>
        </w:rPr>
        <w:t>Hysteresis characteristic: between θ_dry = 30 % and θ_wet = 70 % the pump keeps its previous state.</w:t>
      </w:r>
    </w:p>
    <w:p>
      <w:pPr>
        <w:keepNext/>
        <w:spacing w:before="100" w:after="40"/>
      </w:pPr>
      <w:r>
        <w:rPr>
          <w:b/>
          <w:color w:val="1B3A6B"/>
          <w:sz w:val="17"/>
        </w:rPr>
        <w:t>C. BOOT-TIME SELF-TEST</w:t>
      </w:r>
    </w:p>
    <w:p>
      <w:pPr>
        <w:spacing w:after="0"/>
        <w:ind w:firstLine="216"/>
        <w:jc w:val="both"/>
      </w:pPr>
      <w:r>
        <w:t>Inverted comparisons or swapped thresholds would produce a pump that never stops, a fault that is costly to find in the field. The firmware therefore asserts Algorithm 1 against 11 hand-written cases at every boot with no hardware attached (Table 4). We additionally ported the function line-by-line to Python and verified the same 11 cases before using it in the simulation of Section X-D.</w:t>
      </w:r>
    </w:p>
    <w:p>
      <w:pPr>
        <w:keepNext/>
        <w:spacing w:before="120" w:after="60"/>
        <w:jc w:val="center"/>
      </w:pPr>
      <w:r>
        <w:rPr>
          <w:b/>
          <w:color w:val="1B3A6B"/>
          <w:sz w:val="16"/>
        </w:rPr>
        <w:t xml:space="preserve">TABLE 4. </w:t>
      </w:r>
      <w:r>
        <w:rPr>
          <w:sz w:val="16"/>
        </w:rPr>
        <w:t>Firmware boot self-test cases for Algorithm 1 (all 11 pass).</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gridCol w:w="1289"/>
      </w:tblGrid>
      <w:tr>
        <w:trPr>
          <w:cantSplit/>
        </w:trPr>
        <w:tc>
          <w:tcPr>
            <w:tcW w:type="dxa" w:w="323"/>
            <w:shd w:val="clear" w:color="auto" w:fill="1B3A6B"/>
          </w:tcPr>
          <w:p>
            <w:pPr>
              <w:keepNext/>
              <w:jc w:val="left"/>
            </w:pPr>
            <w:r>
              <w:rPr>
                <w:b/>
                <w:color w:val="FFFFFF"/>
                <w:sz w:val="14"/>
              </w:rPr>
              <w:t>#</w:t>
            </w:r>
          </w:p>
        </w:tc>
        <w:tc>
          <w:tcPr>
            <w:tcW w:type="dxa" w:w="516"/>
            <w:shd w:val="clear" w:color="auto" w:fill="1B3A6B"/>
          </w:tcPr>
          <w:p>
            <w:pPr>
              <w:keepNext/>
              <w:jc w:val="center"/>
            </w:pPr>
            <w:r>
              <w:rPr>
                <w:b/>
                <w:color w:val="FFFFFF"/>
                <w:sz w:val="14"/>
              </w:rPr>
              <w:t>m (%)</w:t>
            </w:r>
          </w:p>
        </w:tc>
        <w:tc>
          <w:tcPr>
            <w:tcW w:type="dxa" w:w="323"/>
            <w:shd w:val="clear" w:color="auto" w:fill="1B3A6B"/>
          </w:tcPr>
          <w:p>
            <w:pPr>
              <w:keepNext/>
              <w:jc w:val="center"/>
            </w:pPr>
            <w:r>
              <w:rPr>
                <w:b/>
                <w:color w:val="FFFFFF"/>
                <w:sz w:val="14"/>
              </w:rPr>
              <w:t>s</w:t>
            </w:r>
          </w:p>
        </w:tc>
        <w:tc>
          <w:tcPr>
            <w:tcW w:type="dxa" w:w="323"/>
            <w:shd w:val="clear" w:color="auto" w:fill="1B3A6B"/>
          </w:tcPr>
          <w:p>
            <w:pPr>
              <w:keepNext/>
              <w:jc w:val="center"/>
            </w:pPr>
            <w:r>
              <w:rPr>
                <w:b/>
                <w:color w:val="FFFFFF"/>
                <w:sz w:val="14"/>
              </w:rPr>
              <w:t>ρ</w:t>
            </w:r>
          </w:p>
        </w:tc>
        <w:tc>
          <w:tcPr>
            <w:tcW w:type="dxa" w:w="323"/>
            <w:shd w:val="clear" w:color="auto" w:fill="1B3A6B"/>
          </w:tcPr>
          <w:p>
            <w:pPr>
              <w:keepNext/>
              <w:jc w:val="center"/>
            </w:pPr>
            <w:r>
              <w:rPr>
                <w:b/>
                <w:color w:val="FFFFFF"/>
                <w:sz w:val="14"/>
              </w:rPr>
              <w:t>p</w:t>
            </w:r>
          </w:p>
        </w:tc>
        <w:tc>
          <w:tcPr>
            <w:tcW w:type="dxa" w:w="387"/>
            <w:shd w:val="clear" w:color="auto" w:fill="1B3A6B"/>
          </w:tcPr>
          <w:p>
            <w:pPr>
              <w:keepNext/>
              <w:jc w:val="center"/>
            </w:pPr>
            <w:r>
              <w:rPr>
                <w:b/>
                <w:color w:val="FFFFFF"/>
                <w:sz w:val="14"/>
              </w:rPr>
              <w:t>u</w:t>
            </w:r>
          </w:p>
        </w:tc>
        <w:tc>
          <w:tcPr>
            <w:tcW w:type="dxa" w:w="710"/>
            <w:shd w:val="clear" w:color="auto" w:fill="1B3A6B"/>
          </w:tcPr>
          <w:p>
            <w:pPr>
              <w:keepNext/>
              <w:jc w:val="center"/>
            </w:pPr>
            <w:r>
              <w:rPr>
                <w:b/>
                <w:color w:val="FFFFFF"/>
                <w:sz w:val="14"/>
              </w:rPr>
              <w:t>Expected</w:t>
            </w:r>
          </w:p>
        </w:tc>
        <w:tc>
          <w:tcPr>
            <w:tcW w:type="dxa" w:w="2065"/>
            <w:shd w:val="clear" w:color="auto" w:fill="1B3A6B"/>
          </w:tcPr>
          <w:p>
            <w:pPr>
              <w:keepNext/>
              <w:jc w:val="center"/>
            </w:pPr>
            <w:r>
              <w:rPr>
                <w:b/>
                <w:color w:val="FFFFFF"/>
                <w:sz w:val="14"/>
              </w:rPr>
              <w:t>Scenario</w:t>
            </w:r>
          </w:p>
        </w:tc>
      </w:tr>
      <w:tr>
        <w:trPr>
          <w:cantSplit/>
        </w:trPr>
        <w:tc>
          <w:tcPr>
            <w:tcW w:type="dxa" w:w="323"/>
          </w:tcPr>
          <w:p>
            <w:pPr>
              <w:keepNext/>
              <w:jc w:val="left"/>
            </w:pPr>
            <w:r>
              <w:rPr>
                <w:sz w:val="14"/>
              </w:rPr>
              <w:t>1</w:t>
            </w:r>
          </w:p>
        </w:tc>
        <w:tc>
          <w:tcPr>
            <w:tcW w:type="dxa" w:w="516"/>
          </w:tcPr>
          <w:p>
            <w:pPr>
              <w:keepNext/>
              <w:jc w:val="center"/>
            </w:pPr>
            <w:r>
              <w:rPr>
                <w:sz w:val="14"/>
              </w:rPr>
              <w:t>10</w:t>
            </w:r>
          </w:p>
        </w:tc>
        <w:tc>
          <w:tcPr>
            <w:tcW w:type="dxa" w:w="323"/>
          </w:tcPr>
          <w:p>
            <w:pPr>
              <w:keepNext/>
              <w:jc w:val="center"/>
            </w:pPr>
            <w:r>
              <w:rPr>
                <w:sz w:val="14"/>
              </w:rPr>
              <w:t>1</w:t>
            </w:r>
          </w:p>
        </w:tc>
        <w:tc>
          <w:tcPr>
            <w:tcW w:type="dxa" w:w="323"/>
          </w:tcPr>
          <w:p>
            <w:pPr>
              <w:keepNext/>
              <w:jc w:val="center"/>
            </w:pPr>
            <w:r>
              <w:rPr>
                <w:sz w:val="14"/>
              </w:rPr>
              <w:t>0</w:t>
            </w:r>
          </w:p>
        </w:tc>
        <w:tc>
          <w:tcPr>
            <w:tcW w:type="dxa" w:w="323"/>
          </w:tcPr>
          <w:p>
            <w:pPr>
              <w:keepNext/>
              <w:jc w:val="center"/>
            </w:pPr>
            <w:r>
              <w:rPr>
                <w:sz w:val="14"/>
              </w:rPr>
              <w:t>0</w:t>
            </w:r>
          </w:p>
        </w:tc>
        <w:tc>
          <w:tcPr>
            <w:tcW w:type="dxa" w:w="387"/>
          </w:tcPr>
          <w:p>
            <w:pPr>
              <w:keepNext/>
              <w:jc w:val="center"/>
            </w:pPr>
            <w:r>
              <w:rPr>
                <w:sz w:val="14"/>
              </w:rPr>
              <w:t>0</w:t>
            </w:r>
          </w:p>
        </w:tc>
        <w:tc>
          <w:tcPr>
            <w:tcW w:type="dxa" w:w="710"/>
          </w:tcPr>
          <w:p>
            <w:pPr>
              <w:keepNext/>
              <w:jc w:val="center"/>
            </w:pPr>
            <w:r>
              <w:rPr>
                <w:sz w:val="14"/>
              </w:rPr>
              <w:t>ON</w:t>
            </w:r>
          </w:p>
        </w:tc>
        <w:tc>
          <w:tcPr>
            <w:tcW w:type="dxa" w:w="2065"/>
          </w:tcPr>
          <w:p>
            <w:pPr>
              <w:keepNext/>
              <w:jc w:val="center"/>
            </w:pPr>
            <w:r>
              <w:rPr>
                <w:sz w:val="14"/>
              </w:rPr>
              <w:t>dry + idle → start</w:t>
            </w:r>
          </w:p>
        </w:tc>
      </w:tr>
      <w:tr>
        <w:trPr>
          <w:cantSplit/>
        </w:trPr>
        <w:tc>
          <w:tcPr>
            <w:tcW w:type="dxa" w:w="323"/>
            <w:shd w:val="clear" w:color="auto" w:fill="EDF1F6"/>
          </w:tcPr>
          <w:p>
            <w:pPr>
              <w:keepNext/>
              <w:jc w:val="left"/>
            </w:pPr>
            <w:r>
              <w:rPr>
                <w:sz w:val="14"/>
              </w:rPr>
              <w:t>2</w:t>
            </w:r>
          </w:p>
        </w:tc>
        <w:tc>
          <w:tcPr>
            <w:tcW w:type="dxa" w:w="516"/>
            <w:shd w:val="clear" w:color="auto" w:fill="EDF1F6"/>
          </w:tcPr>
          <w:p>
            <w:pPr>
              <w:keepNext/>
              <w:jc w:val="center"/>
            </w:pPr>
            <w:r>
              <w:rPr>
                <w:sz w:val="14"/>
              </w:rPr>
              <w:t>10</w:t>
            </w:r>
          </w:p>
        </w:tc>
        <w:tc>
          <w:tcPr>
            <w:tcW w:type="dxa" w:w="323"/>
            <w:shd w:val="clear" w:color="auto" w:fill="EDF1F6"/>
          </w:tcPr>
          <w:p>
            <w:pPr>
              <w:keepNext/>
              <w:jc w:val="center"/>
            </w:pPr>
            <w:r>
              <w:rPr>
                <w:sz w:val="14"/>
              </w:rPr>
              <w:t>1</w:t>
            </w:r>
          </w:p>
        </w:tc>
        <w:tc>
          <w:tcPr>
            <w:tcW w:type="dxa" w:w="323"/>
            <w:shd w:val="clear" w:color="auto" w:fill="EDF1F6"/>
          </w:tcPr>
          <w:p>
            <w:pPr>
              <w:keepNext/>
              <w:jc w:val="center"/>
            </w:pPr>
            <w:r>
              <w:rPr>
                <w:sz w:val="14"/>
              </w:rPr>
              <w:t>1</w:t>
            </w:r>
          </w:p>
        </w:tc>
        <w:tc>
          <w:tcPr>
            <w:tcW w:type="dxa" w:w="323"/>
            <w:shd w:val="clear" w:color="auto" w:fill="EDF1F6"/>
          </w:tcPr>
          <w:p>
            <w:pPr>
              <w:keepNext/>
              <w:jc w:val="center"/>
            </w:pPr>
            <w:r>
              <w:rPr>
                <w:sz w:val="14"/>
              </w:rPr>
              <w:t>0</w:t>
            </w:r>
          </w:p>
        </w:tc>
        <w:tc>
          <w:tcPr>
            <w:tcW w:type="dxa" w:w="387"/>
            <w:shd w:val="clear" w:color="auto" w:fill="EDF1F6"/>
          </w:tcPr>
          <w:p>
            <w:pPr>
              <w:keepNext/>
              <w:jc w:val="center"/>
            </w:pPr>
            <w:r>
              <w:rPr>
                <w:sz w:val="14"/>
              </w:rPr>
              <w:t>0</w:t>
            </w:r>
          </w:p>
        </w:tc>
        <w:tc>
          <w:tcPr>
            <w:tcW w:type="dxa" w:w="710"/>
            <w:shd w:val="clear" w:color="auto" w:fill="EDF1F6"/>
          </w:tcPr>
          <w:p>
            <w:pPr>
              <w:keepNext/>
              <w:jc w:val="center"/>
            </w:pPr>
            <w:r>
              <w:rPr>
                <w:sz w:val="14"/>
              </w:rPr>
              <w:t>OFF</w:t>
            </w:r>
          </w:p>
        </w:tc>
        <w:tc>
          <w:tcPr>
            <w:tcW w:type="dxa" w:w="2065"/>
            <w:shd w:val="clear" w:color="auto" w:fill="EDF1F6"/>
          </w:tcPr>
          <w:p>
            <w:pPr>
              <w:keepNext/>
              <w:jc w:val="center"/>
            </w:pPr>
            <w:r>
              <w:rPr>
                <w:sz w:val="14"/>
              </w:rPr>
              <w:t>dry but raining</w:t>
            </w:r>
          </w:p>
        </w:tc>
      </w:tr>
      <w:tr>
        <w:trPr>
          <w:cantSplit/>
        </w:trPr>
        <w:tc>
          <w:tcPr>
            <w:tcW w:type="dxa" w:w="323"/>
          </w:tcPr>
          <w:p>
            <w:pPr>
              <w:keepNext/>
              <w:jc w:val="left"/>
            </w:pPr>
            <w:r>
              <w:rPr>
                <w:sz w:val="14"/>
              </w:rPr>
              <w:t>3</w:t>
            </w:r>
          </w:p>
        </w:tc>
        <w:tc>
          <w:tcPr>
            <w:tcW w:type="dxa" w:w="516"/>
          </w:tcPr>
          <w:p>
            <w:pPr>
              <w:keepNext/>
              <w:jc w:val="center"/>
            </w:pPr>
            <w:r>
              <w:rPr>
                <w:sz w:val="14"/>
              </w:rPr>
              <w:t>10</w:t>
            </w:r>
          </w:p>
        </w:tc>
        <w:tc>
          <w:tcPr>
            <w:tcW w:type="dxa" w:w="323"/>
          </w:tcPr>
          <w:p>
            <w:pPr>
              <w:keepNext/>
              <w:jc w:val="center"/>
            </w:pPr>
            <w:r>
              <w:rPr>
                <w:sz w:val="14"/>
              </w:rPr>
              <w:t>0</w:t>
            </w:r>
          </w:p>
        </w:tc>
        <w:tc>
          <w:tcPr>
            <w:tcW w:type="dxa" w:w="323"/>
          </w:tcPr>
          <w:p>
            <w:pPr>
              <w:keepNext/>
              <w:jc w:val="center"/>
            </w:pPr>
            <w:r>
              <w:rPr>
                <w:sz w:val="14"/>
              </w:rPr>
              <w:t>0</w:t>
            </w:r>
          </w:p>
        </w:tc>
        <w:tc>
          <w:tcPr>
            <w:tcW w:type="dxa" w:w="323"/>
          </w:tcPr>
          <w:p>
            <w:pPr>
              <w:keepNext/>
              <w:jc w:val="center"/>
            </w:pPr>
            <w:r>
              <w:rPr>
                <w:sz w:val="14"/>
              </w:rPr>
              <w:t>1</w:t>
            </w:r>
          </w:p>
        </w:tc>
        <w:tc>
          <w:tcPr>
            <w:tcW w:type="dxa" w:w="387"/>
          </w:tcPr>
          <w:p>
            <w:pPr>
              <w:keepNext/>
              <w:jc w:val="center"/>
            </w:pPr>
            <w:r>
              <w:rPr>
                <w:sz w:val="14"/>
              </w:rPr>
              <w:t>0</w:t>
            </w:r>
          </w:p>
        </w:tc>
        <w:tc>
          <w:tcPr>
            <w:tcW w:type="dxa" w:w="710"/>
          </w:tcPr>
          <w:p>
            <w:pPr>
              <w:keepNext/>
              <w:jc w:val="center"/>
            </w:pPr>
            <w:r>
              <w:rPr>
                <w:sz w:val="14"/>
              </w:rPr>
              <w:t>OFF</w:t>
            </w:r>
          </w:p>
        </w:tc>
        <w:tc>
          <w:tcPr>
            <w:tcW w:type="dxa" w:w="2065"/>
          </w:tcPr>
          <w:p>
            <w:pPr>
              <w:keepNext/>
              <w:jc w:val="center"/>
            </w:pPr>
            <w:r>
              <w:rPr>
                <w:sz w:val="14"/>
              </w:rPr>
              <w:t>probe unplugged</w:t>
            </w:r>
          </w:p>
        </w:tc>
      </w:tr>
      <w:tr>
        <w:trPr>
          <w:cantSplit/>
        </w:trPr>
        <w:tc>
          <w:tcPr>
            <w:tcW w:type="dxa" w:w="323"/>
            <w:shd w:val="clear" w:color="auto" w:fill="EDF1F6"/>
          </w:tcPr>
          <w:p>
            <w:pPr>
              <w:keepNext/>
              <w:jc w:val="left"/>
            </w:pPr>
            <w:r>
              <w:rPr>
                <w:sz w:val="14"/>
              </w:rPr>
              <w:t>4</w:t>
            </w:r>
          </w:p>
        </w:tc>
        <w:tc>
          <w:tcPr>
            <w:tcW w:type="dxa" w:w="516"/>
            <w:shd w:val="clear" w:color="auto" w:fill="EDF1F6"/>
          </w:tcPr>
          <w:p>
            <w:pPr>
              <w:keepNext/>
              <w:jc w:val="center"/>
            </w:pPr>
            <w:r>
              <w:rPr>
                <w:sz w:val="14"/>
              </w:rPr>
              <w:t>45</w:t>
            </w:r>
          </w:p>
        </w:tc>
        <w:tc>
          <w:tcPr>
            <w:tcW w:type="dxa" w:w="323"/>
            <w:shd w:val="clear" w:color="auto" w:fill="EDF1F6"/>
          </w:tcPr>
          <w:p>
            <w:pPr>
              <w:keepNext/>
              <w:jc w:val="center"/>
            </w:pPr>
            <w:r>
              <w:rPr>
                <w:sz w:val="14"/>
              </w:rPr>
              <w:t>1</w:t>
            </w:r>
          </w:p>
        </w:tc>
        <w:tc>
          <w:tcPr>
            <w:tcW w:type="dxa" w:w="323"/>
            <w:shd w:val="clear" w:color="auto" w:fill="EDF1F6"/>
          </w:tcPr>
          <w:p>
            <w:pPr>
              <w:keepNext/>
              <w:jc w:val="center"/>
            </w:pPr>
            <w:r>
              <w:rPr>
                <w:sz w:val="14"/>
              </w:rPr>
              <w:t>0</w:t>
            </w:r>
          </w:p>
        </w:tc>
        <w:tc>
          <w:tcPr>
            <w:tcW w:type="dxa" w:w="323"/>
            <w:shd w:val="clear" w:color="auto" w:fill="EDF1F6"/>
          </w:tcPr>
          <w:p>
            <w:pPr>
              <w:keepNext/>
              <w:jc w:val="center"/>
            </w:pPr>
            <w:r>
              <w:rPr>
                <w:sz w:val="14"/>
              </w:rPr>
              <w:t>1</w:t>
            </w:r>
          </w:p>
        </w:tc>
        <w:tc>
          <w:tcPr>
            <w:tcW w:type="dxa" w:w="387"/>
            <w:shd w:val="clear" w:color="auto" w:fill="EDF1F6"/>
          </w:tcPr>
          <w:p>
            <w:pPr>
              <w:keepNext/>
              <w:jc w:val="center"/>
            </w:pPr>
            <w:r>
              <w:rPr>
                <w:sz w:val="14"/>
              </w:rPr>
              <w:t>0</w:t>
            </w:r>
          </w:p>
        </w:tc>
        <w:tc>
          <w:tcPr>
            <w:tcW w:type="dxa" w:w="710"/>
            <w:shd w:val="clear" w:color="auto" w:fill="EDF1F6"/>
          </w:tcPr>
          <w:p>
            <w:pPr>
              <w:keepNext/>
              <w:jc w:val="center"/>
            </w:pPr>
            <w:r>
              <w:rPr>
                <w:sz w:val="14"/>
              </w:rPr>
              <w:t>ON</w:t>
            </w:r>
          </w:p>
        </w:tc>
        <w:tc>
          <w:tcPr>
            <w:tcW w:type="dxa" w:w="2065"/>
            <w:shd w:val="clear" w:color="auto" w:fill="EDF1F6"/>
          </w:tcPr>
          <w:p>
            <w:pPr>
              <w:keepNext/>
              <w:jc w:val="center"/>
            </w:pPr>
            <w:r>
              <w:rPr>
                <w:sz w:val="14"/>
              </w:rPr>
              <w:t>in band, running → hold</w:t>
            </w:r>
          </w:p>
        </w:tc>
      </w:tr>
      <w:tr>
        <w:trPr>
          <w:cantSplit/>
        </w:trPr>
        <w:tc>
          <w:tcPr>
            <w:tcW w:type="dxa" w:w="323"/>
          </w:tcPr>
          <w:p>
            <w:pPr>
              <w:keepNext/>
              <w:jc w:val="left"/>
            </w:pPr>
            <w:r>
              <w:rPr>
                <w:sz w:val="14"/>
              </w:rPr>
              <w:t>5</w:t>
            </w:r>
          </w:p>
        </w:tc>
        <w:tc>
          <w:tcPr>
            <w:tcW w:type="dxa" w:w="516"/>
          </w:tcPr>
          <w:p>
            <w:pPr>
              <w:keepNext/>
              <w:jc w:val="center"/>
            </w:pPr>
            <w:r>
              <w:rPr>
                <w:sz w:val="14"/>
              </w:rPr>
              <w:t>45</w:t>
            </w:r>
          </w:p>
        </w:tc>
        <w:tc>
          <w:tcPr>
            <w:tcW w:type="dxa" w:w="323"/>
          </w:tcPr>
          <w:p>
            <w:pPr>
              <w:keepNext/>
              <w:jc w:val="center"/>
            </w:pPr>
            <w:r>
              <w:rPr>
                <w:sz w:val="14"/>
              </w:rPr>
              <w:t>1</w:t>
            </w:r>
          </w:p>
        </w:tc>
        <w:tc>
          <w:tcPr>
            <w:tcW w:type="dxa" w:w="323"/>
          </w:tcPr>
          <w:p>
            <w:pPr>
              <w:keepNext/>
              <w:jc w:val="center"/>
            </w:pPr>
            <w:r>
              <w:rPr>
                <w:sz w:val="14"/>
              </w:rPr>
              <w:t>0</w:t>
            </w:r>
          </w:p>
        </w:tc>
        <w:tc>
          <w:tcPr>
            <w:tcW w:type="dxa" w:w="323"/>
          </w:tcPr>
          <w:p>
            <w:pPr>
              <w:keepNext/>
              <w:jc w:val="center"/>
            </w:pPr>
            <w:r>
              <w:rPr>
                <w:sz w:val="14"/>
              </w:rPr>
              <w:t>0</w:t>
            </w:r>
          </w:p>
        </w:tc>
        <w:tc>
          <w:tcPr>
            <w:tcW w:type="dxa" w:w="387"/>
          </w:tcPr>
          <w:p>
            <w:pPr>
              <w:keepNext/>
              <w:jc w:val="center"/>
            </w:pPr>
            <w:r>
              <w:rPr>
                <w:sz w:val="14"/>
              </w:rPr>
              <w:t>0</w:t>
            </w:r>
          </w:p>
        </w:tc>
        <w:tc>
          <w:tcPr>
            <w:tcW w:type="dxa" w:w="710"/>
          </w:tcPr>
          <w:p>
            <w:pPr>
              <w:keepNext/>
              <w:jc w:val="center"/>
            </w:pPr>
            <w:r>
              <w:rPr>
                <w:sz w:val="14"/>
              </w:rPr>
              <w:t>OFF</w:t>
            </w:r>
          </w:p>
        </w:tc>
        <w:tc>
          <w:tcPr>
            <w:tcW w:type="dxa" w:w="2065"/>
          </w:tcPr>
          <w:p>
            <w:pPr>
              <w:keepNext/>
              <w:jc w:val="center"/>
            </w:pPr>
            <w:r>
              <w:rPr>
                <w:sz w:val="14"/>
              </w:rPr>
              <w:t>in band, idle → hold</w:t>
            </w:r>
          </w:p>
        </w:tc>
      </w:tr>
      <w:tr>
        <w:trPr>
          <w:cantSplit/>
        </w:trPr>
        <w:tc>
          <w:tcPr>
            <w:tcW w:type="dxa" w:w="323"/>
            <w:shd w:val="clear" w:color="auto" w:fill="EDF1F6"/>
          </w:tcPr>
          <w:p>
            <w:pPr>
              <w:keepNext/>
              <w:jc w:val="left"/>
            </w:pPr>
            <w:r>
              <w:rPr>
                <w:sz w:val="14"/>
              </w:rPr>
              <w:t>6</w:t>
            </w:r>
          </w:p>
        </w:tc>
        <w:tc>
          <w:tcPr>
            <w:tcW w:type="dxa" w:w="516"/>
            <w:shd w:val="clear" w:color="auto" w:fill="EDF1F6"/>
          </w:tcPr>
          <w:p>
            <w:pPr>
              <w:keepNext/>
              <w:jc w:val="center"/>
            </w:pPr>
            <w:r>
              <w:rPr>
                <w:sz w:val="14"/>
              </w:rPr>
              <w:t>80</w:t>
            </w:r>
          </w:p>
        </w:tc>
        <w:tc>
          <w:tcPr>
            <w:tcW w:type="dxa" w:w="323"/>
            <w:shd w:val="clear" w:color="auto" w:fill="EDF1F6"/>
          </w:tcPr>
          <w:p>
            <w:pPr>
              <w:keepNext/>
              <w:jc w:val="center"/>
            </w:pPr>
            <w:r>
              <w:rPr>
                <w:sz w:val="14"/>
              </w:rPr>
              <w:t>1</w:t>
            </w:r>
          </w:p>
        </w:tc>
        <w:tc>
          <w:tcPr>
            <w:tcW w:type="dxa" w:w="323"/>
            <w:shd w:val="clear" w:color="auto" w:fill="EDF1F6"/>
          </w:tcPr>
          <w:p>
            <w:pPr>
              <w:keepNext/>
              <w:jc w:val="center"/>
            </w:pPr>
            <w:r>
              <w:rPr>
                <w:sz w:val="14"/>
              </w:rPr>
              <w:t>0</w:t>
            </w:r>
          </w:p>
        </w:tc>
        <w:tc>
          <w:tcPr>
            <w:tcW w:type="dxa" w:w="323"/>
            <w:shd w:val="clear" w:color="auto" w:fill="EDF1F6"/>
          </w:tcPr>
          <w:p>
            <w:pPr>
              <w:keepNext/>
              <w:jc w:val="center"/>
            </w:pPr>
            <w:r>
              <w:rPr>
                <w:sz w:val="14"/>
              </w:rPr>
              <w:t>1</w:t>
            </w:r>
          </w:p>
        </w:tc>
        <w:tc>
          <w:tcPr>
            <w:tcW w:type="dxa" w:w="387"/>
            <w:shd w:val="clear" w:color="auto" w:fill="EDF1F6"/>
          </w:tcPr>
          <w:p>
            <w:pPr>
              <w:keepNext/>
              <w:jc w:val="center"/>
            </w:pPr>
            <w:r>
              <w:rPr>
                <w:sz w:val="14"/>
              </w:rPr>
              <w:t>0</w:t>
            </w:r>
          </w:p>
        </w:tc>
        <w:tc>
          <w:tcPr>
            <w:tcW w:type="dxa" w:w="710"/>
            <w:shd w:val="clear" w:color="auto" w:fill="EDF1F6"/>
          </w:tcPr>
          <w:p>
            <w:pPr>
              <w:keepNext/>
              <w:jc w:val="center"/>
            </w:pPr>
            <w:r>
              <w:rPr>
                <w:sz w:val="14"/>
              </w:rPr>
              <w:t>OFF</w:t>
            </w:r>
          </w:p>
        </w:tc>
        <w:tc>
          <w:tcPr>
            <w:tcW w:type="dxa" w:w="2065"/>
            <w:shd w:val="clear" w:color="auto" w:fill="EDF1F6"/>
          </w:tcPr>
          <w:p>
            <w:pPr>
              <w:keepNext/>
              <w:jc w:val="center"/>
            </w:pPr>
            <w:r>
              <w:rPr>
                <w:sz w:val="14"/>
              </w:rPr>
              <w:t>watered → stop</w:t>
            </w:r>
          </w:p>
        </w:tc>
      </w:tr>
      <w:tr>
        <w:trPr>
          <w:cantSplit/>
        </w:trPr>
        <w:tc>
          <w:tcPr>
            <w:tcW w:type="dxa" w:w="323"/>
          </w:tcPr>
          <w:p>
            <w:pPr>
              <w:keepNext/>
              <w:jc w:val="left"/>
            </w:pPr>
            <w:r>
              <w:rPr>
                <w:sz w:val="14"/>
              </w:rPr>
              <w:t>7</w:t>
            </w:r>
          </w:p>
        </w:tc>
        <w:tc>
          <w:tcPr>
            <w:tcW w:type="dxa" w:w="516"/>
          </w:tcPr>
          <w:p>
            <w:pPr>
              <w:keepNext/>
              <w:jc w:val="center"/>
            </w:pPr>
            <w:r>
              <w:rPr>
                <w:sz w:val="14"/>
              </w:rPr>
              <w:t>10</w:t>
            </w:r>
          </w:p>
        </w:tc>
        <w:tc>
          <w:tcPr>
            <w:tcW w:type="dxa" w:w="323"/>
          </w:tcPr>
          <w:p>
            <w:pPr>
              <w:keepNext/>
              <w:jc w:val="center"/>
            </w:pPr>
            <w:r>
              <w:rPr>
                <w:sz w:val="14"/>
              </w:rPr>
              <w:t>1</w:t>
            </w:r>
          </w:p>
        </w:tc>
        <w:tc>
          <w:tcPr>
            <w:tcW w:type="dxa" w:w="323"/>
          </w:tcPr>
          <w:p>
            <w:pPr>
              <w:keepNext/>
              <w:jc w:val="center"/>
            </w:pPr>
            <w:r>
              <w:rPr>
                <w:sz w:val="14"/>
              </w:rPr>
              <w:t>0</w:t>
            </w:r>
          </w:p>
        </w:tc>
        <w:tc>
          <w:tcPr>
            <w:tcW w:type="dxa" w:w="323"/>
          </w:tcPr>
          <w:p>
            <w:pPr>
              <w:keepNext/>
              <w:jc w:val="center"/>
            </w:pPr>
            <w:r>
              <w:rPr>
                <w:sz w:val="14"/>
              </w:rPr>
              <w:t>0</w:t>
            </w:r>
          </w:p>
        </w:tc>
        <w:tc>
          <w:tcPr>
            <w:tcW w:type="dxa" w:w="387"/>
          </w:tcPr>
          <w:p>
            <w:pPr>
              <w:keepNext/>
              <w:jc w:val="center"/>
            </w:pPr>
            <w:r>
              <w:rPr>
                <w:sz w:val="14"/>
              </w:rPr>
              <w:t>+1</w:t>
            </w:r>
          </w:p>
        </w:tc>
        <w:tc>
          <w:tcPr>
            <w:tcW w:type="dxa" w:w="710"/>
          </w:tcPr>
          <w:p>
            <w:pPr>
              <w:keepNext/>
              <w:jc w:val="center"/>
            </w:pPr>
            <w:r>
              <w:rPr>
                <w:sz w:val="14"/>
              </w:rPr>
              <w:t>ON</w:t>
            </w:r>
          </w:p>
        </w:tc>
        <w:tc>
          <w:tcPr>
            <w:tcW w:type="dxa" w:w="2065"/>
          </w:tcPr>
          <w:p>
            <w:pPr>
              <w:keepNext/>
              <w:jc w:val="center"/>
            </w:pPr>
            <w:r>
              <w:rPr>
                <w:sz w:val="14"/>
              </w:rPr>
              <w:t>manual ON, dry</w:t>
            </w:r>
          </w:p>
        </w:tc>
      </w:tr>
      <w:tr>
        <w:trPr>
          <w:cantSplit/>
        </w:trPr>
        <w:tc>
          <w:tcPr>
            <w:tcW w:type="dxa" w:w="323"/>
            <w:shd w:val="clear" w:color="auto" w:fill="EDF1F6"/>
          </w:tcPr>
          <w:p>
            <w:pPr>
              <w:keepNext/>
              <w:jc w:val="left"/>
            </w:pPr>
            <w:r>
              <w:rPr>
                <w:sz w:val="14"/>
              </w:rPr>
              <w:t>8</w:t>
            </w:r>
          </w:p>
        </w:tc>
        <w:tc>
          <w:tcPr>
            <w:tcW w:type="dxa" w:w="516"/>
            <w:shd w:val="clear" w:color="auto" w:fill="EDF1F6"/>
          </w:tcPr>
          <w:p>
            <w:pPr>
              <w:keepNext/>
              <w:jc w:val="center"/>
            </w:pPr>
            <w:r>
              <w:rPr>
                <w:sz w:val="14"/>
              </w:rPr>
              <w:t>10</w:t>
            </w:r>
          </w:p>
        </w:tc>
        <w:tc>
          <w:tcPr>
            <w:tcW w:type="dxa" w:w="323"/>
            <w:shd w:val="clear" w:color="auto" w:fill="EDF1F6"/>
          </w:tcPr>
          <w:p>
            <w:pPr>
              <w:keepNext/>
              <w:jc w:val="center"/>
            </w:pPr>
            <w:r>
              <w:rPr>
                <w:sz w:val="14"/>
              </w:rPr>
              <w:t>1</w:t>
            </w:r>
          </w:p>
        </w:tc>
        <w:tc>
          <w:tcPr>
            <w:tcW w:type="dxa" w:w="323"/>
            <w:shd w:val="clear" w:color="auto" w:fill="EDF1F6"/>
          </w:tcPr>
          <w:p>
            <w:pPr>
              <w:keepNext/>
              <w:jc w:val="center"/>
            </w:pPr>
            <w:r>
              <w:rPr>
                <w:sz w:val="14"/>
              </w:rPr>
              <w:t>1</w:t>
            </w:r>
          </w:p>
        </w:tc>
        <w:tc>
          <w:tcPr>
            <w:tcW w:type="dxa" w:w="323"/>
            <w:shd w:val="clear" w:color="auto" w:fill="EDF1F6"/>
          </w:tcPr>
          <w:p>
            <w:pPr>
              <w:keepNext/>
              <w:jc w:val="center"/>
            </w:pPr>
            <w:r>
              <w:rPr>
                <w:sz w:val="14"/>
              </w:rPr>
              <w:t>1</w:t>
            </w:r>
          </w:p>
        </w:tc>
        <w:tc>
          <w:tcPr>
            <w:tcW w:type="dxa" w:w="387"/>
            <w:shd w:val="clear" w:color="auto" w:fill="EDF1F6"/>
          </w:tcPr>
          <w:p>
            <w:pPr>
              <w:keepNext/>
              <w:jc w:val="center"/>
            </w:pPr>
            <w:r>
              <w:rPr>
                <w:sz w:val="14"/>
              </w:rPr>
              <w:t>+1</w:t>
            </w:r>
          </w:p>
        </w:tc>
        <w:tc>
          <w:tcPr>
            <w:tcW w:type="dxa" w:w="710"/>
            <w:shd w:val="clear" w:color="auto" w:fill="EDF1F6"/>
          </w:tcPr>
          <w:p>
            <w:pPr>
              <w:keepNext/>
              <w:jc w:val="center"/>
            </w:pPr>
            <w:r>
              <w:rPr>
                <w:sz w:val="14"/>
              </w:rPr>
              <w:t>OFF</w:t>
            </w:r>
          </w:p>
        </w:tc>
        <w:tc>
          <w:tcPr>
            <w:tcW w:type="dxa" w:w="2065"/>
            <w:shd w:val="clear" w:color="auto" w:fill="EDF1F6"/>
          </w:tcPr>
          <w:p>
            <w:pPr>
              <w:keepNext/>
              <w:jc w:val="center"/>
            </w:pPr>
            <w:r>
              <w:rPr>
                <w:sz w:val="14"/>
              </w:rPr>
              <w:t>rain beats manual ON</w:t>
            </w:r>
          </w:p>
        </w:tc>
      </w:tr>
      <w:tr>
        <w:trPr>
          <w:cantSplit/>
        </w:trPr>
        <w:tc>
          <w:tcPr>
            <w:tcW w:type="dxa" w:w="323"/>
          </w:tcPr>
          <w:p>
            <w:pPr>
              <w:keepNext/>
              <w:jc w:val="left"/>
            </w:pPr>
            <w:r>
              <w:rPr>
                <w:sz w:val="14"/>
              </w:rPr>
              <w:t>9</w:t>
            </w:r>
          </w:p>
        </w:tc>
        <w:tc>
          <w:tcPr>
            <w:tcW w:type="dxa" w:w="516"/>
          </w:tcPr>
          <w:p>
            <w:pPr>
              <w:keepNext/>
              <w:jc w:val="center"/>
            </w:pPr>
            <w:r>
              <w:rPr>
                <w:sz w:val="14"/>
              </w:rPr>
              <w:t>90</w:t>
            </w:r>
          </w:p>
        </w:tc>
        <w:tc>
          <w:tcPr>
            <w:tcW w:type="dxa" w:w="323"/>
          </w:tcPr>
          <w:p>
            <w:pPr>
              <w:keepNext/>
              <w:jc w:val="center"/>
            </w:pPr>
            <w:r>
              <w:rPr>
                <w:sz w:val="14"/>
              </w:rPr>
              <w:t>1</w:t>
            </w:r>
          </w:p>
        </w:tc>
        <w:tc>
          <w:tcPr>
            <w:tcW w:type="dxa" w:w="323"/>
          </w:tcPr>
          <w:p>
            <w:pPr>
              <w:keepNext/>
              <w:jc w:val="center"/>
            </w:pPr>
            <w:r>
              <w:rPr>
                <w:sz w:val="14"/>
              </w:rPr>
              <w:t>0</w:t>
            </w:r>
          </w:p>
        </w:tc>
        <w:tc>
          <w:tcPr>
            <w:tcW w:type="dxa" w:w="323"/>
          </w:tcPr>
          <w:p>
            <w:pPr>
              <w:keepNext/>
              <w:jc w:val="center"/>
            </w:pPr>
            <w:r>
              <w:rPr>
                <w:sz w:val="14"/>
              </w:rPr>
              <w:t>1</w:t>
            </w:r>
          </w:p>
        </w:tc>
        <w:tc>
          <w:tcPr>
            <w:tcW w:type="dxa" w:w="387"/>
          </w:tcPr>
          <w:p>
            <w:pPr>
              <w:keepNext/>
              <w:jc w:val="center"/>
            </w:pPr>
            <w:r>
              <w:rPr>
                <w:sz w:val="14"/>
              </w:rPr>
              <w:t>+1</w:t>
            </w:r>
          </w:p>
        </w:tc>
        <w:tc>
          <w:tcPr>
            <w:tcW w:type="dxa" w:w="710"/>
          </w:tcPr>
          <w:p>
            <w:pPr>
              <w:keepNext/>
              <w:jc w:val="center"/>
            </w:pPr>
            <w:r>
              <w:rPr>
                <w:sz w:val="14"/>
              </w:rPr>
              <w:t>OFF</w:t>
            </w:r>
          </w:p>
        </w:tc>
        <w:tc>
          <w:tcPr>
            <w:tcW w:type="dxa" w:w="2065"/>
          </w:tcPr>
          <w:p>
            <w:pPr>
              <w:keepNext/>
              <w:jc w:val="center"/>
            </w:pPr>
            <w:r>
              <w:rPr>
                <w:sz w:val="14"/>
              </w:rPr>
              <w:t>wet beats manual ON</w:t>
            </w:r>
          </w:p>
        </w:tc>
      </w:tr>
      <w:tr>
        <w:trPr>
          <w:cantSplit/>
        </w:trPr>
        <w:tc>
          <w:tcPr>
            <w:tcW w:type="dxa" w:w="323"/>
            <w:shd w:val="clear" w:color="auto" w:fill="EDF1F6"/>
          </w:tcPr>
          <w:p>
            <w:pPr>
              <w:keepNext/>
              <w:jc w:val="left"/>
            </w:pPr>
            <w:r>
              <w:rPr>
                <w:sz w:val="14"/>
              </w:rPr>
              <w:t>10</w:t>
            </w:r>
          </w:p>
        </w:tc>
        <w:tc>
          <w:tcPr>
            <w:tcW w:type="dxa" w:w="516"/>
            <w:shd w:val="clear" w:color="auto" w:fill="EDF1F6"/>
          </w:tcPr>
          <w:p>
            <w:pPr>
              <w:keepNext/>
              <w:jc w:val="center"/>
            </w:pPr>
            <w:r>
              <w:rPr>
                <w:sz w:val="14"/>
              </w:rPr>
              <w:t>10</w:t>
            </w:r>
          </w:p>
        </w:tc>
        <w:tc>
          <w:tcPr>
            <w:tcW w:type="dxa" w:w="323"/>
            <w:shd w:val="clear" w:color="auto" w:fill="EDF1F6"/>
          </w:tcPr>
          <w:p>
            <w:pPr>
              <w:keepNext/>
              <w:jc w:val="center"/>
            </w:pPr>
            <w:r>
              <w:rPr>
                <w:sz w:val="14"/>
              </w:rPr>
              <w:t>1</w:t>
            </w:r>
          </w:p>
        </w:tc>
        <w:tc>
          <w:tcPr>
            <w:tcW w:type="dxa" w:w="323"/>
            <w:shd w:val="clear" w:color="auto" w:fill="EDF1F6"/>
          </w:tcPr>
          <w:p>
            <w:pPr>
              <w:keepNext/>
              <w:jc w:val="center"/>
            </w:pPr>
            <w:r>
              <w:rPr>
                <w:sz w:val="14"/>
              </w:rPr>
              <w:t>0</w:t>
            </w:r>
          </w:p>
        </w:tc>
        <w:tc>
          <w:tcPr>
            <w:tcW w:type="dxa" w:w="323"/>
            <w:shd w:val="clear" w:color="auto" w:fill="EDF1F6"/>
          </w:tcPr>
          <w:p>
            <w:pPr>
              <w:keepNext/>
              <w:jc w:val="center"/>
            </w:pPr>
            <w:r>
              <w:rPr>
                <w:sz w:val="14"/>
              </w:rPr>
              <w:t>1</w:t>
            </w:r>
          </w:p>
        </w:tc>
        <w:tc>
          <w:tcPr>
            <w:tcW w:type="dxa" w:w="387"/>
            <w:shd w:val="clear" w:color="auto" w:fill="EDF1F6"/>
          </w:tcPr>
          <w:p>
            <w:pPr>
              <w:keepNext/>
              <w:jc w:val="center"/>
            </w:pPr>
            <w:r>
              <w:rPr>
                <w:sz w:val="14"/>
              </w:rPr>
              <w:t>−1</w:t>
            </w:r>
          </w:p>
        </w:tc>
        <w:tc>
          <w:tcPr>
            <w:tcW w:type="dxa" w:w="710"/>
            <w:shd w:val="clear" w:color="auto" w:fill="EDF1F6"/>
          </w:tcPr>
          <w:p>
            <w:pPr>
              <w:keepNext/>
              <w:jc w:val="center"/>
            </w:pPr>
            <w:r>
              <w:rPr>
                <w:sz w:val="14"/>
              </w:rPr>
              <w:t>OFF</w:t>
            </w:r>
          </w:p>
        </w:tc>
        <w:tc>
          <w:tcPr>
            <w:tcW w:type="dxa" w:w="2065"/>
            <w:shd w:val="clear" w:color="auto" w:fill="EDF1F6"/>
          </w:tcPr>
          <w:p>
            <w:pPr>
              <w:keepNext/>
              <w:jc w:val="center"/>
            </w:pPr>
            <w:r>
              <w:rPr>
                <w:sz w:val="14"/>
              </w:rPr>
              <w:t>manual OFF on dry soil</w:t>
            </w:r>
          </w:p>
        </w:tc>
      </w:tr>
      <w:tr>
        <w:trPr>
          <w:cantSplit/>
        </w:trPr>
        <w:tc>
          <w:tcPr>
            <w:tcW w:type="dxa" w:w="323"/>
          </w:tcPr>
          <w:p>
            <w:pPr>
              <w:jc w:val="left"/>
            </w:pPr>
            <w:r>
              <w:rPr>
                <w:sz w:val="14"/>
              </w:rPr>
              <w:t>11</w:t>
            </w:r>
          </w:p>
        </w:tc>
        <w:tc>
          <w:tcPr>
            <w:tcW w:type="dxa" w:w="516"/>
          </w:tcPr>
          <w:p>
            <w:pPr>
              <w:jc w:val="center"/>
            </w:pPr>
            <w:r>
              <w:rPr>
                <w:sz w:val="14"/>
              </w:rPr>
              <w:t>10</w:t>
            </w:r>
          </w:p>
        </w:tc>
        <w:tc>
          <w:tcPr>
            <w:tcW w:type="dxa" w:w="323"/>
          </w:tcPr>
          <w:p>
            <w:pPr>
              <w:jc w:val="center"/>
            </w:pPr>
            <w:r>
              <w:rPr>
                <w:sz w:val="14"/>
              </w:rPr>
              <w:t>0</w:t>
            </w:r>
          </w:p>
        </w:tc>
        <w:tc>
          <w:tcPr>
            <w:tcW w:type="dxa" w:w="323"/>
          </w:tcPr>
          <w:p>
            <w:pPr>
              <w:jc w:val="center"/>
            </w:pPr>
            <w:r>
              <w:rPr>
                <w:sz w:val="14"/>
              </w:rPr>
              <w:t>0</w:t>
            </w:r>
          </w:p>
        </w:tc>
        <w:tc>
          <w:tcPr>
            <w:tcW w:type="dxa" w:w="323"/>
          </w:tcPr>
          <w:p>
            <w:pPr>
              <w:jc w:val="center"/>
            </w:pPr>
            <w:r>
              <w:rPr>
                <w:sz w:val="14"/>
              </w:rPr>
              <w:t>1</w:t>
            </w:r>
          </w:p>
        </w:tc>
        <w:tc>
          <w:tcPr>
            <w:tcW w:type="dxa" w:w="387"/>
          </w:tcPr>
          <w:p>
            <w:pPr>
              <w:jc w:val="center"/>
            </w:pPr>
            <w:r>
              <w:rPr>
                <w:sz w:val="14"/>
              </w:rPr>
              <w:t>+1</w:t>
            </w:r>
          </w:p>
        </w:tc>
        <w:tc>
          <w:tcPr>
            <w:tcW w:type="dxa" w:w="710"/>
          </w:tcPr>
          <w:p>
            <w:pPr>
              <w:jc w:val="center"/>
            </w:pPr>
            <w:r>
              <w:rPr>
                <w:sz w:val="14"/>
              </w:rPr>
              <w:t>OFF</w:t>
            </w:r>
          </w:p>
        </w:tc>
        <w:tc>
          <w:tcPr>
            <w:tcW w:type="dxa" w:w="2065"/>
          </w:tcPr>
          <w:p>
            <w:pPr>
              <w:jc w:val="center"/>
            </w:pPr>
            <w:r>
              <w:rPr>
                <w:sz w:val="14"/>
              </w:rPr>
              <w:t>unplugged beats manual ON</w:t>
            </w:r>
          </w:p>
        </w:tc>
      </w:tr>
    </w:tbl>
    <w:p>
      <w:pPr>
        <w:spacing w:after="120"/>
      </w:pPr>
    </w:p>
    <w:p>
      <w:pPr>
        <w:keepNext/>
        <w:spacing w:before="160" w:after="60"/>
      </w:pPr>
      <w:r>
        <w:rPr>
          <w:b/>
          <w:color w:val="1B3A6B"/>
          <w:sz w:val="19"/>
        </w:rPr>
        <w:t>VI. CLOUD BACKEND</w:t>
      </w:r>
    </w:p>
    <w:p>
      <w:pPr>
        <w:keepNext/>
        <w:spacing w:before="100" w:after="40"/>
      </w:pPr>
      <w:r>
        <w:rPr>
          <w:b/>
          <w:color w:val="1B3A6B"/>
          <w:sz w:val="17"/>
        </w:rPr>
        <w:t>A. SUPERVISORY AUTOMATION ENGINE</w:t>
      </w:r>
    </w:p>
    <w:p>
      <w:pPr>
        <w:spacing w:after="0"/>
        <w:ind w:firstLine="216"/>
        <w:jc w:val="both"/>
      </w:pPr>
      <w:r>
        <w:t xml:space="preserve">The backend runs an asynchronous loop every 10 s over all devices whose automation mode is not NONE. The engine is stateless: mode, thresholds and pump state are re-read from </w:t>
      </w:r>
      <w:r>
        <w:rPr>
          <w:i/>
        </w:rPr>
        <w:t>device_config</w:t>
      </w:r>
      <w:r>
        <w:t xml:space="preserve"> on each tick, so a restart loses nothing. Before evaluating a mode, a safety gate blocks automation and queues PUMP_OFF if the device is offline or (in moisture mode) the data are stale or the soil probe reports a fault, with</w:t>
      </w:r>
    </w:p>
    <w:tbl>
      <w:tblPr>
        <w:tblW w:type="auto" w:w="0"/>
        <w:jc w:val="center"/>
        <w:tblLayout w:type="fixed"/>
        <w:tblLook w:firstColumn="1" w:firstRow="1" w:lastColumn="0" w:lastRow="0" w:noHBand="0" w:noVBand="1" w:val="04A0"/>
      </w:tblPr>
      <w:tblGrid>
        <w:gridCol w:w="5155"/>
        <w:gridCol w:w="5155"/>
      </w:tblGrid>
      <w:tr>
        <w:tc>
          <w:tcPr>
            <w:tcW w:type="dxa" w:w="4320"/>
          </w:tcPr>
          <w:p>
            <w:pPr>
              <w:spacing w:before="60" w:after="60"/>
              <w:jc w:val="center"/>
            </w:pPr>
            <w:r>
              <w:drawing>
                <wp:inline xmlns:a="http://schemas.openxmlformats.org/drawingml/2006/main" xmlns:pic="http://schemas.openxmlformats.org/drawingml/2006/picture">
                  <wp:extent cx="2606040" cy="145483"/>
                  <wp:docPr id="6" name="Picture 6"/>
                  <wp:cNvGraphicFramePr>
                    <a:graphicFrameLocks noChangeAspect="1"/>
                  </wp:cNvGraphicFramePr>
                  <a:graphic>
                    <a:graphicData uri="http://schemas.openxmlformats.org/drawingml/2006/picture">
                      <pic:pic>
                        <pic:nvPicPr>
                          <pic:cNvPr id="0" name="7843312649960451734.png"/>
                          <pic:cNvPicPr/>
                        </pic:nvPicPr>
                        <pic:blipFill>
                          <a:blip r:embed="rId16"/>
                          <a:stretch>
                            <a:fillRect/>
                          </a:stretch>
                        </pic:blipFill>
                        <pic:spPr>
                          <a:xfrm>
                            <a:off x="0" y="0"/>
                            <a:ext cx="2606040" cy="145483"/>
                          </a:xfrm>
                          <a:prstGeom prst="rect"/>
                        </pic:spPr>
                      </pic:pic>
                    </a:graphicData>
                  </a:graphic>
                </wp:inline>
              </w:drawing>
            </w:r>
          </w:p>
        </w:tc>
        <w:tc>
          <w:tcPr>
            <w:tcW w:type="dxa" w:w="648"/>
          </w:tcPr>
          <w:p>
            <w:pPr>
              <w:jc w:val="right"/>
            </w:pPr>
            <w:r>
              <w:t>(3)</w:t>
            </w:r>
          </w:p>
        </w:tc>
      </w:tr>
    </w:tbl>
    <w:p>
      <w:pPr>
        <w:spacing w:after="0"/>
        <w:ind w:firstLine="216"/>
        <w:jc w:val="both"/>
      </w:pPr>
      <w:r>
        <w:t xml:space="preserve">The gate is per mode: timer mode reads no sensor, so a failed DHT11 must not disable it. Two modes are offered. </w:t>
      </w:r>
      <w:r>
        <w:rPr>
          <w:b/>
        </w:rPr>
        <w:t>Moisture mode</w:t>
      </w:r>
      <w:r>
        <w:t xml:space="preserve"> starts the pump when soil is below a user start threshold and it is not raining, stops it at a stop threshold, and enforces a configurable maximum runtime (default 20 min). </w:t>
      </w:r>
      <w:r>
        <w:rPr>
          <w:b/>
        </w:rPr>
        <w:t>Timer mode</w:t>
      </w:r>
      <w:r>
        <w:t xml:space="preserve"> runs the pump within user-defined windows (start time, duration, weekdays), pausing during rain; it is also the fixed-schedule control arm for a future metered trial. Commands are only </w:t>
      </w:r>
      <w:r>
        <w:rPr>
          <w:i/>
        </w:rPr>
        <w:t>queued</w:t>
      </w:r>
      <w:r>
        <w:t xml:space="preserve"> in </w:t>
      </w:r>
      <w:r>
        <w:rPr>
          <w:i/>
        </w:rPr>
        <w:t>device_commands</w:t>
      </w:r>
      <w:r>
        <w:t>; the firmware treats them as manual requests subject to Algorithm 1, so the cloud can never override the on-node interlocks.</w:t>
      </w:r>
    </w:p>
    <w:p>
      <w:pPr>
        <w:keepNext/>
        <w:spacing w:before="100" w:after="40"/>
      </w:pPr>
      <w:r>
        <w:rPr>
          <w:b/>
          <w:color w:val="1B3A6B"/>
          <w:sz w:val="17"/>
        </w:rPr>
        <w:t>B. API SURFACE AND SECURITY</w:t>
      </w:r>
    </w:p>
    <w:p>
      <w:pPr>
        <w:keepNext/>
        <w:spacing w:before="120" w:after="60"/>
        <w:jc w:val="center"/>
      </w:pPr>
      <w:r>
        <w:rPr>
          <w:b/>
          <w:color w:val="1B3A6B"/>
          <w:sz w:val="16"/>
        </w:rPr>
        <w:t xml:space="preserve">TABLE 5. </w:t>
      </w:r>
      <w:r>
        <w:rPr>
          <w:sz w:val="16"/>
        </w:rPr>
        <w:t>Backend REST endpoints.</w:t>
      </w:r>
    </w:p>
    <w:tbl>
      <w:tblPr>
        <w:tblStyle w:val="TableGrid"/>
        <w:tblW w:type="auto" w:w="0"/>
        <w:jc w:val="center"/>
        <w:tblLook w:firstColumn="1" w:firstRow="1" w:lastColumn="0" w:lastRow="0" w:noHBand="0" w:noVBand="1" w:val="04A0"/>
      </w:tblPr>
      <w:tblGrid>
        <w:gridCol w:w="3437"/>
        <w:gridCol w:w="3437"/>
        <w:gridCol w:w="3437"/>
      </w:tblGrid>
      <w:tr>
        <w:trPr>
          <w:cantSplit/>
        </w:trPr>
        <w:tc>
          <w:tcPr>
            <w:tcW w:type="dxa" w:w="2088"/>
            <w:shd w:val="clear" w:color="auto" w:fill="1B3A6B"/>
          </w:tcPr>
          <w:p>
            <w:pPr>
              <w:keepNext/>
              <w:jc w:val="left"/>
            </w:pPr>
            <w:r>
              <w:rPr>
                <w:b/>
                <w:color w:val="FFFFFF"/>
                <w:sz w:val="14"/>
              </w:rPr>
              <w:t>Endpoint</w:t>
            </w:r>
          </w:p>
        </w:tc>
        <w:tc>
          <w:tcPr>
            <w:tcW w:type="dxa" w:w="2016"/>
            <w:shd w:val="clear" w:color="auto" w:fill="1B3A6B"/>
          </w:tcPr>
          <w:p>
            <w:pPr>
              <w:keepNext/>
              <w:jc w:val="center"/>
            </w:pPr>
            <w:r>
              <w:rPr>
                <w:b/>
                <w:color w:val="FFFFFF"/>
                <w:sz w:val="14"/>
              </w:rPr>
              <w:t>Function</w:t>
            </w:r>
          </w:p>
        </w:tc>
        <w:tc>
          <w:tcPr>
            <w:tcW w:type="dxa" w:w="864"/>
            <w:shd w:val="clear" w:color="auto" w:fill="1B3A6B"/>
          </w:tcPr>
          <w:p>
            <w:pPr>
              <w:keepNext/>
              <w:jc w:val="center"/>
            </w:pPr>
            <w:r>
              <w:rPr>
                <w:b/>
                <w:color w:val="FFFFFF"/>
                <w:sz w:val="14"/>
              </w:rPr>
              <w:t>Auth</w:t>
            </w:r>
          </w:p>
        </w:tc>
      </w:tr>
      <w:tr>
        <w:trPr>
          <w:cantSplit/>
        </w:trPr>
        <w:tc>
          <w:tcPr>
            <w:tcW w:type="dxa" w:w="2088"/>
          </w:tcPr>
          <w:p>
            <w:pPr>
              <w:keepNext/>
              <w:jc w:val="left"/>
            </w:pPr>
            <w:r>
              <w:rPr>
                <w:sz w:val="14"/>
              </w:rPr>
              <w:t>POST /api/command</w:t>
            </w:r>
          </w:p>
        </w:tc>
        <w:tc>
          <w:tcPr>
            <w:tcW w:type="dxa" w:w="2016"/>
          </w:tcPr>
          <w:p>
            <w:pPr>
              <w:keepNext/>
              <w:jc w:val="center"/>
            </w:pPr>
            <w:r>
              <w:rPr>
                <w:sz w:val="14"/>
              </w:rPr>
              <w:t>Manual pump ON/OFF, force stop</w:t>
            </w:r>
          </w:p>
        </w:tc>
        <w:tc>
          <w:tcPr>
            <w:tcW w:type="dxa" w:w="864"/>
          </w:tcPr>
          <w:p>
            <w:pPr>
              <w:keepNext/>
              <w:jc w:val="center"/>
            </w:pPr>
            <w:r>
              <w:rPr>
                <w:sz w:val="14"/>
              </w:rPr>
              <w:t>JWT</w:t>
            </w:r>
          </w:p>
        </w:tc>
      </w:tr>
      <w:tr>
        <w:trPr>
          <w:cantSplit/>
        </w:trPr>
        <w:tc>
          <w:tcPr>
            <w:tcW w:type="dxa" w:w="2088"/>
            <w:shd w:val="clear" w:color="auto" w:fill="EDF1F6"/>
          </w:tcPr>
          <w:p>
            <w:pPr>
              <w:keepNext/>
              <w:jc w:val="left"/>
            </w:pPr>
            <w:r>
              <w:rPr>
                <w:sz w:val="14"/>
              </w:rPr>
              <w:t>POST /api/automation/mode</w:t>
            </w:r>
          </w:p>
        </w:tc>
        <w:tc>
          <w:tcPr>
            <w:tcW w:type="dxa" w:w="2016"/>
            <w:shd w:val="clear" w:color="auto" w:fill="EDF1F6"/>
          </w:tcPr>
          <w:p>
            <w:pPr>
              <w:keepNext/>
              <w:jc w:val="center"/>
            </w:pPr>
            <w:r>
              <w:rPr>
                <w:sz w:val="14"/>
              </w:rPr>
              <w:t>NONE / MOISTURE / TIMER</w:t>
            </w:r>
          </w:p>
        </w:tc>
        <w:tc>
          <w:tcPr>
            <w:tcW w:type="dxa" w:w="864"/>
            <w:shd w:val="clear" w:color="auto" w:fill="EDF1F6"/>
          </w:tcPr>
          <w:p>
            <w:pPr>
              <w:keepNext/>
              <w:jc w:val="center"/>
            </w:pPr>
            <w:r>
              <w:rPr>
                <w:sz w:val="14"/>
              </w:rPr>
              <w:t>JWT</w:t>
            </w:r>
          </w:p>
        </w:tc>
      </w:tr>
      <w:tr>
        <w:trPr>
          <w:cantSplit/>
        </w:trPr>
        <w:tc>
          <w:tcPr>
            <w:tcW w:type="dxa" w:w="2088"/>
          </w:tcPr>
          <w:p>
            <w:pPr>
              <w:keepNext/>
              <w:jc w:val="left"/>
            </w:pPr>
            <w:r>
              <w:rPr>
                <w:sz w:val="14"/>
              </w:rPr>
              <w:t>/api/timers (CRUD)</w:t>
            </w:r>
          </w:p>
        </w:tc>
        <w:tc>
          <w:tcPr>
            <w:tcW w:type="dxa" w:w="2016"/>
          </w:tcPr>
          <w:p>
            <w:pPr>
              <w:keepNext/>
              <w:jc w:val="center"/>
            </w:pPr>
            <w:r>
              <w:rPr>
                <w:sz w:val="14"/>
              </w:rPr>
              <w:t>Irrigation schedules</w:t>
            </w:r>
          </w:p>
        </w:tc>
        <w:tc>
          <w:tcPr>
            <w:tcW w:type="dxa" w:w="864"/>
          </w:tcPr>
          <w:p>
            <w:pPr>
              <w:keepNext/>
              <w:jc w:val="center"/>
            </w:pPr>
            <w:r>
              <w:rPr>
                <w:sz w:val="14"/>
              </w:rPr>
              <w:t>JWT</w:t>
            </w:r>
          </w:p>
        </w:tc>
      </w:tr>
      <w:tr>
        <w:trPr>
          <w:cantSplit/>
        </w:trPr>
        <w:tc>
          <w:tcPr>
            <w:tcW w:type="dxa" w:w="2088"/>
            <w:shd w:val="clear" w:color="auto" w:fill="EDF1F6"/>
          </w:tcPr>
          <w:p>
            <w:pPr>
              <w:keepNext/>
              <w:jc w:val="left"/>
            </w:pPr>
            <w:r>
              <w:rPr>
                <w:sz w:val="14"/>
              </w:rPr>
              <w:t>POST /api/plant/predict</w:t>
            </w:r>
          </w:p>
        </w:tc>
        <w:tc>
          <w:tcPr>
            <w:tcW w:type="dxa" w:w="2016"/>
            <w:shd w:val="clear" w:color="auto" w:fill="EDF1F6"/>
          </w:tcPr>
          <w:p>
            <w:pPr>
              <w:keepNext/>
              <w:jc w:val="center"/>
            </w:pPr>
            <w:r>
              <w:rPr>
                <w:sz w:val="14"/>
              </w:rPr>
              <w:t>Leaf diagnosis</w:t>
            </w:r>
          </w:p>
        </w:tc>
        <w:tc>
          <w:tcPr>
            <w:tcW w:type="dxa" w:w="864"/>
            <w:shd w:val="clear" w:color="auto" w:fill="EDF1F6"/>
          </w:tcPr>
          <w:p>
            <w:pPr>
              <w:keepNext/>
              <w:jc w:val="center"/>
            </w:pPr>
            <w:r>
              <w:rPr>
                <w:sz w:val="14"/>
              </w:rPr>
              <w:t>JWT</w:t>
            </w:r>
          </w:p>
        </w:tc>
      </w:tr>
      <w:tr>
        <w:trPr>
          <w:cantSplit/>
        </w:trPr>
        <w:tc>
          <w:tcPr>
            <w:tcW w:type="dxa" w:w="2088"/>
          </w:tcPr>
          <w:p>
            <w:pPr>
              <w:keepNext/>
              <w:jc w:val="left"/>
            </w:pPr>
            <w:r>
              <w:rPr>
                <w:sz w:val="14"/>
              </w:rPr>
              <w:t>POST /api/advisor/ask</w:t>
            </w:r>
          </w:p>
        </w:tc>
        <w:tc>
          <w:tcPr>
            <w:tcW w:type="dxa" w:w="2016"/>
          </w:tcPr>
          <w:p>
            <w:pPr>
              <w:keepNext/>
              <w:jc w:val="center"/>
            </w:pPr>
            <w:r>
              <w:rPr>
                <w:sz w:val="14"/>
              </w:rPr>
              <w:t>Grounded advisory chat</w:t>
            </w:r>
          </w:p>
        </w:tc>
        <w:tc>
          <w:tcPr>
            <w:tcW w:type="dxa" w:w="864"/>
          </w:tcPr>
          <w:p>
            <w:pPr>
              <w:keepNext/>
              <w:jc w:val="center"/>
            </w:pPr>
            <w:r>
              <w:rPr>
                <w:sz w:val="14"/>
              </w:rPr>
              <w:t>JWT</w:t>
            </w:r>
          </w:p>
        </w:tc>
      </w:tr>
      <w:tr>
        <w:trPr>
          <w:cantSplit/>
        </w:trPr>
        <w:tc>
          <w:tcPr>
            <w:tcW w:type="dxa" w:w="2088"/>
            <w:shd w:val="clear" w:color="auto" w:fill="EDF1F6"/>
          </w:tcPr>
          <w:p>
            <w:pPr>
              <w:keepNext/>
              <w:jc w:val="left"/>
            </w:pPr>
            <w:r>
              <w:rPr>
                <w:sz w:val="14"/>
              </w:rPr>
              <w:t>POST /api/camera/{id}/frame</w:t>
            </w:r>
          </w:p>
        </w:tc>
        <w:tc>
          <w:tcPr>
            <w:tcW w:type="dxa" w:w="2016"/>
            <w:shd w:val="clear" w:color="auto" w:fill="EDF1F6"/>
          </w:tcPr>
          <w:p>
            <w:pPr>
              <w:keepNext/>
              <w:jc w:val="center"/>
            </w:pPr>
            <w:r>
              <w:rPr>
                <w:sz w:val="14"/>
              </w:rPr>
              <w:t>Upload JPEG frame</w:t>
            </w:r>
          </w:p>
        </w:tc>
        <w:tc>
          <w:tcPr>
            <w:tcW w:type="dxa" w:w="864"/>
            <w:shd w:val="clear" w:color="auto" w:fill="EDF1F6"/>
          </w:tcPr>
          <w:p>
            <w:pPr>
              <w:keepNext/>
              <w:jc w:val="center"/>
            </w:pPr>
            <w:r>
              <w:rPr>
                <w:sz w:val="14"/>
              </w:rPr>
              <w:t>X-Cam-Key</w:t>
            </w:r>
          </w:p>
        </w:tc>
      </w:tr>
      <w:tr>
        <w:trPr>
          <w:cantSplit/>
        </w:trPr>
        <w:tc>
          <w:tcPr>
            <w:tcW w:type="dxa" w:w="2088"/>
          </w:tcPr>
          <w:p>
            <w:pPr>
              <w:keepNext/>
              <w:jc w:val="left"/>
            </w:pPr>
            <w:r>
              <w:rPr>
                <w:sz w:val="14"/>
              </w:rPr>
              <w:t>GET /api/camera/{id}/wanted</w:t>
            </w:r>
          </w:p>
        </w:tc>
        <w:tc>
          <w:tcPr>
            <w:tcW w:type="dxa" w:w="2016"/>
          </w:tcPr>
          <w:p>
            <w:pPr>
              <w:keepNext/>
              <w:jc w:val="center"/>
            </w:pPr>
            <w:r>
              <w:rPr>
                <w:sz w:val="14"/>
              </w:rPr>
              <w:t>Is a viewer attached?</w:t>
            </w:r>
          </w:p>
        </w:tc>
        <w:tc>
          <w:tcPr>
            <w:tcW w:type="dxa" w:w="864"/>
          </w:tcPr>
          <w:p>
            <w:pPr>
              <w:keepNext/>
              <w:jc w:val="center"/>
            </w:pPr>
            <w:r>
              <w:rPr>
                <w:sz w:val="14"/>
              </w:rPr>
              <w:t>X-Cam-Key</w:t>
            </w:r>
          </w:p>
        </w:tc>
      </w:tr>
      <w:tr>
        <w:trPr>
          <w:cantSplit/>
        </w:trPr>
        <w:tc>
          <w:tcPr>
            <w:tcW w:type="dxa" w:w="2088"/>
            <w:shd w:val="clear" w:color="auto" w:fill="EDF1F6"/>
          </w:tcPr>
          <w:p>
            <w:pPr>
              <w:keepNext/>
              <w:jc w:val="left"/>
            </w:pPr>
            <w:r>
              <w:rPr>
                <w:sz w:val="14"/>
              </w:rPr>
              <w:t>POST /api/camera/{id}/token</w:t>
            </w:r>
          </w:p>
        </w:tc>
        <w:tc>
          <w:tcPr>
            <w:tcW w:type="dxa" w:w="2016"/>
            <w:shd w:val="clear" w:color="auto" w:fill="EDF1F6"/>
          </w:tcPr>
          <w:p>
            <w:pPr>
              <w:keepNext/>
              <w:jc w:val="center"/>
            </w:pPr>
            <w:r>
              <w:rPr>
                <w:sz w:val="14"/>
              </w:rPr>
              <w:t>Short-lived viewer token</w:t>
            </w:r>
          </w:p>
        </w:tc>
        <w:tc>
          <w:tcPr>
            <w:tcW w:type="dxa" w:w="864"/>
            <w:shd w:val="clear" w:color="auto" w:fill="EDF1F6"/>
          </w:tcPr>
          <w:p>
            <w:pPr>
              <w:keepNext/>
              <w:jc w:val="center"/>
            </w:pPr>
            <w:r>
              <w:rPr>
                <w:sz w:val="14"/>
              </w:rPr>
              <w:t>JWT</w:t>
            </w:r>
          </w:p>
        </w:tc>
      </w:tr>
      <w:tr>
        <w:trPr>
          <w:cantSplit/>
        </w:trPr>
        <w:tc>
          <w:tcPr>
            <w:tcW w:type="dxa" w:w="2088"/>
          </w:tcPr>
          <w:p>
            <w:pPr>
              <w:jc w:val="left"/>
            </w:pPr>
            <w:r>
              <w:rPr>
                <w:sz w:val="14"/>
              </w:rPr>
              <w:t>GET /api/camera/stream</w:t>
            </w:r>
          </w:p>
        </w:tc>
        <w:tc>
          <w:tcPr>
            <w:tcW w:type="dxa" w:w="2016"/>
          </w:tcPr>
          <w:p>
            <w:pPr>
              <w:jc w:val="center"/>
            </w:pPr>
            <w:r>
              <w:rPr>
                <w:sz w:val="14"/>
              </w:rPr>
              <w:t>MJPEG stream</w:t>
            </w:r>
          </w:p>
        </w:tc>
        <w:tc>
          <w:tcPr>
            <w:tcW w:type="dxa" w:w="864"/>
          </w:tcPr>
          <w:p>
            <w:pPr>
              <w:jc w:val="center"/>
            </w:pPr>
            <w:r>
              <w:rPr>
                <w:sz w:val="14"/>
              </w:rPr>
              <w:t>Token</w:t>
            </w:r>
          </w:p>
        </w:tc>
      </w:tr>
    </w:tbl>
    <w:p>
      <w:pPr>
        <w:spacing w:after="120"/>
      </w:pPr>
    </w:p>
    <w:p>
      <w:pPr>
        <w:spacing w:after="0"/>
        <w:ind w:firstLine="216"/>
        <w:jc w:val="both"/>
      </w:pPr>
      <w:r>
        <w:t>User tokens are validated on every request, and a malformed token yields HTTP 401 rather than a server error. Row-level security restricts every table to its owner, and a database trigger limits each account to four devices. A device is paired with its factory serial and secret and only while it is online (fresh heartbeat), which prevents claiming a device from a leaked label alone. API keys for the vision model, the LLM and the model server exist only in the backend environment.</w:t>
      </w:r>
    </w:p>
    <w:p>
      <w:pPr>
        <w:keepNext/>
        <w:spacing w:before="100" w:after="40"/>
      </w:pPr>
      <w:r>
        <w:rPr>
          <w:b/>
          <w:color w:val="1B3A6B"/>
          <w:sz w:val="17"/>
        </w:rPr>
        <w:t>C. DEMAND-DRIVEN CAMERA RELAY</w:t>
      </w:r>
    </w:p>
    <w:p>
      <w:pPr>
        <w:spacing w:after="0"/>
        <w:ind w:firstLine="216"/>
        <w:jc w:val="both"/>
      </w:pPr>
      <w:r>
        <w:t xml:space="preserve">The ESP32-CAM polls </w:t>
      </w:r>
      <w:r>
        <w:rPr>
          <w:i/>
        </w:rPr>
        <w:t>/wanted</w:t>
      </w:r>
      <w:r>
        <w:t xml:space="preserve"> every 3 s while idle. When a client requests a viewer token, the camera begins posting JPEG frames, capped at 4 frames/s, at VGA with quality 12 when PSRAM is present or QVGA with quality 15 otherwise; the backend re-emits them to viewers as an MJPEG stream. Because both camera and viewer make outbound requests to the backend, the feed works across NAT from any network without port forwarding, and the camera consumes upstream bandwidth only while watched.</w:t>
      </w:r>
    </w:p>
    <w:p>
      <w:pPr>
        <w:keepNext/>
        <w:spacing w:before="160" w:after="60"/>
      </w:pPr>
      <w:r>
        <w:rPr>
          <w:b/>
          <w:color w:val="1B3A6B"/>
          <w:sz w:val="19"/>
        </w:rPr>
        <w:t>VII. PLANT DISEASE DIAGNOSIS PIPELINE</w:t>
      </w:r>
    </w:p>
    <w:p>
      <w:pPr>
        <w:spacing w:after="0"/>
        <w:ind w:firstLine="216"/>
        <w:jc w:val="both"/>
      </w:pPr>
      <w:r>
        <w:t>The diagnosis subsystem (Fig. 4) is a Python package with seven unit-tested stages: acquisition, structural inspection, cleaning, taxonomy unification, manifest building, splitting and training, followed by ONNX export, verification and a serving runtime.</w:t>
      </w:r>
    </w:p>
    <w:p>
      <w:pPr>
        <w:sectPr>
          <w:type w:val="continuous"/>
          <w:pgSz w:w="12240" w:h="15840"/>
          <w:pgMar w:top="1080" w:right="965" w:bottom="1152" w:left="965" w:header="504" w:footer="720" w:gutter="0"/>
          <w:docGrid w:linePitch="360"/>
          <w:cols w:num="2" w:space="360"/>
        </w:sectPr>
      </w:pPr>
    </w:p>
    <w:p>
      <w:pPr>
        <w:keepNext/>
        <w:spacing w:before="120"/>
        <w:jc w:val="center"/>
      </w:pPr>
      <w:r>
        <w:drawing>
          <wp:inline xmlns:a="http://schemas.openxmlformats.org/drawingml/2006/main" xmlns:pic="http://schemas.openxmlformats.org/drawingml/2006/picture">
            <wp:extent cx="6547104" cy="1860669"/>
            <wp:docPr id="7" name="Picture 7"/>
            <wp:cNvGraphicFramePr>
              <a:graphicFrameLocks noChangeAspect="1"/>
            </wp:cNvGraphicFramePr>
            <a:graphic>
              <a:graphicData uri="http://schemas.openxmlformats.org/drawingml/2006/picture">
                <pic:pic>
                  <pic:nvPicPr>
                    <pic:cNvPr id="0" name="fig_model.png"/>
                    <pic:cNvPicPr/>
                  </pic:nvPicPr>
                  <pic:blipFill>
                    <a:blip r:embed="rId17"/>
                    <a:stretch>
                      <a:fillRect/>
                    </a:stretch>
                  </pic:blipFill>
                  <pic:spPr>
                    <a:xfrm>
                      <a:off x="0" y="0"/>
                      <a:ext cx="6547104" cy="1860669"/>
                    </a:xfrm>
                    <a:prstGeom prst="rect"/>
                  </pic:spPr>
                </pic:pic>
              </a:graphicData>
            </a:graphic>
          </wp:inline>
        </w:drawing>
      </w:r>
    </w:p>
    <w:p>
      <w:pPr>
        <w:spacing w:after="160"/>
        <w:jc w:val="both"/>
      </w:pPr>
      <w:r>
        <w:rPr>
          <w:b/>
          <w:color w:val="1B3A6B"/>
          <w:sz w:val="16"/>
        </w:rPr>
        <w:t xml:space="preserve">FIGURE 4. </w:t>
      </w:r>
      <w:r>
        <w:rPr>
          <w:sz w:val="16"/>
        </w:rPr>
        <w:t>Transfer-learning and export pipeline. Values are those of the completed baseline run.</w:t>
      </w:r>
    </w:p>
    <w:p>
      <w:pPr>
        <w:sectPr>
          <w:type w:val="continuous"/>
          <w:pgSz w:w="12240" w:h="15840"/>
          <w:pgMar w:top="1080" w:right="965" w:bottom="1152" w:left="965" w:header="504" w:footer="720" w:gutter="0"/>
          <w:docGrid w:linePitch="360"/>
          <w:cols w:num="1" w:space="360"/>
        </w:sectPr>
      </w:pPr>
    </w:p>
    <w:p>
      <w:pPr>
        <w:keepNext/>
        <w:spacing w:before="100" w:after="40"/>
      </w:pPr>
      <w:r>
        <w:rPr>
          <w:b/>
          <w:color w:val="1B3A6B"/>
          <w:sz w:val="17"/>
        </w:rPr>
        <w:t>A. DATASETS</w:t>
      </w:r>
    </w:p>
    <w:p>
      <w:pPr>
        <w:keepNext/>
        <w:spacing w:before="120" w:after="60"/>
        <w:jc w:val="center"/>
      </w:pPr>
      <w:r>
        <w:rPr>
          <w:b/>
          <w:color w:val="1B3A6B"/>
          <w:sz w:val="16"/>
        </w:rPr>
        <w:t xml:space="preserve">TABLE 6. </w:t>
      </w:r>
      <w:r>
        <w:rPr>
          <w:sz w:val="16"/>
        </w:rPr>
        <w:t>Datasets configured in the pipeline (image counts are those of the configured mirrors). PlantDoc is never merged into training.</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cantSplit/>
        </w:trPr>
        <w:tc>
          <w:tcPr>
            <w:tcW w:type="dxa" w:w="1765"/>
            <w:shd w:val="clear" w:color="auto" w:fill="1B3A6B"/>
          </w:tcPr>
          <w:p>
            <w:pPr>
              <w:keepNext/>
              <w:jc w:val="left"/>
            </w:pPr>
            <w:r>
              <w:rPr>
                <w:b/>
                <w:color w:val="FFFFFF"/>
                <w:sz w:val="14"/>
              </w:rPr>
              <w:t>Dataset</w:t>
            </w:r>
          </w:p>
        </w:tc>
        <w:tc>
          <w:tcPr>
            <w:tcW w:type="dxa" w:w="719"/>
            <w:shd w:val="clear" w:color="auto" w:fill="1B3A6B"/>
          </w:tcPr>
          <w:p>
            <w:pPr>
              <w:keepNext/>
              <w:jc w:val="center"/>
            </w:pPr>
            <w:r>
              <w:rPr>
                <w:b/>
                <w:color w:val="FFFFFF"/>
                <w:sz w:val="14"/>
              </w:rPr>
              <w:t>Images</w:t>
            </w:r>
          </w:p>
        </w:tc>
        <w:tc>
          <w:tcPr>
            <w:tcW w:type="dxa" w:w="654"/>
            <w:shd w:val="clear" w:color="auto" w:fill="1B3A6B"/>
          </w:tcPr>
          <w:p>
            <w:pPr>
              <w:keepNext/>
              <w:jc w:val="center"/>
            </w:pPr>
            <w:r>
              <w:rPr>
                <w:b/>
                <w:color w:val="FFFFFF"/>
                <w:sz w:val="14"/>
              </w:rPr>
              <w:t>Classes</w:t>
            </w:r>
          </w:p>
        </w:tc>
        <w:tc>
          <w:tcPr>
            <w:tcW w:type="dxa" w:w="719"/>
            <w:shd w:val="clear" w:color="auto" w:fill="1B3A6B"/>
          </w:tcPr>
          <w:p>
            <w:pPr>
              <w:keepNext/>
              <w:jc w:val="center"/>
            </w:pPr>
            <w:r>
              <w:rPr>
                <w:b/>
                <w:color w:val="FFFFFF"/>
                <w:sz w:val="14"/>
              </w:rPr>
              <w:t>Imagery</w:t>
            </w:r>
          </w:p>
        </w:tc>
        <w:tc>
          <w:tcPr>
            <w:tcW w:type="dxa" w:w="1111"/>
            <w:shd w:val="clear" w:color="auto" w:fill="1B3A6B"/>
          </w:tcPr>
          <w:p>
            <w:pPr>
              <w:keepNext/>
              <w:jc w:val="center"/>
            </w:pPr>
            <w:r>
              <w:rPr>
                <w:b/>
                <w:color w:val="FFFFFF"/>
                <w:sz w:val="14"/>
              </w:rPr>
              <w:t>Role</w:t>
            </w:r>
          </w:p>
        </w:tc>
      </w:tr>
      <w:tr>
        <w:trPr>
          <w:cantSplit/>
        </w:trPr>
        <w:tc>
          <w:tcPr>
            <w:tcW w:type="dxa" w:w="1765"/>
          </w:tcPr>
          <w:p>
            <w:pPr>
              <w:keepNext/>
              <w:jc w:val="left"/>
            </w:pPr>
            <w:r>
              <w:rPr>
                <w:sz w:val="14"/>
              </w:rPr>
              <w:t>PlantVillage [20]</w:t>
            </w:r>
          </w:p>
        </w:tc>
        <w:tc>
          <w:tcPr>
            <w:tcW w:type="dxa" w:w="719"/>
          </w:tcPr>
          <w:p>
            <w:pPr>
              <w:keepNext/>
              <w:jc w:val="center"/>
            </w:pPr>
            <w:r>
              <w:rPr>
                <w:sz w:val="14"/>
              </w:rPr>
              <w:t>54,305</w:t>
            </w:r>
          </w:p>
        </w:tc>
        <w:tc>
          <w:tcPr>
            <w:tcW w:type="dxa" w:w="654"/>
          </w:tcPr>
          <w:p>
            <w:pPr>
              <w:keepNext/>
              <w:jc w:val="center"/>
            </w:pPr>
            <w:r>
              <w:rPr>
                <w:sz w:val="14"/>
              </w:rPr>
              <w:t>38</w:t>
            </w:r>
          </w:p>
        </w:tc>
        <w:tc>
          <w:tcPr>
            <w:tcW w:type="dxa" w:w="719"/>
          </w:tcPr>
          <w:p>
            <w:pPr>
              <w:keepNext/>
              <w:jc w:val="center"/>
            </w:pPr>
            <w:r>
              <w:rPr>
                <w:sz w:val="14"/>
              </w:rPr>
              <w:t>Lab</w:t>
            </w:r>
          </w:p>
        </w:tc>
        <w:tc>
          <w:tcPr>
            <w:tcW w:type="dxa" w:w="1111"/>
          </w:tcPr>
          <w:p>
            <w:pPr>
              <w:keepNext/>
              <w:jc w:val="center"/>
            </w:pPr>
            <w:r>
              <w:rPr>
                <w:sz w:val="14"/>
              </w:rPr>
              <w:t>Train (baseline)</w:t>
            </w:r>
          </w:p>
        </w:tc>
      </w:tr>
      <w:tr>
        <w:trPr>
          <w:cantSplit/>
        </w:trPr>
        <w:tc>
          <w:tcPr>
            <w:tcW w:type="dxa" w:w="1765"/>
            <w:shd w:val="clear" w:color="auto" w:fill="EDF1F6"/>
          </w:tcPr>
          <w:p>
            <w:pPr>
              <w:keepNext/>
              <w:jc w:val="left"/>
            </w:pPr>
            <w:r>
              <w:rPr>
                <w:sz w:val="14"/>
              </w:rPr>
              <w:t>PlantWild [34]</w:t>
            </w:r>
          </w:p>
        </w:tc>
        <w:tc>
          <w:tcPr>
            <w:tcW w:type="dxa" w:w="719"/>
            <w:shd w:val="clear" w:color="auto" w:fill="EDF1F6"/>
          </w:tcPr>
          <w:p>
            <w:pPr>
              <w:keepNext/>
              <w:jc w:val="center"/>
            </w:pPr>
            <w:r>
              <w:rPr>
                <w:sz w:val="14"/>
              </w:rPr>
              <w:t>30,030</w:t>
            </w:r>
          </w:p>
        </w:tc>
        <w:tc>
          <w:tcPr>
            <w:tcW w:type="dxa" w:w="654"/>
            <w:shd w:val="clear" w:color="auto" w:fill="EDF1F6"/>
          </w:tcPr>
          <w:p>
            <w:pPr>
              <w:keepNext/>
              <w:jc w:val="center"/>
            </w:pPr>
            <w:r>
              <w:rPr>
                <w:sz w:val="14"/>
              </w:rPr>
              <w:t>—</w:t>
            </w:r>
          </w:p>
        </w:tc>
        <w:tc>
          <w:tcPr>
            <w:tcW w:type="dxa" w:w="719"/>
            <w:shd w:val="clear" w:color="auto" w:fill="EDF1F6"/>
          </w:tcPr>
          <w:p>
            <w:pPr>
              <w:keepNext/>
              <w:jc w:val="center"/>
            </w:pPr>
            <w:r>
              <w:rPr>
                <w:sz w:val="14"/>
              </w:rPr>
              <w:t>Web/field</w:t>
            </w:r>
          </w:p>
        </w:tc>
        <w:tc>
          <w:tcPr>
            <w:tcW w:type="dxa" w:w="1111"/>
            <w:shd w:val="clear" w:color="auto" w:fill="EDF1F6"/>
          </w:tcPr>
          <w:p>
            <w:pPr>
              <w:keepNext/>
              <w:jc w:val="center"/>
            </w:pPr>
            <w:r>
              <w:rPr>
                <w:sz w:val="14"/>
              </w:rPr>
              <w:t>Train (planned)</w:t>
            </w:r>
          </w:p>
        </w:tc>
      </w:tr>
      <w:tr>
        <w:trPr>
          <w:cantSplit/>
        </w:trPr>
        <w:tc>
          <w:tcPr>
            <w:tcW w:type="dxa" w:w="1765"/>
          </w:tcPr>
          <w:p>
            <w:pPr>
              <w:keepNext/>
              <w:jc w:val="left"/>
            </w:pPr>
            <w:r>
              <w:rPr>
                <w:sz w:val="14"/>
              </w:rPr>
              <w:t>Cassava [35]</w:t>
            </w:r>
          </w:p>
        </w:tc>
        <w:tc>
          <w:tcPr>
            <w:tcW w:type="dxa" w:w="719"/>
          </w:tcPr>
          <w:p>
            <w:pPr>
              <w:keepNext/>
              <w:jc w:val="center"/>
            </w:pPr>
            <w:r>
              <w:rPr>
                <w:sz w:val="14"/>
              </w:rPr>
              <w:t>21,367</w:t>
            </w:r>
          </w:p>
        </w:tc>
        <w:tc>
          <w:tcPr>
            <w:tcW w:type="dxa" w:w="654"/>
          </w:tcPr>
          <w:p>
            <w:pPr>
              <w:keepNext/>
              <w:jc w:val="center"/>
            </w:pPr>
            <w:r>
              <w:rPr>
                <w:sz w:val="14"/>
              </w:rPr>
              <w:t>5</w:t>
            </w:r>
          </w:p>
        </w:tc>
        <w:tc>
          <w:tcPr>
            <w:tcW w:type="dxa" w:w="719"/>
          </w:tcPr>
          <w:p>
            <w:pPr>
              <w:keepNext/>
              <w:jc w:val="center"/>
            </w:pPr>
            <w:r>
              <w:rPr>
                <w:sz w:val="14"/>
              </w:rPr>
              <w:t>Field</w:t>
            </w:r>
          </w:p>
        </w:tc>
        <w:tc>
          <w:tcPr>
            <w:tcW w:type="dxa" w:w="1111"/>
          </w:tcPr>
          <w:p>
            <w:pPr>
              <w:keepNext/>
              <w:jc w:val="center"/>
            </w:pPr>
            <w:r>
              <w:rPr>
                <w:sz w:val="14"/>
              </w:rPr>
              <w:t>Train (planned)</w:t>
            </w:r>
          </w:p>
        </w:tc>
      </w:tr>
      <w:tr>
        <w:trPr>
          <w:cantSplit/>
        </w:trPr>
        <w:tc>
          <w:tcPr>
            <w:tcW w:type="dxa" w:w="1765"/>
            <w:shd w:val="clear" w:color="auto" w:fill="EDF1F6"/>
          </w:tcPr>
          <w:p>
            <w:pPr>
              <w:keepNext/>
              <w:jc w:val="left"/>
            </w:pPr>
            <w:r>
              <w:rPr>
                <w:sz w:val="14"/>
              </w:rPr>
              <w:t>Rice leaf [36]</w:t>
            </w:r>
          </w:p>
        </w:tc>
        <w:tc>
          <w:tcPr>
            <w:tcW w:type="dxa" w:w="719"/>
            <w:shd w:val="clear" w:color="auto" w:fill="EDF1F6"/>
          </w:tcPr>
          <w:p>
            <w:pPr>
              <w:keepNext/>
              <w:jc w:val="center"/>
            </w:pPr>
            <w:r>
              <w:rPr>
                <w:sz w:val="14"/>
              </w:rPr>
              <w:t>5,932</w:t>
            </w:r>
          </w:p>
        </w:tc>
        <w:tc>
          <w:tcPr>
            <w:tcW w:type="dxa" w:w="654"/>
            <w:shd w:val="clear" w:color="auto" w:fill="EDF1F6"/>
          </w:tcPr>
          <w:p>
            <w:pPr>
              <w:keepNext/>
              <w:jc w:val="center"/>
            </w:pPr>
            <w:r>
              <w:rPr>
                <w:sz w:val="14"/>
              </w:rPr>
              <w:t>4</w:t>
            </w:r>
          </w:p>
        </w:tc>
        <w:tc>
          <w:tcPr>
            <w:tcW w:type="dxa" w:w="719"/>
            <w:shd w:val="clear" w:color="auto" w:fill="EDF1F6"/>
          </w:tcPr>
          <w:p>
            <w:pPr>
              <w:keepNext/>
              <w:jc w:val="center"/>
            </w:pPr>
            <w:r>
              <w:rPr>
                <w:sz w:val="14"/>
              </w:rPr>
              <w:t>Field</w:t>
            </w:r>
          </w:p>
        </w:tc>
        <w:tc>
          <w:tcPr>
            <w:tcW w:type="dxa" w:w="1111"/>
            <w:shd w:val="clear" w:color="auto" w:fill="EDF1F6"/>
          </w:tcPr>
          <w:p>
            <w:pPr>
              <w:keepNext/>
              <w:jc w:val="center"/>
            </w:pPr>
            <w:r>
              <w:rPr>
                <w:sz w:val="14"/>
              </w:rPr>
              <w:t>Train (planned)</w:t>
            </w:r>
          </w:p>
        </w:tc>
      </w:tr>
      <w:tr>
        <w:trPr>
          <w:cantSplit/>
        </w:trPr>
        <w:tc>
          <w:tcPr>
            <w:tcW w:type="dxa" w:w="1765"/>
          </w:tcPr>
          <w:p>
            <w:pPr>
              <w:jc w:val="left"/>
            </w:pPr>
            <w:r>
              <w:rPr>
                <w:sz w:val="14"/>
              </w:rPr>
              <w:t>PlantDoc [22]</w:t>
            </w:r>
          </w:p>
        </w:tc>
        <w:tc>
          <w:tcPr>
            <w:tcW w:type="dxa" w:w="719"/>
          </w:tcPr>
          <w:p>
            <w:pPr>
              <w:jc w:val="center"/>
            </w:pPr>
            <w:r>
              <w:rPr>
                <w:sz w:val="14"/>
              </w:rPr>
              <w:t>2,598</w:t>
            </w:r>
          </w:p>
        </w:tc>
        <w:tc>
          <w:tcPr>
            <w:tcW w:type="dxa" w:w="654"/>
          </w:tcPr>
          <w:p>
            <w:pPr>
              <w:jc w:val="center"/>
            </w:pPr>
            <w:r>
              <w:rPr>
                <w:sz w:val="14"/>
              </w:rPr>
              <w:t>27</w:t>
            </w:r>
          </w:p>
        </w:tc>
        <w:tc>
          <w:tcPr>
            <w:tcW w:type="dxa" w:w="719"/>
          </w:tcPr>
          <w:p>
            <w:pPr>
              <w:jc w:val="center"/>
            </w:pPr>
            <w:r>
              <w:rPr>
                <w:sz w:val="14"/>
              </w:rPr>
              <w:t>Field</w:t>
            </w:r>
          </w:p>
        </w:tc>
        <w:tc>
          <w:tcPr>
            <w:tcW w:type="dxa" w:w="1111"/>
          </w:tcPr>
          <w:p>
            <w:pPr>
              <w:jc w:val="center"/>
            </w:pPr>
            <w:r>
              <w:rPr>
                <w:b/>
                <w:sz w:val="14"/>
              </w:rPr>
              <w:t>Evaluation only</w:t>
            </w:r>
          </w:p>
        </w:tc>
      </w:tr>
    </w:tbl>
    <w:p>
      <w:pPr>
        <w:spacing w:after="120"/>
      </w:pPr>
    </w:p>
    <w:p>
      <w:pPr>
        <w:keepNext/>
        <w:spacing w:before="100" w:after="40"/>
      </w:pPr>
      <w:r>
        <w:rPr>
          <w:b/>
          <w:color w:val="1B3A6B"/>
          <w:sz w:val="17"/>
        </w:rPr>
        <w:t>B. CLEANING AND DE-DUPLICATION</w:t>
      </w:r>
    </w:p>
    <w:p>
      <w:pPr>
        <w:spacing w:after="0"/>
        <w:ind w:firstLine="216"/>
        <w:jc w:val="both"/>
      </w:pPr>
      <w:r>
        <w:t>Each image is decoded, size-checked and fingerprinted with SHA-256 and a 64-bit perceptual hash (pHash) [37]. Exact duplicates are removed by SHA-256. Near-duplicates are grouped when the Hamming distance between their hashes satisfies</w:t>
      </w:r>
    </w:p>
    <w:tbl>
      <w:tblPr>
        <w:tblW w:type="auto" w:w="0"/>
        <w:jc w:val="center"/>
        <w:tblLayout w:type="fixed"/>
        <w:tblLook w:firstColumn="1" w:firstRow="1" w:lastColumn="0" w:lastRow="0" w:noHBand="0" w:noVBand="1" w:val="04A0"/>
      </w:tblPr>
      <w:tblGrid>
        <w:gridCol w:w="5155"/>
        <w:gridCol w:w="5155"/>
      </w:tblGrid>
      <w:tr>
        <w:tc>
          <w:tcPr>
            <w:tcW w:type="dxa" w:w="4320"/>
          </w:tcPr>
          <w:p>
            <w:pPr>
              <w:spacing w:before="60" w:after="60"/>
              <w:jc w:val="center"/>
            </w:pPr>
            <w:r>
              <w:drawing>
                <wp:inline xmlns:a="http://schemas.openxmlformats.org/drawingml/2006/main" xmlns:pic="http://schemas.openxmlformats.org/drawingml/2006/picture">
                  <wp:extent cx="2246680" cy="335219"/>
                  <wp:docPr id="8" name="Picture 8"/>
                  <wp:cNvGraphicFramePr>
                    <a:graphicFrameLocks noChangeAspect="1"/>
                  </wp:cNvGraphicFramePr>
                  <a:graphic>
                    <a:graphicData uri="http://schemas.openxmlformats.org/drawingml/2006/picture">
                      <pic:pic>
                        <pic:nvPicPr>
                          <pic:cNvPr id="0" name="2110405719581478044.png"/>
                          <pic:cNvPicPr/>
                        </pic:nvPicPr>
                        <pic:blipFill>
                          <a:blip r:embed="rId18"/>
                          <a:stretch>
                            <a:fillRect/>
                          </a:stretch>
                        </pic:blipFill>
                        <pic:spPr>
                          <a:xfrm>
                            <a:off x="0" y="0"/>
                            <a:ext cx="2246680" cy="335219"/>
                          </a:xfrm>
                          <a:prstGeom prst="rect"/>
                        </pic:spPr>
                      </pic:pic>
                    </a:graphicData>
                  </a:graphic>
                </wp:inline>
              </w:drawing>
            </w:r>
          </w:p>
        </w:tc>
        <w:tc>
          <w:tcPr>
            <w:tcW w:type="dxa" w:w="648"/>
          </w:tcPr>
          <w:p>
            <w:pPr>
              <w:jc w:val="right"/>
            </w:pPr>
            <w:r>
              <w:t>(4)</w:t>
            </w:r>
          </w:p>
        </w:tc>
      </w:tr>
    </w:tbl>
    <w:p>
      <w:pPr>
        <w:spacing w:after="0"/>
        <w:ind w:firstLine="216"/>
        <w:jc w:val="both"/>
      </w:pPr>
      <w:r>
        <w:t>with candidates bucketed by a 4-hex-digit hash prefix to keep comparisons tractable at ~10</w:t>
      </w:r>
      <w:r>
        <w:rPr>
          <w:vertAlign w:val="superscript"/>
        </w:rPr>
        <w:t>5</w:t>
      </w:r>
      <w:r>
        <w:t xml:space="preserve"> images. Any training image within τ of a PlantDoc image is rejected, so the held-out field set cannot leak into training through re-encoded copies.</w:t>
      </w:r>
    </w:p>
    <w:p>
      <w:pPr>
        <w:keepNext/>
        <w:spacing w:before="100" w:after="40"/>
      </w:pPr>
      <w:r>
        <w:rPr>
          <w:b/>
          <w:color w:val="1B3A6B"/>
          <w:sz w:val="17"/>
        </w:rPr>
        <w:t>C. SPLITTING</w:t>
      </w:r>
    </w:p>
    <w:p>
      <w:pPr>
        <w:spacing w:after="0"/>
        <w:ind w:firstLine="216"/>
        <w:jc w:val="both"/>
      </w:pPr>
      <w:r>
        <w:t xml:space="preserve">Splits are stratified per class with target ratios 80/10/10 (tolerance ±2 %) and are </w:t>
      </w:r>
      <w:r>
        <w:rPr>
          <w:b/>
        </w:rPr>
        <w:t>duplicate-group aware</w:t>
      </w:r>
      <w:r>
        <w:t>: all members of a near-duplicate group are assigned to the same partition, which removes the leakage path described in [15].</w:t>
      </w:r>
    </w:p>
    <w:p>
      <w:pPr>
        <w:keepNext/>
        <w:spacing w:before="100" w:after="40"/>
      </w:pPr>
      <w:r>
        <w:rPr>
          <w:b/>
          <w:color w:val="1B3A6B"/>
          <w:sz w:val="17"/>
        </w:rPr>
        <w:t>D. TWO-STAGE MODEL</w:t>
      </w:r>
    </w:p>
    <w:p>
      <w:pPr>
        <w:spacing w:after="0"/>
        <w:ind w:firstLine="216"/>
        <w:jc w:val="both"/>
      </w:pPr>
      <w:r>
        <w:t>Stage 1 classifies species (YOLO11s-cls); Stage 2 uses one smaller YOLO11n-cls per species to classify the condition. The model is trained by minimising categorical cross-entropy</w:t>
      </w:r>
    </w:p>
    <w:tbl>
      <w:tblPr>
        <w:tblW w:type="auto" w:w="0"/>
        <w:jc w:val="center"/>
        <w:tblLayout w:type="fixed"/>
        <w:tblLook w:firstColumn="1" w:firstRow="1" w:lastColumn="0" w:lastRow="0" w:noHBand="0" w:noVBand="1" w:val="04A0"/>
      </w:tblPr>
      <w:tblGrid>
        <w:gridCol w:w="5155"/>
        <w:gridCol w:w="5155"/>
      </w:tblGrid>
      <w:tr>
        <w:tc>
          <w:tcPr>
            <w:tcW w:type="dxa" w:w="4320"/>
          </w:tcPr>
          <w:p>
            <w:pPr>
              <w:spacing w:before="60" w:after="60"/>
              <w:jc w:val="center"/>
            </w:pPr>
            <w:r>
              <w:drawing>
                <wp:inline xmlns:a="http://schemas.openxmlformats.org/drawingml/2006/main" xmlns:pic="http://schemas.openxmlformats.org/drawingml/2006/picture">
                  <wp:extent cx="1314129" cy="333436"/>
                  <wp:docPr id="9" name="Picture 9"/>
                  <wp:cNvGraphicFramePr>
                    <a:graphicFrameLocks noChangeAspect="1"/>
                  </wp:cNvGraphicFramePr>
                  <a:graphic>
                    <a:graphicData uri="http://schemas.openxmlformats.org/drawingml/2006/picture">
                      <pic:pic>
                        <pic:nvPicPr>
                          <pic:cNvPr id="0" name="5831180232145771833.png"/>
                          <pic:cNvPicPr/>
                        </pic:nvPicPr>
                        <pic:blipFill>
                          <a:blip r:embed="rId19"/>
                          <a:stretch>
                            <a:fillRect/>
                          </a:stretch>
                        </pic:blipFill>
                        <pic:spPr>
                          <a:xfrm>
                            <a:off x="0" y="0"/>
                            <a:ext cx="1314129" cy="333436"/>
                          </a:xfrm>
                          <a:prstGeom prst="rect"/>
                        </pic:spPr>
                      </pic:pic>
                    </a:graphicData>
                  </a:graphic>
                </wp:inline>
              </w:drawing>
            </w:r>
          </w:p>
        </w:tc>
        <w:tc>
          <w:tcPr>
            <w:tcW w:type="dxa" w:w="648"/>
          </w:tcPr>
          <w:p>
            <w:pPr>
              <w:jc w:val="right"/>
            </w:pPr>
            <w:r>
              <w:t>(5)</w:t>
            </w:r>
          </w:p>
        </w:tc>
      </w:tr>
    </w:tbl>
    <w:p>
      <w:pPr>
        <w:spacing w:after="0"/>
        <w:ind w:firstLine="216"/>
        <w:jc w:val="both"/>
      </w:pPr>
      <w:r>
        <w:t>with a cosine learning-rate schedule [38], mixed precision and early stopping (patience 10 for Stage 1, 8 for Stage 2). Augmentation uses HSV jitter (h 0.015, s 0.4, v 0.4), rotation up to 10°, horizontal flip with probability 0.5 and random erasing 0.2 [39]; vertical flips are disabled because leaves have a natural orientation. At inference the joint confidence and a low-confidence flag are</w:t>
      </w:r>
    </w:p>
    <w:tbl>
      <w:tblPr>
        <w:tblW w:type="auto" w:w="0"/>
        <w:jc w:val="center"/>
        <w:tblLayout w:type="fixed"/>
        <w:tblLook w:firstColumn="1" w:firstRow="1" w:lastColumn="0" w:lastRow="0" w:noHBand="0" w:noVBand="1" w:val="04A0"/>
      </w:tblPr>
      <w:tblGrid>
        <w:gridCol w:w="5155"/>
        <w:gridCol w:w="5155"/>
      </w:tblGrid>
      <w:tr>
        <w:tc>
          <w:tcPr>
            <w:tcW w:type="dxa" w:w="4320"/>
          </w:tcPr>
          <w:p>
            <w:pPr>
              <w:spacing w:before="60" w:after="60"/>
              <w:jc w:val="center"/>
            </w:pPr>
            <w:r>
              <w:drawing>
                <wp:inline xmlns:a="http://schemas.openxmlformats.org/drawingml/2006/main" xmlns:pic="http://schemas.openxmlformats.org/drawingml/2006/picture">
                  <wp:extent cx="2205669" cy="156911"/>
                  <wp:docPr id="10" name="Picture 10"/>
                  <wp:cNvGraphicFramePr>
                    <a:graphicFrameLocks noChangeAspect="1"/>
                  </wp:cNvGraphicFramePr>
                  <a:graphic>
                    <a:graphicData uri="http://schemas.openxmlformats.org/drawingml/2006/picture">
                      <pic:pic>
                        <pic:nvPicPr>
                          <pic:cNvPr id="0" name="7464519332109814597.png"/>
                          <pic:cNvPicPr/>
                        </pic:nvPicPr>
                        <pic:blipFill>
                          <a:blip r:embed="rId20"/>
                          <a:stretch>
                            <a:fillRect/>
                          </a:stretch>
                        </pic:blipFill>
                        <pic:spPr>
                          <a:xfrm>
                            <a:off x="0" y="0"/>
                            <a:ext cx="2205669" cy="156911"/>
                          </a:xfrm>
                          <a:prstGeom prst="rect"/>
                        </pic:spPr>
                      </pic:pic>
                    </a:graphicData>
                  </a:graphic>
                </wp:inline>
              </w:drawing>
            </w:r>
          </w:p>
        </w:tc>
        <w:tc>
          <w:tcPr>
            <w:tcW w:type="dxa" w:w="648"/>
          </w:tcPr>
          <w:p>
            <w:pPr>
              <w:jc w:val="right"/>
            </w:pPr>
            <w:r>
              <w:t>(6)</w:t>
            </w:r>
          </w:p>
        </w:tc>
      </w:tr>
    </w:tbl>
    <w:p>
      <w:pPr>
        <w:spacing w:after="0"/>
        <w:ind w:firstLine="216"/>
        <w:jc w:val="both"/>
      </w:pPr>
      <w:r>
        <w:t xml:space="preserve">where </w:t>
      </w:r>
      <w:r>
        <w:rPr>
          <w:i/>
        </w:rPr>
        <w:t>c</w:t>
      </w:r>
      <w:r>
        <w:rPr>
          <w:vertAlign w:val="subscript"/>
        </w:rPr>
        <w:t>s</w:t>
      </w:r>
      <w:r>
        <w:t xml:space="preserve"> and </w:t>
      </w:r>
      <w:r>
        <w:rPr>
          <w:i/>
        </w:rPr>
        <w:t>c</w:t>
      </w:r>
      <w:r>
        <w:rPr>
          <w:vertAlign w:val="subscript"/>
        </w:rPr>
        <w:t>c</w:t>
      </w:r>
      <w:r>
        <w:t xml:space="preserve"> are the species and condition soft-max confidences; thresholds are read from a versioned </w:t>
      </w:r>
      <w:r>
        <w:rPr>
          <w:i/>
        </w:rPr>
        <w:t>registry.json</w:t>
      </w:r>
      <w:r>
        <w:t>, never hard-coded in the server.</w:t>
      </w:r>
    </w:p>
    <w:p>
      <w:pPr>
        <w:keepNext/>
        <w:spacing w:before="100" w:after="40"/>
      </w:pPr>
      <w:r>
        <w:rPr>
          <w:b/>
          <w:color w:val="1B3A6B"/>
          <w:sz w:val="17"/>
        </w:rPr>
        <w:t>E. EXPORT AND SERVING</w:t>
      </w:r>
    </w:p>
    <w:p>
      <w:pPr>
        <w:spacing w:after="0"/>
        <w:ind w:firstLine="216"/>
        <w:jc w:val="both"/>
      </w:pPr>
      <w:r>
        <w:t>Models are exported to ONNX (opset 12), verified numerically against PyTorch, and served by a separate FastAPI service with ONNX Runtime [40] behind an API key. The backend selects the inference source at request time: the trained model service when it is configured, otherwise a hosted vision-language model (Gemini) constrained by a JSON response schema (fields: is_plant, species, condition, both confidences, healthy, severity ∈ {none, mild, moderate, severe}, affected area %, symptoms, cause, treatment, prevention) at temperature 0.2. Swapping in the trained model is an environment change, not a code change.</w:t>
      </w:r>
    </w:p>
    <w:p>
      <w:pPr>
        <w:keepNext/>
        <w:spacing w:before="160" w:after="60"/>
      </w:pPr>
      <w:r>
        <w:rPr>
          <w:b/>
          <w:color w:val="1B3A6B"/>
          <w:sz w:val="19"/>
        </w:rPr>
        <w:t>VIII. TELEMETRY-GROUNDED FARM ADVISOR</w:t>
      </w:r>
    </w:p>
    <w:p>
      <w:pPr>
        <w:spacing w:after="0"/>
        <w:ind w:firstLine="216"/>
        <w:jc w:val="both"/>
      </w:pPr>
      <w:r>
        <w:t xml:space="preserve">The advisor endpoint fetches the device's most recent telemetry and places it in the LLM system instruction, marking it </w:t>
      </w:r>
      <w:r>
        <w:rPr>
          <w:i/>
        </w:rPr>
        <w:t>STALE</w:t>
      </w:r>
      <w:r>
        <w:t xml:space="preserve"> when older than the freshness window, so answers refer to measured field conditions rather than generic advice. The plant-scan screen can hand a diagnosis directly into the chat. In the current implementation both the advisor and the vision fallback call one hosted provider directly; a provider-neutral adapter and an offline fallback are future work.</w:t>
      </w:r>
    </w:p>
    <w:p>
      <w:pPr>
        <w:keepNext/>
        <w:spacing w:before="160" w:after="60"/>
      </w:pPr>
      <w:r>
        <w:rPr>
          <w:b/>
          <w:color w:val="1B3A6B"/>
          <w:sz w:val="19"/>
        </w:rPr>
        <w:t>IX. CLIENT APPLICATIONS</w:t>
      </w:r>
    </w:p>
    <w:p>
      <w:pPr>
        <w:spacing w:after="0"/>
        <w:ind w:firstLine="216"/>
        <w:jc w:val="both"/>
      </w:pPr>
      <w:r>
        <w:t>The web dashboard is plain HTML/CSS/JavaScript served by the backend and subscribes to database changes through Realtime. The mobile application is written in TypeScript with React Native, Expo 54 and expo-router, with four tabs: Dashboard (live tiles, pump control, automation mode, timers, force stop), Plant Scan, Advisor and Account (Fig. 5).</w:t>
      </w:r>
    </w:p>
    <w:p>
      <w:pPr>
        <w:keepNext/>
        <w:spacing w:before="120"/>
        <w:jc w:val="center"/>
      </w:pPr>
      <w:r>
        <w:drawing>
          <wp:inline xmlns:a="http://schemas.openxmlformats.org/drawingml/2006/main" xmlns:pic="http://schemas.openxmlformats.org/drawingml/2006/picture">
            <wp:extent cx="3154680" cy="1970307"/>
            <wp:docPr id="11" name="Picture 11"/>
            <wp:cNvGraphicFramePr>
              <a:graphicFrameLocks noChangeAspect="1"/>
            </wp:cNvGraphicFramePr>
            <a:graphic>
              <a:graphicData uri="http://schemas.openxmlformats.org/drawingml/2006/picture">
                <pic:pic>
                  <pic:nvPicPr>
                    <pic:cNvPr id="0" name="app_montage.png"/>
                    <pic:cNvPicPr/>
                  </pic:nvPicPr>
                  <pic:blipFill>
                    <a:blip r:embed="rId21"/>
                    <a:stretch>
                      <a:fillRect/>
                    </a:stretch>
                  </pic:blipFill>
                  <pic:spPr>
                    <a:xfrm>
                      <a:off x="0" y="0"/>
                      <a:ext cx="3154680" cy="1970307"/>
                    </a:xfrm>
                    <a:prstGeom prst="rect"/>
                  </pic:spPr>
                </pic:pic>
              </a:graphicData>
            </a:graphic>
          </wp:inline>
        </w:drawing>
      </w:r>
    </w:p>
    <w:p>
      <w:pPr>
        <w:spacing w:after="160"/>
        <w:jc w:val="both"/>
      </w:pPr>
      <w:r>
        <w:rPr>
          <w:b/>
          <w:color w:val="1B3A6B"/>
          <w:sz w:val="16"/>
        </w:rPr>
        <w:t xml:space="preserve">FIGURE 5. </w:t>
      </w:r>
      <w:r>
        <w:rPr>
          <w:sz w:val="16"/>
        </w:rPr>
        <w:t>Mobile application: irrigation controls (left), plant scan (centre) and farm advisor (right).</w:t>
      </w:r>
    </w:p>
    <w:p>
      <w:pPr>
        <w:keepNext/>
        <w:spacing w:before="160" w:after="60"/>
      </w:pPr>
      <w:r>
        <w:rPr>
          <w:b/>
          <w:color w:val="1B3A6B"/>
          <w:sz w:val="19"/>
        </w:rPr>
        <w:t>X. EXPERIMENTAL RESULTS</w:t>
      </w:r>
    </w:p>
    <w:p>
      <w:pPr>
        <w:keepNext/>
        <w:spacing w:before="100" w:after="40"/>
      </w:pPr>
      <w:r>
        <w:rPr>
          <w:b/>
          <w:color w:val="1B3A6B"/>
          <w:sz w:val="17"/>
        </w:rPr>
        <w:t>A. TRAINING SETUP</w:t>
      </w:r>
    </w:p>
    <w:p>
      <w:pPr>
        <w:spacing w:after="0"/>
        <w:ind w:firstLine="216"/>
        <w:jc w:val="both"/>
      </w:pPr>
      <w:r>
        <w:t>The baseline is a single-stage YOLO11n-cls classifier over the 38 PlantVillage species–condition classes (14 crops), initialised from pretrained weights and fine-tuned for 5 epochs at 224×224, batch 64, seed 42, deterministic mode, on a Google Colab T4 GPU. The split is 43,444 training and 10,861 validation images. Total training time was 1,300 s (21.7 min).</w:t>
      </w:r>
    </w:p>
    <w:p>
      <w:pPr>
        <w:keepNext/>
        <w:spacing w:before="120" w:after="60"/>
        <w:jc w:val="center"/>
      </w:pPr>
      <w:r>
        <w:rPr>
          <w:b/>
          <w:color w:val="1B3A6B"/>
          <w:sz w:val="16"/>
        </w:rPr>
        <w:t xml:space="preserve">TABLE 7. </w:t>
      </w:r>
      <w:r>
        <w:rPr>
          <w:sz w:val="16"/>
        </w:rPr>
        <w:t>Per-epoch training log (results.csv). Time is cumulative.</w:t>
      </w:r>
    </w:p>
    <w:tbl>
      <w:tblPr>
        <w:tblStyle w:val="TableGrid"/>
        <w:tblW w:type="auto" w:w="0"/>
        <w:jc w:val="center"/>
        <w:tblLook w:firstColumn="1" w:firstRow="1" w:lastColumn="0" w:lastRow="0" w:noHBand="0" w:noVBand="1" w:val="04A0"/>
      </w:tblPr>
      <w:tblGrid>
        <w:gridCol w:w="1718"/>
        <w:gridCol w:w="1718"/>
        <w:gridCol w:w="1718"/>
        <w:gridCol w:w="1718"/>
        <w:gridCol w:w="1718"/>
        <w:gridCol w:w="1718"/>
      </w:tblGrid>
      <w:tr>
        <w:trPr>
          <w:cantSplit/>
        </w:trPr>
        <w:tc>
          <w:tcPr>
            <w:tcW w:type="dxa" w:w="648"/>
            <w:shd w:val="clear" w:color="auto" w:fill="1B3A6B"/>
          </w:tcPr>
          <w:p>
            <w:pPr>
              <w:keepNext/>
              <w:jc w:val="left"/>
            </w:pPr>
            <w:r>
              <w:rPr>
                <w:b/>
                <w:color w:val="FFFFFF"/>
                <w:sz w:val="15"/>
              </w:rPr>
              <w:t>Epoch</w:t>
            </w:r>
          </w:p>
        </w:tc>
        <w:tc>
          <w:tcPr>
            <w:tcW w:type="dxa" w:w="864"/>
            <w:shd w:val="clear" w:color="auto" w:fill="1B3A6B"/>
          </w:tcPr>
          <w:p>
            <w:pPr>
              <w:keepNext/>
              <w:jc w:val="center"/>
            </w:pPr>
            <w:r>
              <w:rPr>
                <w:b/>
                <w:color w:val="FFFFFF"/>
                <w:sz w:val="15"/>
              </w:rPr>
              <w:t>Train loss</w:t>
            </w:r>
          </w:p>
        </w:tc>
        <w:tc>
          <w:tcPr>
            <w:tcW w:type="dxa" w:w="792"/>
            <w:shd w:val="clear" w:color="auto" w:fill="1B3A6B"/>
          </w:tcPr>
          <w:p>
            <w:pPr>
              <w:keepNext/>
              <w:jc w:val="center"/>
            </w:pPr>
            <w:r>
              <w:rPr>
                <w:b/>
                <w:color w:val="FFFFFF"/>
                <w:sz w:val="15"/>
              </w:rPr>
              <w:t>Val loss</w:t>
            </w:r>
          </w:p>
        </w:tc>
        <w:tc>
          <w:tcPr>
            <w:tcW w:type="dxa" w:w="864"/>
            <w:shd w:val="clear" w:color="auto" w:fill="1B3A6B"/>
          </w:tcPr>
          <w:p>
            <w:pPr>
              <w:keepNext/>
              <w:jc w:val="center"/>
            </w:pPr>
            <w:r>
              <w:rPr>
                <w:b/>
                <w:color w:val="FFFFFF"/>
                <w:sz w:val="15"/>
              </w:rPr>
              <w:t>Top-1 (%)</w:t>
            </w:r>
          </w:p>
        </w:tc>
        <w:tc>
          <w:tcPr>
            <w:tcW w:type="dxa" w:w="864"/>
            <w:shd w:val="clear" w:color="auto" w:fill="1B3A6B"/>
          </w:tcPr>
          <w:p>
            <w:pPr>
              <w:keepNext/>
              <w:jc w:val="center"/>
            </w:pPr>
            <w:r>
              <w:rPr>
                <w:b/>
                <w:color w:val="FFFFFF"/>
                <w:sz w:val="15"/>
              </w:rPr>
              <w:t>Top-5 (%)</w:t>
            </w:r>
          </w:p>
        </w:tc>
        <w:tc>
          <w:tcPr>
            <w:tcW w:type="dxa" w:w="936"/>
            <w:shd w:val="clear" w:color="auto" w:fill="1B3A6B"/>
          </w:tcPr>
          <w:p>
            <w:pPr>
              <w:keepNext/>
              <w:jc w:val="center"/>
            </w:pPr>
            <w:r>
              <w:rPr>
                <w:b/>
                <w:color w:val="FFFFFF"/>
                <w:sz w:val="15"/>
              </w:rPr>
              <w:t>Time (s)</w:t>
            </w:r>
          </w:p>
        </w:tc>
      </w:tr>
      <w:tr>
        <w:trPr>
          <w:cantSplit/>
        </w:trPr>
        <w:tc>
          <w:tcPr>
            <w:tcW w:type="dxa" w:w="648"/>
          </w:tcPr>
          <w:p>
            <w:pPr>
              <w:keepNext/>
              <w:jc w:val="left"/>
            </w:pPr>
            <w:r>
              <w:rPr>
                <w:sz w:val="15"/>
              </w:rPr>
              <w:t>1</w:t>
            </w:r>
          </w:p>
        </w:tc>
        <w:tc>
          <w:tcPr>
            <w:tcW w:type="dxa" w:w="864"/>
          </w:tcPr>
          <w:p>
            <w:pPr>
              <w:keepNext/>
              <w:jc w:val="center"/>
            </w:pPr>
            <w:r>
              <w:rPr>
                <w:sz w:val="15"/>
              </w:rPr>
              <w:t>1.689</w:t>
            </w:r>
          </w:p>
        </w:tc>
        <w:tc>
          <w:tcPr>
            <w:tcW w:type="dxa" w:w="792"/>
          </w:tcPr>
          <w:p>
            <w:pPr>
              <w:keepNext/>
              <w:jc w:val="center"/>
            </w:pPr>
            <w:r>
              <w:rPr>
                <w:sz w:val="15"/>
              </w:rPr>
              <w:t>0.210</w:t>
            </w:r>
          </w:p>
        </w:tc>
        <w:tc>
          <w:tcPr>
            <w:tcW w:type="dxa" w:w="864"/>
          </w:tcPr>
          <w:p>
            <w:pPr>
              <w:keepNext/>
              <w:jc w:val="center"/>
            </w:pPr>
            <w:r>
              <w:rPr>
                <w:sz w:val="15"/>
              </w:rPr>
              <w:t>94.75</w:t>
            </w:r>
          </w:p>
        </w:tc>
        <w:tc>
          <w:tcPr>
            <w:tcW w:type="dxa" w:w="864"/>
          </w:tcPr>
          <w:p>
            <w:pPr>
              <w:keepNext/>
              <w:jc w:val="center"/>
            </w:pPr>
            <w:r>
              <w:rPr>
                <w:sz w:val="15"/>
              </w:rPr>
              <w:t>99.82</w:t>
            </w:r>
          </w:p>
        </w:tc>
        <w:tc>
          <w:tcPr>
            <w:tcW w:type="dxa" w:w="936"/>
          </w:tcPr>
          <w:p>
            <w:pPr>
              <w:keepNext/>
              <w:jc w:val="center"/>
            </w:pPr>
            <w:r>
              <w:rPr>
                <w:sz w:val="15"/>
              </w:rPr>
              <w:t>265.9</w:t>
            </w:r>
          </w:p>
        </w:tc>
      </w:tr>
      <w:tr>
        <w:trPr>
          <w:cantSplit/>
        </w:trPr>
        <w:tc>
          <w:tcPr>
            <w:tcW w:type="dxa" w:w="648"/>
            <w:shd w:val="clear" w:color="auto" w:fill="EDF1F6"/>
          </w:tcPr>
          <w:p>
            <w:pPr>
              <w:keepNext/>
              <w:jc w:val="left"/>
            </w:pPr>
            <w:r>
              <w:rPr>
                <w:sz w:val="15"/>
              </w:rPr>
              <w:t>2</w:t>
            </w:r>
          </w:p>
        </w:tc>
        <w:tc>
          <w:tcPr>
            <w:tcW w:type="dxa" w:w="864"/>
            <w:shd w:val="clear" w:color="auto" w:fill="EDF1F6"/>
          </w:tcPr>
          <w:p>
            <w:pPr>
              <w:keepNext/>
              <w:jc w:val="center"/>
            </w:pPr>
            <w:r>
              <w:rPr>
                <w:sz w:val="15"/>
              </w:rPr>
              <w:t>0.198</w:t>
            </w:r>
          </w:p>
        </w:tc>
        <w:tc>
          <w:tcPr>
            <w:tcW w:type="dxa" w:w="792"/>
            <w:shd w:val="clear" w:color="auto" w:fill="EDF1F6"/>
          </w:tcPr>
          <w:p>
            <w:pPr>
              <w:keepNext/>
              <w:jc w:val="center"/>
            </w:pPr>
            <w:r>
              <w:rPr>
                <w:sz w:val="15"/>
              </w:rPr>
              <w:t>0.071</w:t>
            </w:r>
          </w:p>
        </w:tc>
        <w:tc>
          <w:tcPr>
            <w:tcW w:type="dxa" w:w="864"/>
            <w:shd w:val="clear" w:color="auto" w:fill="EDF1F6"/>
          </w:tcPr>
          <w:p>
            <w:pPr>
              <w:keepNext/>
              <w:jc w:val="center"/>
            </w:pPr>
            <w:r>
              <w:rPr>
                <w:sz w:val="15"/>
              </w:rPr>
              <w:t>97.87</w:t>
            </w:r>
          </w:p>
        </w:tc>
        <w:tc>
          <w:tcPr>
            <w:tcW w:type="dxa" w:w="864"/>
            <w:shd w:val="clear" w:color="auto" w:fill="EDF1F6"/>
          </w:tcPr>
          <w:p>
            <w:pPr>
              <w:keepNext/>
              <w:jc w:val="center"/>
            </w:pPr>
            <w:r>
              <w:rPr>
                <w:sz w:val="15"/>
              </w:rPr>
              <w:t>99.97</w:t>
            </w:r>
          </w:p>
        </w:tc>
        <w:tc>
          <w:tcPr>
            <w:tcW w:type="dxa" w:w="936"/>
            <w:shd w:val="clear" w:color="auto" w:fill="EDF1F6"/>
          </w:tcPr>
          <w:p>
            <w:pPr>
              <w:keepNext/>
              <w:jc w:val="center"/>
            </w:pPr>
            <w:r>
              <w:rPr>
                <w:sz w:val="15"/>
              </w:rPr>
              <w:t>524.7</w:t>
            </w:r>
          </w:p>
        </w:tc>
      </w:tr>
      <w:tr>
        <w:trPr>
          <w:cantSplit/>
        </w:trPr>
        <w:tc>
          <w:tcPr>
            <w:tcW w:type="dxa" w:w="648"/>
          </w:tcPr>
          <w:p>
            <w:pPr>
              <w:keepNext/>
              <w:jc w:val="left"/>
            </w:pPr>
            <w:r>
              <w:rPr>
                <w:sz w:val="15"/>
              </w:rPr>
              <w:t>3</w:t>
            </w:r>
          </w:p>
        </w:tc>
        <w:tc>
          <w:tcPr>
            <w:tcW w:type="dxa" w:w="864"/>
          </w:tcPr>
          <w:p>
            <w:pPr>
              <w:keepNext/>
              <w:jc w:val="center"/>
            </w:pPr>
            <w:r>
              <w:rPr>
                <w:sz w:val="15"/>
              </w:rPr>
              <w:t>0.109</w:t>
            </w:r>
          </w:p>
        </w:tc>
        <w:tc>
          <w:tcPr>
            <w:tcW w:type="dxa" w:w="792"/>
          </w:tcPr>
          <w:p>
            <w:pPr>
              <w:keepNext/>
              <w:jc w:val="center"/>
            </w:pPr>
            <w:r>
              <w:rPr>
                <w:sz w:val="15"/>
              </w:rPr>
              <w:t>0.038</w:t>
            </w:r>
          </w:p>
        </w:tc>
        <w:tc>
          <w:tcPr>
            <w:tcW w:type="dxa" w:w="864"/>
          </w:tcPr>
          <w:p>
            <w:pPr>
              <w:keepNext/>
              <w:jc w:val="center"/>
            </w:pPr>
            <w:r>
              <w:rPr>
                <w:sz w:val="15"/>
              </w:rPr>
              <w:t>98.91</w:t>
            </w:r>
          </w:p>
        </w:tc>
        <w:tc>
          <w:tcPr>
            <w:tcW w:type="dxa" w:w="864"/>
          </w:tcPr>
          <w:p>
            <w:pPr>
              <w:keepNext/>
              <w:jc w:val="center"/>
            </w:pPr>
            <w:r>
              <w:rPr>
                <w:sz w:val="15"/>
              </w:rPr>
              <w:t>100.00</w:t>
            </w:r>
          </w:p>
        </w:tc>
        <w:tc>
          <w:tcPr>
            <w:tcW w:type="dxa" w:w="936"/>
          </w:tcPr>
          <w:p>
            <w:pPr>
              <w:keepNext/>
              <w:jc w:val="center"/>
            </w:pPr>
            <w:r>
              <w:rPr>
                <w:sz w:val="15"/>
              </w:rPr>
              <w:t>780.5</w:t>
            </w:r>
          </w:p>
        </w:tc>
      </w:tr>
      <w:tr>
        <w:trPr>
          <w:cantSplit/>
        </w:trPr>
        <w:tc>
          <w:tcPr>
            <w:tcW w:type="dxa" w:w="648"/>
            <w:shd w:val="clear" w:color="auto" w:fill="EDF1F6"/>
          </w:tcPr>
          <w:p>
            <w:pPr>
              <w:keepNext/>
              <w:jc w:val="left"/>
            </w:pPr>
            <w:r>
              <w:rPr>
                <w:sz w:val="15"/>
              </w:rPr>
              <w:t>4</w:t>
            </w:r>
          </w:p>
        </w:tc>
        <w:tc>
          <w:tcPr>
            <w:tcW w:type="dxa" w:w="864"/>
            <w:shd w:val="clear" w:color="auto" w:fill="EDF1F6"/>
          </w:tcPr>
          <w:p>
            <w:pPr>
              <w:keepNext/>
              <w:jc w:val="center"/>
            </w:pPr>
            <w:r>
              <w:rPr>
                <w:sz w:val="15"/>
              </w:rPr>
              <w:t>0.075</w:t>
            </w:r>
          </w:p>
        </w:tc>
        <w:tc>
          <w:tcPr>
            <w:tcW w:type="dxa" w:w="792"/>
            <w:shd w:val="clear" w:color="auto" w:fill="EDF1F6"/>
          </w:tcPr>
          <w:p>
            <w:pPr>
              <w:keepNext/>
              <w:jc w:val="center"/>
            </w:pPr>
            <w:r>
              <w:rPr>
                <w:sz w:val="15"/>
              </w:rPr>
              <w:t>0.028</w:t>
            </w:r>
          </w:p>
        </w:tc>
        <w:tc>
          <w:tcPr>
            <w:tcW w:type="dxa" w:w="864"/>
            <w:shd w:val="clear" w:color="auto" w:fill="EDF1F6"/>
          </w:tcPr>
          <w:p>
            <w:pPr>
              <w:keepNext/>
              <w:jc w:val="center"/>
            </w:pPr>
            <w:r>
              <w:rPr>
                <w:sz w:val="15"/>
              </w:rPr>
              <w:t>99.21</w:t>
            </w:r>
          </w:p>
        </w:tc>
        <w:tc>
          <w:tcPr>
            <w:tcW w:type="dxa" w:w="864"/>
            <w:shd w:val="clear" w:color="auto" w:fill="EDF1F6"/>
          </w:tcPr>
          <w:p>
            <w:pPr>
              <w:keepNext/>
              <w:jc w:val="center"/>
            </w:pPr>
            <w:r>
              <w:rPr>
                <w:sz w:val="15"/>
              </w:rPr>
              <w:t>100.00</w:t>
            </w:r>
          </w:p>
        </w:tc>
        <w:tc>
          <w:tcPr>
            <w:tcW w:type="dxa" w:w="936"/>
            <w:shd w:val="clear" w:color="auto" w:fill="EDF1F6"/>
          </w:tcPr>
          <w:p>
            <w:pPr>
              <w:keepNext/>
              <w:jc w:val="center"/>
            </w:pPr>
            <w:r>
              <w:rPr>
                <w:sz w:val="15"/>
              </w:rPr>
              <w:t>1040.4</w:t>
            </w:r>
          </w:p>
        </w:tc>
      </w:tr>
      <w:tr>
        <w:trPr>
          <w:cantSplit/>
        </w:trPr>
        <w:tc>
          <w:tcPr>
            <w:tcW w:type="dxa" w:w="648"/>
          </w:tcPr>
          <w:p>
            <w:pPr>
              <w:jc w:val="left"/>
            </w:pPr>
            <w:r>
              <w:rPr>
                <w:sz w:val="15"/>
              </w:rPr>
              <w:t>5</w:t>
            </w:r>
          </w:p>
        </w:tc>
        <w:tc>
          <w:tcPr>
            <w:tcW w:type="dxa" w:w="864"/>
          </w:tcPr>
          <w:p>
            <w:pPr>
              <w:jc w:val="center"/>
            </w:pPr>
            <w:r>
              <w:rPr>
                <w:sz w:val="15"/>
              </w:rPr>
              <w:t>0.052</w:t>
            </w:r>
          </w:p>
        </w:tc>
        <w:tc>
          <w:tcPr>
            <w:tcW w:type="dxa" w:w="792"/>
          </w:tcPr>
          <w:p>
            <w:pPr>
              <w:jc w:val="center"/>
            </w:pPr>
            <w:r>
              <w:rPr>
                <w:sz w:val="15"/>
              </w:rPr>
              <w:t>0.024</w:t>
            </w:r>
          </w:p>
        </w:tc>
        <w:tc>
          <w:tcPr>
            <w:tcW w:type="dxa" w:w="864"/>
          </w:tcPr>
          <w:p>
            <w:pPr>
              <w:jc w:val="center"/>
            </w:pPr>
            <w:r>
              <w:rPr>
                <w:b/>
                <w:sz w:val="15"/>
              </w:rPr>
              <w:t>99.32</w:t>
            </w:r>
          </w:p>
        </w:tc>
        <w:tc>
          <w:tcPr>
            <w:tcW w:type="dxa" w:w="864"/>
          </w:tcPr>
          <w:p>
            <w:pPr>
              <w:jc w:val="center"/>
            </w:pPr>
            <w:r>
              <w:rPr>
                <w:b/>
                <w:sz w:val="15"/>
              </w:rPr>
              <w:t>100.00</w:t>
            </w:r>
          </w:p>
        </w:tc>
        <w:tc>
          <w:tcPr>
            <w:tcW w:type="dxa" w:w="936"/>
          </w:tcPr>
          <w:p>
            <w:pPr>
              <w:jc w:val="center"/>
            </w:pPr>
            <w:r>
              <w:rPr>
                <w:sz w:val="15"/>
              </w:rPr>
              <w:t>1300.0</w:t>
            </w:r>
          </w:p>
        </w:tc>
      </w:tr>
    </w:tbl>
    <w:p>
      <w:pPr>
        <w:spacing w:after="120"/>
      </w:pPr>
    </w:p>
    <w:p>
      <w:pPr>
        <w:sectPr>
          <w:type w:val="continuous"/>
          <w:pgSz w:w="12240" w:h="15840"/>
          <w:pgMar w:top="1080" w:right="965" w:bottom="1152" w:left="965" w:header="504" w:footer="720" w:gutter="0"/>
          <w:docGrid w:linePitch="360"/>
          <w:cols w:num="2" w:space="360"/>
        </w:sectPr>
      </w:pPr>
    </w:p>
    <w:p>
      <w:pPr>
        <w:keepNext/>
        <w:spacing w:before="120"/>
        <w:jc w:val="center"/>
      </w:pPr>
      <w:r>
        <w:drawing>
          <wp:inline xmlns:a="http://schemas.openxmlformats.org/drawingml/2006/main" xmlns:pic="http://schemas.openxmlformats.org/drawingml/2006/picture">
            <wp:extent cx="5120640" cy="2897751"/>
            <wp:docPr id="12" name="Picture 12"/>
            <wp:cNvGraphicFramePr>
              <a:graphicFrameLocks noChangeAspect="1"/>
            </wp:cNvGraphicFramePr>
            <a:graphic>
              <a:graphicData uri="http://schemas.openxmlformats.org/drawingml/2006/picture">
                <pic:pic>
                  <pic:nvPicPr>
                    <pic:cNvPr id="0" name="fig_training_curves.png"/>
                    <pic:cNvPicPr/>
                  </pic:nvPicPr>
                  <pic:blipFill>
                    <a:blip r:embed="rId22"/>
                    <a:stretch>
                      <a:fillRect/>
                    </a:stretch>
                  </pic:blipFill>
                  <pic:spPr>
                    <a:xfrm>
                      <a:off x="0" y="0"/>
                      <a:ext cx="5120640" cy="2897751"/>
                    </a:xfrm>
                    <a:prstGeom prst="rect"/>
                  </pic:spPr>
                </pic:pic>
              </a:graphicData>
            </a:graphic>
          </wp:inline>
        </w:drawing>
      </w:r>
    </w:p>
    <w:p>
      <w:pPr>
        <w:spacing w:after="160"/>
        <w:jc w:val="both"/>
      </w:pPr>
      <w:r>
        <w:rPr>
          <w:b/>
          <w:color w:val="1B3A6B"/>
          <w:sz w:val="16"/>
        </w:rPr>
        <w:t xml:space="preserve">FIGURE 6. </w:t>
      </w:r>
      <w:r>
        <w:rPr>
          <w:sz w:val="16"/>
        </w:rPr>
        <w:t>Training and validation loss and accuracy over five epochs.</w:t>
      </w:r>
    </w:p>
    <w:p>
      <w:pPr>
        <w:sectPr>
          <w:type w:val="continuous"/>
          <w:pgSz w:w="12240" w:h="15840"/>
          <w:pgMar w:top="1080" w:right="965" w:bottom="1152" w:left="965" w:header="504" w:footer="720" w:gutter="0"/>
          <w:docGrid w:linePitch="360"/>
          <w:cols w:num="1" w:space="360"/>
        </w:sectPr>
      </w:pPr>
    </w:p>
    <w:p>
      <w:pPr>
        <w:sectPr>
          <w:type w:val="continuous"/>
          <w:pgSz w:w="12240" w:h="15840"/>
          <w:pgMar w:top="1080" w:right="965" w:bottom="1152" w:left="965" w:header="504" w:footer="720" w:gutter="0"/>
          <w:docGrid w:linePitch="360"/>
          <w:cols w:num="2" w:space="360"/>
        </w:sectPr>
      </w:pPr>
    </w:p>
    <w:p>
      <w:pPr>
        <w:keepNext/>
        <w:spacing w:before="120"/>
        <w:jc w:val="center"/>
      </w:pPr>
      <w:r>
        <w:drawing>
          <wp:inline xmlns:a="http://schemas.openxmlformats.org/drawingml/2006/main" xmlns:pic="http://schemas.openxmlformats.org/drawingml/2006/picture">
            <wp:extent cx="4937760" cy="3703320"/>
            <wp:docPr id="13" name="Picture 13"/>
            <wp:cNvGraphicFramePr>
              <a:graphicFrameLocks noChangeAspect="1"/>
            </wp:cNvGraphicFramePr>
            <a:graphic>
              <a:graphicData uri="http://schemas.openxmlformats.org/drawingml/2006/picture">
                <pic:pic>
                  <pic:nvPicPr>
                    <pic:cNvPr id="0" name="confusion_matrix_normalized.png"/>
                    <pic:cNvPicPr/>
                  </pic:nvPicPr>
                  <pic:blipFill>
                    <a:blip r:embed="rId23"/>
                    <a:stretch>
                      <a:fillRect/>
                    </a:stretch>
                  </pic:blipFill>
                  <pic:spPr>
                    <a:xfrm>
                      <a:off x="0" y="0"/>
                      <a:ext cx="4937760" cy="3703320"/>
                    </a:xfrm>
                    <a:prstGeom prst="rect"/>
                  </pic:spPr>
                </pic:pic>
              </a:graphicData>
            </a:graphic>
          </wp:inline>
        </w:drawing>
      </w:r>
    </w:p>
    <w:p>
      <w:pPr>
        <w:spacing w:after="160"/>
        <w:jc w:val="both"/>
      </w:pPr>
      <w:r>
        <w:rPr>
          <w:b/>
          <w:color w:val="1B3A6B"/>
          <w:sz w:val="16"/>
        </w:rPr>
        <w:t xml:space="preserve">FIGURE 7. </w:t>
      </w:r>
      <w:r>
        <w:rPr>
          <w:sz w:val="16"/>
        </w:rPr>
        <w:t>Row-normalised confusion matrix over the 38 classes on the validation split.</w:t>
      </w:r>
    </w:p>
    <w:p>
      <w:pPr>
        <w:sectPr>
          <w:type w:val="continuous"/>
          <w:pgSz w:w="12240" w:h="15840"/>
          <w:pgMar w:top="1080" w:right="965" w:bottom="1152" w:left="965" w:header="504" w:footer="720" w:gutter="0"/>
          <w:docGrid w:linePitch="360"/>
          <w:cols w:num="1" w:space="360"/>
        </w:sectPr>
      </w:pPr>
    </w:p>
    <w:p>
      <w:pPr>
        <w:keepNext/>
        <w:spacing w:before="100" w:after="40"/>
      </w:pPr>
      <w:r>
        <w:rPr>
          <w:b/>
          <w:color w:val="1B3A6B"/>
          <w:sz w:val="17"/>
        </w:rPr>
        <w:t>B. MODEL COMPLEXITY AND SERVER-SIDE LATENCY</w:t>
      </w:r>
    </w:p>
    <w:p>
      <w:pPr>
        <w:spacing w:after="0"/>
        <w:ind w:firstLine="216"/>
        <w:jc w:val="both"/>
      </w:pPr>
      <w:r>
        <w:t>The exported model has 1,574,708 parameters (counted from the ONNX initializers) in 155 graph nodes; the PyTorch checkpoint is 3.13 MiB and the FP32 ONNX file 6.10 MiB. Latency was measured with ONNX Runtime 1.31 on an AMD Ryzen 5 5625U laptop CPU, batch 1, 224×224 input, 20 warm-up runs followed by 200 timed runs (Table 8). A single CPU thread suffices for interactive diagnosis.</w:t>
      </w:r>
    </w:p>
    <w:p>
      <w:pPr>
        <w:keepNext/>
        <w:spacing w:before="120" w:after="60"/>
        <w:jc w:val="center"/>
      </w:pPr>
      <w:r>
        <w:rPr>
          <w:b/>
          <w:color w:val="1B3A6B"/>
          <w:sz w:val="16"/>
        </w:rPr>
        <w:t xml:space="preserve">TABLE 8. </w:t>
      </w:r>
      <w:r>
        <w:rPr>
          <w:sz w:val="16"/>
        </w:rPr>
        <w:t>ONNX Runtime CPU inference latency (n = 200).</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cantSplit/>
        </w:trPr>
        <w:tc>
          <w:tcPr>
            <w:tcW w:type="dxa" w:w="877"/>
            <w:shd w:val="clear" w:color="auto" w:fill="1B3A6B"/>
          </w:tcPr>
          <w:p>
            <w:pPr>
              <w:keepNext/>
              <w:jc w:val="left"/>
            </w:pPr>
            <w:r>
              <w:rPr>
                <w:b/>
                <w:color w:val="FFFFFF"/>
                <w:sz w:val="15"/>
              </w:rPr>
              <w:t>Threads</w:t>
            </w:r>
          </w:p>
        </w:tc>
        <w:tc>
          <w:tcPr>
            <w:tcW w:type="dxa" w:w="1023"/>
            <w:shd w:val="clear" w:color="auto" w:fill="1B3A6B"/>
          </w:tcPr>
          <w:p>
            <w:pPr>
              <w:keepNext/>
              <w:jc w:val="center"/>
            </w:pPr>
            <w:r>
              <w:rPr>
                <w:b/>
                <w:color w:val="FFFFFF"/>
                <w:sz w:val="15"/>
              </w:rPr>
              <w:t>Mean (ms)</w:t>
            </w:r>
          </w:p>
        </w:tc>
        <w:tc>
          <w:tcPr>
            <w:tcW w:type="dxa" w:w="1023"/>
            <w:shd w:val="clear" w:color="auto" w:fill="1B3A6B"/>
          </w:tcPr>
          <w:p>
            <w:pPr>
              <w:keepNext/>
              <w:jc w:val="center"/>
            </w:pPr>
            <w:r>
              <w:rPr>
                <w:b/>
                <w:color w:val="FFFFFF"/>
                <w:sz w:val="15"/>
              </w:rPr>
              <w:t>Std (ms)</w:t>
            </w:r>
          </w:p>
        </w:tc>
        <w:tc>
          <w:tcPr>
            <w:tcW w:type="dxa" w:w="1023"/>
            <w:shd w:val="clear" w:color="auto" w:fill="1B3A6B"/>
          </w:tcPr>
          <w:p>
            <w:pPr>
              <w:keepNext/>
              <w:jc w:val="center"/>
            </w:pPr>
            <w:r>
              <w:rPr>
                <w:b/>
                <w:color w:val="FFFFFF"/>
                <w:sz w:val="15"/>
              </w:rPr>
              <w:t>p50 (ms)</w:t>
            </w:r>
          </w:p>
        </w:tc>
        <w:tc>
          <w:tcPr>
            <w:tcW w:type="dxa" w:w="1023"/>
            <w:shd w:val="clear" w:color="auto" w:fill="1B3A6B"/>
          </w:tcPr>
          <w:p>
            <w:pPr>
              <w:keepNext/>
              <w:jc w:val="center"/>
            </w:pPr>
            <w:r>
              <w:rPr>
                <w:b/>
                <w:color w:val="FFFFFF"/>
                <w:sz w:val="15"/>
              </w:rPr>
              <w:t>p95 (ms)</w:t>
            </w:r>
          </w:p>
        </w:tc>
      </w:tr>
      <w:tr>
        <w:trPr>
          <w:cantSplit/>
        </w:trPr>
        <w:tc>
          <w:tcPr>
            <w:tcW w:type="dxa" w:w="877"/>
          </w:tcPr>
          <w:p>
            <w:pPr>
              <w:keepNext/>
              <w:jc w:val="left"/>
            </w:pPr>
            <w:r>
              <w:rPr>
                <w:sz w:val="15"/>
              </w:rPr>
              <w:t>1</w:t>
            </w:r>
          </w:p>
        </w:tc>
        <w:tc>
          <w:tcPr>
            <w:tcW w:type="dxa" w:w="1023"/>
          </w:tcPr>
          <w:p>
            <w:pPr>
              <w:keepNext/>
              <w:jc w:val="center"/>
            </w:pPr>
            <w:r>
              <w:rPr>
                <w:sz w:val="15"/>
              </w:rPr>
              <w:t>6.07</w:t>
            </w:r>
          </w:p>
        </w:tc>
        <w:tc>
          <w:tcPr>
            <w:tcW w:type="dxa" w:w="1023"/>
          </w:tcPr>
          <w:p>
            <w:pPr>
              <w:keepNext/>
              <w:jc w:val="center"/>
            </w:pPr>
            <w:r>
              <w:rPr>
                <w:sz w:val="15"/>
              </w:rPr>
              <w:t>1.18</w:t>
            </w:r>
          </w:p>
        </w:tc>
        <w:tc>
          <w:tcPr>
            <w:tcW w:type="dxa" w:w="1023"/>
          </w:tcPr>
          <w:p>
            <w:pPr>
              <w:keepNext/>
              <w:jc w:val="center"/>
            </w:pPr>
            <w:r>
              <w:rPr>
                <w:sz w:val="15"/>
              </w:rPr>
              <w:t>5.81</w:t>
            </w:r>
          </w:p>
        </w:tc>
        <w:tc>
          <w:tcPr>
            <w:tcW w:type="dxa" w:w="1023"/>
          </w:tcPr>
          <w:p>
            <w:pPr>
              <w:keepNext/>
              <w:jc w:val="center"/>
            </w:pPr>
            <w:r>
              <w:rPr>
                <w:sz w:val="15"/>
              </w:rPr>
              <w:t>8.36</w:t>
            </w:r>
          </w:p>
        </w:tc>
      </w:tr>
      <w:tr>
        <w:trPr>
          <w:cantSplit/>
        </w:trPr>
        <w:tc>
          <w:tcPr>
            <w:tcW w:type="dxa" w:w="877"/>
            <w:shd w:val="clear" w:color="auto" w:fill="EDF1F6"/>
          </w:tcPr>
          <w:p>
            <w:pPr>
              <w:jc w:val="left"/>
            </w:pPr>
            <w:r>
              <w:rPr>
                <w:sz w:val="15"/>
              </w:rPr>
              <w:t>4</w:t>
            </w:r>
          </w:p>
        </w:tc>
        <w:tc>
          <w:tcPr>
            <w:tcW w:type="dxa" w:w="1023"/>
            <w:shd w:val="clear" w:color="auto" w:fill="EDF1F6"/>
          </w:tcPr>
          <w:p>
            <w:pPr>
              <w:jc w:val="center"/>
            </w:pPr>
            <w:r>
              <w:rPr>
                <w:sz w:val="15"/>
              </w:rPr>
              <w:t>3.98</w:t>
            </w:r>
          </w:p>
        </w:tc>
        <w:tc>
          <w:tcPr>
            <w:tcW w:type="dxa" w:w="1023"/>
            <w:shd w:val="clear" w:color="auto" w:fill="EDF1F6"/>
          </w:tcPr>
          <w:p>
            <w:pPr>
              <w:jc w:val="center"/>
            </w:pPr>
            <w:r>
              <w:rPr>
                <w:sz w:val="15"/>
              </w:rPr>
              <w:t>1.77</w:t>
            </w:r>
          </w:p>
        </w:tc>
        <w:tc>
          <w:tcPr>
            <w:tcW w:type="dxa" w:w="1023"/>
            <w:shd w:val="clear" w:color="auto" w:fill="EDF1F6"/>
          </w:tcPr>
          <w:p>
            <w:pPr>
              <w:jc w:val="center"/>
            </w:pPr>
            <w:r>
              <w:rPr>
                <w:sz w:val="15"/>
              </w:rPr>
              <w:t>3.49</w:t>
            </w:r>
          </w:p>
        </w:tc>
        <w:tc>
          <w:tcPr>
            <w:tcW w:type="dxa" w:w="1023"/>
            <w:shd w:val="clear" w:color="auto" w:fill="EDF1F6"/>
          </w:tcPr>
          <w:p>
            <w:pPr>
              <w:jc w:val="center"/>
            </w:pPr>
            <w:r>
              <w:rPr>
                <w:sz w:val="15"/>
              </w:rPr>
              <w:t>6.78</w:t>
            </w:r>
          </w:p>
        </w:tc>
      </w:tr>
    </w:tbl>
    <w:p>
      <w:pPr>
        <w:spacing w:after="120"/>
      </w:pPr>
    </w:p>
    <w:p>
      <w:pPr>
        <w:keepNext/>
        <w:spacing w:before="100" w:after="40"/>
      </w:pPr>
      <w:r>
        <w:rPr>
          <w:b/>
          <w:color w:val="1B3A6B"/>
          <w:sz w:val="17"/>
        </w:rPr>
        <w:t>C. STATIC EDGE-FEASIBILITY ANALYSIS</w:t>
      </w:r>
    </w:p>
    <w:p>
      <w:pPr>
        <w:spacing w:after="0"/>
        <w:ind w:firstLine="216"/>
        <w:jc w:val="both"/>
      </w:pPr>
      <w:r>
        <w:t xml:space="preserve">For an input of side </w:t>
      </w:r>
      <w:r>
        <w:rPr>
          <w:i/>
        </w:rPr>
        <w:t>r</w:t>
      </w:r>
      <w:r>
        <w:t xml:space="preserve">, </w:t>
      </w:r>
      <w:r>
        <w:rPr>
          <w:i/>
        </w:rPr>
        <w:t>c</w:t>
      </w:r>
      <w:r>
        <w:t xml:space="preserve"> channels and </w:t>
      </w:r>
      <w:r>
        <w:rPr>
          <w:i/>
        </w:rPr>
        <w:t>b</w:t>
      </w:r>
      <w:r>
        <w:t xml:space="preserve"> bytes per element the input activation alone needs</w:t>
      </w:r>
    </w:p>
    <w:tbl>
      <w:tblPr>
        <w:tblW w:type="auto" w:w="0"/>
        <w:jc w:val="center"/>
        <w:tblLayout w:type="fixed"/>
        <w:tblLook w:firstColumn="1" w:firstRow="1" w:lastColumn="0" w:lastRow="0" w:noHBand="0" w:noVBand="1" w:val="04A0"/>
      </w:tblPr>
      <w:tblGrid>
        <w:gridCol w:w="5155"/>
        <w:gridCol w:w="5155"/>
      </w:tblGrid>
      <w:tr>
        <w:tc>
          <w:tcPr>
            <w:tcW w:type="dxa" w:w="4320"/>
          </w:tcPr>
          <w:p>
            <w:pPr>
              <w:spacing w:before="60" w:after="60"/>
              <w:jc w:val="center"/>
            </w:pPr>
            <w:r>
              <w:drawing>
                <wp:inline xmlns:a="http://schemas.openxmlformats.org/drawingml/2006/main" xmlns:pic="http://schemas.openxmlformats.org/drawingml/2006/picture">
                  <wp:extent cx="2219934" cy="172959"/>
                  <wp:docPr id="14" name="Picture 14"/>
                  <wp:cNvGraphicFramePr>
                    <a:graphicFrameLocks noChangeAspect="1"/>
                  </wp:cNvGraphicFramePr>
                  <a:graphic>
                    <a:graphicData uri="http://schemas.openxmlformats.org/drawingml/2006/picture">
                      <pic:pic>
                        <pic:nvPicPr>
                          <pic:cNvPr id="0" name="4574977184967896230.png"/>
                          <pic:cNvPicPr/>
                        </pic:nvPicPr>
                        <pic:blipFill>
                          <a:blip r:embed="rId24"/>
                          <a:stretch>
                            <a:fillRect/>
                          </a:stretch>
                        </pic:blipFill>
                        <pic:spPr>
                          <a:xfrm>
                            <a:off x="0" y="0"/>
                            <a:ext cx="2219934" cy="172959"/>
                          </a:xfrm>
                          <a:prstGeom prst="rect"/>
                        </pic:spPr>
                      </pic:pic>
                    </a:graphicData>
                  </a:graphic>
                </wp:inline>
              </w:drawing>
            </w:r>
          </w:p>
        </w:tc>
        <w:tc>
          <w:tcPr>
            <w:tcW w:type="dxa" w:w="648"/>
          </w:tcPr>
          <w:p>
            <w:pPr>
              <w:jc w:val="right"/>
            </w:pPr>
            <w:r>
              <w:t>(7)</w:t>
            </w:r>
          </w:p>
        </w:tc>
      </w:tr>
    </w:tbl>
    <w:p>
      <w:pPr>
        <w:spacing w:after="0"/>
        <w:ind w:firstLine="216"/>
        <w:jc w:val="both"/>
      </w:pPr>
      <w:r>
        <w:t>which already exceeds the 520 KiB SRAM of the base ESP32 [41] before any intermediate feature map, camera frame buffer or Wi-Fi stack is allocated. The FP32 model is 12.0× that SRAM budget, and even an ideal 4× INT8 compression [27] leaves 1.53 MiB (Fig. 8). On-device inference therefore requires a smaller input, fewer classes, PSRAM-backed tensor arenas or an ESP32-S3-class part; the deployed design runs inference on the server.</w:t>
      </w:r>
    </w:p>
    <w:p>
      <w:pPr>
        <w:keepNext/>
        <w:spacing w:before="120"/>
        <w:jc w:val="center"/>
      </w:pPr>
      <w:r>
        <w:drawing>
          <wp:inline xmlns:a="http://schemas.openxmlformats.org/drawingml/2006/main" xmlns:pic="http://schemas.openxmlformats.org/drawingml/2006/picture">
            <wp:extent cx="3154680" cy="2270566"/>
            <wp:docPr id="15" name="Picture 15"/>
            <wp:cNvGraphicFramePr>
              <a:graphicFrameLocks noChangeAspect="1"/>
            </wp:cNvGraphicFramePr>
            <a:graphic>
              <a:graphicData uri="http://schemas.openxmlformats.org/drawingml/2006/picture">
                <pic:pic>
                  <pic:nvPicPr>
                    <pic:cNvPr id="0" name="fig_memory.png"/>
                    <pic:cNvPicPr/>
                  </pic:nvPicPr>
                  <pic:blipFill>
                    <a:blip r:embed="rId25"/>
                    <a:stretch>
                      <a:fillRect/>
                    </a:stretch>
                  </pic:blipFill>
                  <pic:spPr>
                    <a:xfrm>
                      <a:off x="0" y="0"/>
                      <a:ext cx="3154680" cy="2270566"/>
                    </a:xfrm>
                    <a:prstGeom prst="rect"/>
                  </pic:spPr>
                </pic:pic>
              </a:graphicData>
            </a:graphic>
          </wp:inline>
        </w:drawing>
      </w:r>
    </w:p>
    <w:p>
      <w:pPr>
        <w:spacing w:after="160"/>
        <w:jc w:val="both"/>
      </w:pPr>
      <w:r>
        <w:rPr>
          <w:b/>
          <w:color w:val="1B3A6B"/>
          <w:sz w:val="16"/>
        </w:rPr>
        <w:t xml:space="preserve">FIGURE 8. </w:t>
      </w:r>
      <w:r>
        <w:rPr>
          <w:sz w:val="16"/>
        </w:rPr>
        <w:t>Model footprint versus on-chip memory budgets (log scale).</w:t>
      </w:r>
    </w:p>
    <w:p>
      <w:pPr>
        <w:keepNext/>
        <w:spacing w:before="100" w:after="40"/>
      </w:pPr>
      <w:r>
        <w:rPr>
          <w:b/>
          <w:color w:val="1B3A6B"/>
          <w:sz w:val="17"/>
        </w:rPr>
        <w:t>D. CONTROLLER SIMULATION</w:t>
      </w:r>
    </w:p>
    <w:p>
      <w:pPr>
        <w:spacing w:after="0"/>
        <w:ind w:firstLine="216"/>
        <w:jc w:val="both"/>
      </w:pPr>
      <w:r>
        <w:t xml:space="preserve">To illustrate why the hold rule matters, we simulated 48 h with a bucket soil model: moisture falls 2 %/h by evapotranspiration, rises 0.12 % per 10 s tick while pumping, and one hour of rain occurs at t = 20 h; the sensor adds Gaussian noise (σ = 2 %), and the 15 min cap and 30 min cooldown apply to both rules. These parameters are assumptions, not field measurements. A single 30 % threshold switched the relay </w:t>
      </w:r>
      <w:r>
        <w:rPr>
          <w:b/>
        </w:rPr>
        <w:t>1292</w:t>
      </w:r>
      <w:r>
        <w:t xml:space="preserve"> times as noise crossed the threshold, whereas Algorithm 1 switched </w:t>
      </w:r>
      <w:r>
        <w:rPr>
          <w:b/>
        </w:rPr>
        <w:t>16</w:t>
      </w:r>
      <w:r>
        <w:t xml:space="preserve"> times for similar pump-on time (114 vs. 120 min) (Fig. 9). The simulation also exposed a design interaction: with this wetting rate the 15 min cap ends each cycle near 45 %, well short of θ_wet, so in practice the cap rather than the upper threshold bounds each irrigation event.</w:t>
      </w:r>
    </w:p>
    <w:p>
      <w:pPr>
        <w:keepNext/>
        <w:spacing w:before="120"/>
        <w:jc w:val="center"/>
      </w:pPr>
      <w:r>
        <w:drawing>
          <wp:inline xmlns:a="http://schemas.openxmlformats.org/drawingml/2006/main" xmlns:pic="http://schemas.openxmlformats.org/drawingml/2006/picture">
            <wp:extent cx="3154680" cy="2834640"/>
            <wp:docPr id="16" name="Picture 16"/>
            <wp:cNvGraphicFramePr>
              <a:graphicFrameLocks noChangeAspect="1"/>
            </wp:cNvGraphicFramePr>
            <a:graphic>
              <a:graphicData uri="http://schemas.openxmlformats.org/drawingml/2006/picture">
                <pic:pic>
                  <pic:nvPicPr>
                    <pic:cNvPr id="0" name="sim_hysteresis.png"/>
                    <pic:cNvPicPr/>
                  </pic:nvPicPr>
                  <pic:blipFill>
                    <a:blip r:embed="rId26"/>
                    <a:stretch>
                      <a:fillRect/>
                    </a:stretch>
                  </pic:blipFill>
                  <pic:spPr>
                    <a:xfrm>
                      <a:off x="0" y="0"/>
                      <a:ext cx="3154680" cy="2834640"/>
                    </a:xfrm>
                    <a:prstGeom prst="rect"/>
                  </pic:spPr>
                </pic:pic>
              </a:graphicData>
            </a:graphic>
          </wp:inline>
        </w:drawing>
      </w:r>
    </w:p>
    <w:p>
      <w:pPr>
        <w:spacing w:after="160"/>
        <w:jc w:val="both"/>
      </w:pPr>
      <w:r>
        <w:rPr>
          <w:b/>
          <w:color w:val="1B3A6B"/>
          <w:sz w:val="16"/>
        </w:rPr>
        <w:t xml:space="preserve">FIGURE 9. </w:t>
      </w:r>
      <w:r>
        <w:rPr>
          <w:sz w:val="16"/>
        </w:rPr>
        <w:t>Simulated 48 h trace (assumed soil model; not a field result). Hysteresis reduces relay switching by roughly two orders of magnitude under 2 % sensor noise.</w:t>
      </w:r>
    </w:p>
    <w:p>
      <w:pPr>
        <w:keepNext/>
        <w:spacing w:before="100" w:after="40"/>
      </w:pPr>
      <w:r>
        <w:rPr>
          <w:b/>
          <w:color w:val="1B3A6B"/>
          <w:sz w:val="17"/>
        </w:rPr>
        <w:t>E. FUNCTIONAL VERIFICATION</w:t>
      </w:r>
    </w:p>
    <w:p>
      <w:pPr>
        <w:keepNext/>
        <w:spacing w:before="120" w:after="60"/>
        <w:jc w:val="center"/>
      </w:pPr>
      <w:r>
        <w:rPr>
          <w:b/>
          <w:color w:val="1B3A6B"/>
          <w:sz w:val="16"/>
        </w:rPr>
        <w:t xml:space="preserve">TABLE 9. </w:t>
      </w:r>
      <w:r>
        <w:rPr>
          <w:sz w:val="16"/>
        </w:rPr>
        <w:t>Automated verification executed for this paper.</w:t>
      </w:r>
    </w:p>
    <w:tbl>
      <w:tblPr>
        <w:tblStyle w:val="TableGrid"/>
        <w:tblW w:type="auto" w:w="0"/>
        <w:jc w:val="center"/>
        <w:tblLook w:firstColumn="1" w:firstRow="1" w:lastColumn="0" w:lastRow="0" w:noHBand="0" w:noVBand="1" w:val="04A0"/>
      </w:tblPr>
      <w:tblGrid>
        <w:gridCol w:w="3437"/>
        <w:gridCol w:w="3437"/>
        <w:gridCol w:w="3437"/>
      </w:tblGrid>
      <w:tr>
        <w:trPr>
          <w:cantSplit/>
        </w:trPr>
        <w:tc>
          <w:tcPr>
            <w:tcW w:type="dxa" w:w="1728"/>
            <w:shd w:val="clear" w:color="auto" w:fill="1B3A6B"/>
          </w:tcPr>
          <w:p>
            <w:pPr>
              <w:keepNext/>
              <w:jc w:val="left"/>
            </w:pPr>
            <w:r>
              <w:rPr>
                <w:b/>
                <w:color w:val="FFFFFF"/>
                <w:sz w:val="14"/>
              </w:rPr>
              <w:t>Suite</w:t>
            </w:r>
          </w:p>
        </w:tc>
        <w:tc>
          <w:tcPr>
            <w:tcW w:type="dxa" w:w="2232"/>
            <w:shd w:val="clear" w:color="auto" w:fill="1B3A6B"/>
          </w:tcPr>
          <w:p>
            <w:pPr>
              <w:keepNext/>
              <w:jc w:val="center"/>
            </w:pPr>
            <w:r>
              <w:rPr>
                <w:b/>
                <w:color w:val="FFFFFF"/>
                <w:sz w:val="14"/>
              </w:rPr>
              <w:t>Scope</w:t>
            </w:r>
          </w:p>
        </w:tc>
        <w:tc>
          <w:tcPr>
            <w:tcW w:type="dxa" w:w="1008"/>
            <w:shd w:val="clear" w:color="auto" w:fill="1B3A6B"/>
          </w:tcPr>
          <w:p>
            <w:pPr>
              <w:keepNext/>
              <w:jc w:val="center"/>
            </w:pPr>
            <w:r>
              <w:rPr>
                <w:b/>
                <w:color w:val="FFFFFF"/>
                <w:sz w:val="14"/>
              </w:rPr>
              <w:t>Result</w:t>
            </w:r>
          </w:p>
        </w:tc>
      </w:tr>
      <w:tr>
        <w:trPr>
          <w:cantSplit/>
        </w:trPr>
        <w:tc>
          <w:tcPr>
            <w:tcW w:type="dxa" w:w="1728"/>
          </w:tcPr>
          <w:p>
            <w:pPr>
              <w:keepNext/>
              <w:jc w:val="left"/>
            </w:pPr>
            <w:r>
              <w:rPr>
                <w:sz w:val="14"/>
              </w:rPr>
              <w:t>Firmware self-test</w:t>
            </w:r>
          </w:p>
        </w:tc>
        <w:tc>
          <w:tcPr>
            <w:tcW w:type="dxa" w:w="2232"/>
          </w:tcPr>
          <w:p>
            <w:pPr>
              <w:keepNext/>
              <w:jc w:val="center"/>
            </w:pPr>
            <w:r>
              <w:rPr>
                <w:sz w:val="14"/>
              </w:rPr>
              <w:t>Algorithm 1, 11 cases</w:t>
            </w:r>
          </w:p>
        </w:tc>
        <w:tc>
          <w:tcPr>
            <w:tcW w:type="dxa" w:w="1008"/>
          </w:tcPr>
          <w:p>
            <w:pPr>
              <w:keepNext/>
              <w:jc w:val="center"/>
            </w:pPr>
            <w:r>
              <w:rPr>
                <w:sz w:val="14"/>
              </w:rPr>
              <w:t>11/11 pass</w:t>
            </w:r>
          </w:p>
        </w:tc>
      </w:tr>
      <w:tr>
        <w:trPr>
          <w:cantSplit/>
        </w:trPr>
        <w:tc>
          <w:tcPr>
            <w:tcW w:type="dxa" w:w="1728"/>
            <w:shd w:val="clear" w:color="auto" w:fill="EDF1F6"/>
          </w:tcPr>
          <w:p>
            <w:pPr>
              <w:keepNext/>
              <w:jc w:val="left"/>
            </w:pPr>
            <w:r>
              <w:rPr>
                <w:sz w:val="14"/>
              </w:rPr>
              <w:t>ML unit tests (pytest)</w:t>
            </w:r>
          </w:p>
        </w:tc>
        <w:tc>
          <w:tcPr>
            <w:tcW w:type="dxa" w:w="2232"/>
            <w:shd w:val="clear" w:color="auto" w:fill="EDF1F6"/>
          </w:tcPr>
          <w:p>
            <w:pPr>
              <w:keepNext/>
              <w:jc w:val="center"/>
            </w:pPr>
            <w:r>
              <w:rPr>
                <w:sz w:val="14"/>
              </w:rPr>
              <w:t>Cleaning, manifest, split, taxonomy, config, pipeline</w:t>
            </w:r>
          </w:p>
        </w:tc>
        <w:tc>
          <w:tcPr>
            <w:tcW w:type="dxa" w:w="1008"/>
            <w:shd w:val="clear" w:color="auto" w:fill="EDF1F6"/>
          </w:tcPr>
          <w:p>
            <w:pPr>
              <w:keepNext/>
              <w:jc w:val="center"/>
            </w:pPr>
            <w:r>
              <w:rPr>
                <w:sz w:val="14"/>
              </w:rPr>
              <w:t>31/31 pass</w:t>
            </w:r>
          </w:p>
        </w:tc>
      </w:tr>
      <w:tr>
        <w:trPr>
          <w:cantSplit/>
        </w:trPr>
        <w:tc>
          <w:tcPr>
            <w:tcW w:type="dxa" w:w="1728"/>
          </w:tcPr>
          <w:p>
            <w:pPr>
              <w:keepNext/>
              <w:jc w:val="left"/>
            </w:pPr>
            <w:r>
              <w:rPr>
                <w:sz w:val="14"/>
              </w:rPr>
              <w:t>Backend test_automation</w:t>
            </w:r>
          </w:p>
        </w:tc>
        <w:tc>
          <w:tcPr>
            <w:tcW w:type="dxa" w:w="2232"/>
          </w:tcPr>
          <w:p>
            <w:pPr>
              <w:keepNext/>
              <w:jc w:val="center"/>
            </w:pPr>
            <w:r>
              <w:rPr>
                <w:sz w:val="14"/>
              </w:rPr>
              <w:t>Per-mode safety gate</w:t>
            </w:r>
          </w:p>
        </w:tc>
        <w:tc>
          <w:tcPr>
            <w:tcW w:type="dxa" w:w="1008"/>
          </w:tcPr>
          <w:p>
            <w:pPr>
              <w:keepNext/>
              <w:jc w:val="center"/>
            </w:pPr>
            <w:r>
              <w:rPr>
                <w:sz w:val="14"/>
              </w:rPr>
              <w:t>Pass</w:t>
            </w:r>
          </w:p>
        </w:tc>
      </w:tr>
      <w:tr>
        <w:trPr>
          <w:cantSplit/>
        </w:trPr>
        <w:tc>
          <w:tcPr>
            <w:tcW w:type="dxa" w:w="1728"/>
            <w:shd w:val="clear" w:color="auto" w:fill="EDF1F6"/>
          </w:tcPr>
          <w:p>
            <w:pPr>
              <w:keepNext/>
              <w:jc w:val="left"/>
            </w:pPr>
            <w:r>
              <w:rPr>
                <w:sz w:val="14"/>
              </w:rPr>
              <w:t>Backend test_plant_predict</w:t>
            </w:r>
          </w:p>
        </w:tc>
        <w:tc>
          <w:tcPr>
            <w:tcW w:type="dxa" w:w="2232"/>
            <w:shd w:val="clear" w:color="auto" w:fill="EDF1F6"/>
          </w:tcPr>
          <w:p>
            <w:pPr>
              <w:keepNext/>
              <w:jc w:val="center"/>
            </w:pPr>
            <w:r>
              <w:rPr>
                <w:sz w:val="14"/>
              </w:rPr>
              <w:t>Diagnosis response normalisation</w:t>
            </w:r>
          </w:p>
        </w:tc>
        <w:tc>
          <w:tcPr>
            <w:tcW w:type="dxa" w:w="1008"/>
            <w:shd w:val="clear" w:color="auto" w:fill="EDF1F6"/>
          </w:tcPr>
          <w:p>
            <w:pPr>
              <w:keepNext/>
              <w:jc w:val="center"/>
            </w:pPr>
            <w:r>
              <w:rPr>
                <w:sz w:val="14"/>
              </w:rPr>
              <w:t>Pass</w:t>
            </w:r>
          </w:p>
        </w:tc>
      </w:tr>
      <w:tr>
        <w:trPr>
          <w:cantSplit/>
        </w:trPr>
        <w:tc>
          <w:tcPr>
            <w:tcW w:type="dxa" w:w="1728"/>
          </w:tcPr>
          <w:p>
            <w:pPr>
              <w:jc w:val="left"/>
            </w:pPr>
            <w:r>
              <w:rPr>
                <w:sz w:val="14"/>
              </w:rPr>
              <w:t>Python port of Algorithm 1</w:t>
            </w:r>
          </w:p>
        </w:tc>
        <w:tc>
          <w:tcPr>
            <w:tcW w:type="dxa" w:w="2232"/>
          </w:tcPr>
          <w:p>
            <w:pPr>
              <w:jc w:val="center"/>
            </w:pPr>
            <w:r>
              <w:rPr>
                <w:sz w:val="14"/>
              </w:rPr>
              <w:t>Same 11 cases</w:t>
            </w:r>
          </w:p>
        </w:tc>
        <w:tc>
          <w:tcPr>
            <w:tcW w:type="dxa" w:w="1008"/>
          </w:tcPr>
          <w:p>
            <w:pPr>
              <w:jc w:val="center"/>
            </w:pPr>
            <w:r>
              <w:rPr>
                <w:sz w:val="14"/>
              </w:rPr>
              <w:t>11/11 pass</w:t>
            </w:r>
          </w:p>
        </w:tc>
      </w:tr>
    </w:tbl>
    <w:p>
      <w:pPr>
        <w:spacing w:after="120"/>
      </w:pPr>
    </w:p>
    <w:p>
      <w:pPr>
        <w:keepNext/>
        <w:spacing w:before="160" w:after="60"/>
      </w:pPr>
      <w:r>
        <w:rPr>
          <w:b/>
          <w:color w:val="1B3A6B"/>
          <w:sz w:val="19"/>
        </w:rPr>
        <w:t>XI. DISCUSSION AND LIMITATIONS</w:t>
      </w:r>
    </w:p>
    <w:p>
      <w:pPr>
        <w:spacing w:after="0"/>
        <w:ind w:firstLine="216"/>
        <w:jc w:val="both"/>
      </w:pPr>
      <w:r>
        <w:rPr>
          <w:b/>
        </w:rPr>
        <w:t>The 99.32 % is a laboratory upper bound.</w:t>
      </w:r>
      <w:r>
        <w:t xml:space="preserve"> The baseline was trained with a naïve per-class 80/20 random split, not the duplicate-group-aware split of Section VII, so validation accuracy may be inflated by near-duplicates. PlantVillage photographs are single detached leaves on plain backgrounds; published models trained on it fall to 31–68 % on field images (Fig. 10). The field gap of this model has not yet been measured.</w:t>
      </w:r>
    </w:p>
    <w:p>
      <w:pPr>
        <w:keepNext/>
        <w:spacing w:before="120"/>
        <w:jc w:val="center"/>
      </w:pPr>
      <w:r>
        <w:drawing>
          <wp:inline xmlns:a="http://schemas.openxmlformats.org/drawingml/2006/main" xmlns:pic="http://schemas.openxmlformats.org/drawingml/2006/picture">
            <wp:extent cx="3154680" cy="2491594"/>
            <wp:docPr id="17" name="Picture 17"/>
            <wp:cNvGraphicFramePr>
              <a:graphicFrameLocks noChangeAspect="1"/>
            </wp:cNvGraphicFramePr>
            <a:graphic>
              <a:graphicData uri="http://schemas.openxmlformats.org/drawingml/2006/picture">
                <pic:pic>
                  <pic:nvPicPr>
                    <pic:cNvPr id="0" name="fig_gap.png"/>
                    <pic:cNvPicPr/>
                  </pic:nvPicPr>
                  <pic:blipFill>
                    <a:blip r:embed="rId27"/>
                    <a:stretch>
                      <a:fillRect/>
                    </a:stretch>
                  </pic:blipFill>
                  <pic:spPr>
                    <a:xfrm>
                      <a:off x="0" y="0"/>
                      <a:ext cx="3154680" cy="2491594"/>
                    </a:xfrm>
                    <a:prstGeom prst="rect"/>
                  </pic:spPr>
                </pic:pic>
              </a:graphicData>
            </a:graphic>
          </wp:inline>
        </w:drawing>
      </w:r>
    </w:p>
    <w:p>
      <w:pPr>
        <w:spacing w:after="160"/>
        <w:jc w:val="both"/>
      </w:pPr>
      <w:r>
        <w:rPr>
          <w:b/>
          <w:color w:val="1B3A6B"/>
          <w:sz w:val="16"/>
        </w:rPr>
        <w:t xml:space="preserve">FIGURE 10. </w:t>
      </w:r>
      <w:r>
        <w:rPr>
          <w:sz w:val="16"/>
        </w:rPr>
        <w:t>Published laboratory-to-field accuracy evidence [8], [14]; the field value for this work is pending.</w:t>
      </w:r>
    </w:p>
    <w:p>
      <w:pPr>
        <w:spacing w:after="0"/>
        <w:ind w:firstLine="216"/>
        <w:jc w:val="both"/>
      </w:pPr>
      <w:r>
        <w:t>Further limitations, stated so they are not mistaken for capabilities:</w:t>
      </w:r>
    </w:p>
    <w:p>
      <w:pPr>
        <w:spacing w:after="20"/>
        <w:ind w:left="288" w:hanging="202"/>
        <w:jc w:val="both"/>
      </w:pPr>
      <w:r>
        <w:t xml:space="preserve">•  </w:t>
      </w:r>
      <w:r>
        <w:t>The deployed Plant Scan currently uses the vision-language fallback; the full two-stage pipeline is implemented but has not been trained end to end (it needs ~13 GB of data and more GPU time than a free Colab session).</w:t>
      </w:r>
    </w:p>
    <w:p>
      <w:pPr>
        <w:spacing w:after="20"/>
        <w:ind w:left="288" w:hanging="202"/>
        <w:jc w:val="both"/>
      </w:pPr>
      <w:r>
        <w:t xml:space="preserve">•  </w:t>
      </w:r>
      <w:r>
        <w:t>No inline flow meter is installed, so no water-saving percentage is claimed.</w:t>
      </w:r>
    </w:p>
    <w:p>
      <w:pPr>
        <w:spacing w:after="20"/>
        <w:ind w:left="288" w:hanging="202"/>
        <w:jc w:val="both"/>
      </w:pPr>
      <w:r>
        <w:t xml:space="preserve">•  </w:t>
      </w:r>
      <w:r>
        <w:t>The firmware does not report measured pump state, so cloud and node can briefly disagree.</w:t>
      </w:r>
    </w:p>
    <w:p>
      <w:pPr>
        <w:spacing w:after="20"/>
        <w:ind w:left="288" w:hanging="202"/>
        <w:jc w:val="both"/>
      </w:pPr>
      <w:r>
        <w:t xml:space="preserve">•  </w:t>
      </w:r>
      <w:r>
        <w:t>The DHT11 has limited accuracy (±2 °C, ±5 % RH class), and soil temperature is derived.</w:t>
      </w:r>
    </w:p>
    <w:p>
      <w:pPr>
        <w:spacing w:after="20"/>
        <w:ind w:left="288" w:hanging="202"/>
        <w:jc w:val="both"/>
      </w:pPr>
      <w:r>
        <w:t xml:space="preserve">•  </w:t>
      </w:r>
      <w:r>
        <w:t>The LLM layer is bound to one hosted provider and fails closed (HTTP 503) when unreachable.</w:t>
      </w:r>
    </w:p>
    <w:p>
      <w:pPr>
        <w:spacing w:after="20"/>
        <w:ind w:left="288" w:hanging="202"/>
        <w:jc w:val="both"/>
      </w:pPr>
      <w:r>
        <w:t xml:space="preserve">•  </w:t>
      </w:r>
      <w:r>
        <w:t>Per-unit cost, on-device latency, power, uptime and packet loss have not been measured.</w:t>
      </w:r>
    </w:p>
    <w:p>
      <w:pPr>
        <w:spacing w:after="0"/>
        <w:ind w:firstLine="216"/>
        <w:jc w:val="both"/>
      </w:pPr>
      <w:r>
        <w:t>The planned next steps are: evaluation on PlantDoc and on a hand-labelled set captured by the project's own ESP32-CAM; a retrain on the de-duplicated split to quantify leakage; a two-plot, flow-metered trial of moisture mode against timer mode; and an INT8 feasibility sweep on ESP32-S3.</w:t>
      </w:r>
    </w:p>
    <w:p>
      <w:pPr>
        <w:keepNext/>
        <w:spacing w:before="160" w:after="60"/>
      </w:pPr>
      <w:r>
        <w:rPr>
          <w:b/>
          <w:color w:val="1B3A6B"/>
          <w:sz w:val="19"/>
        </w:rPr>
        <w:t>XII. CONCLUSION</w:t>
      </w:r>
    </w:p>
    <w:p>
      <w:pPr>
        <w:spacing w:after="0"/>
        <w:ind w:firstLine="216"/>
        <w:jc w:val="both"/>
      </w:pPr>
      <w:r>
        <w:t>AgriSense AI shows that the familiar sensor-plus-camera-plus-classifier architecture can be built around its failure modes rather than its happy path. Placing an ordered, self-tested rule set on the node keeps irrigation safe and available when the cloud is not; routing telemetry directly to a secured database makes every value-added service optional; and a data pipeline that removes near-duplicates and quarantines field data makes the reported accuracy auditable. The measured baseline (99.32 % top-1 on laboratory images, 6.07 ms per image on one CPU thread) proves the training-to-serving path end to end. We have deliberately not claimed field accuracy or water savings; the protocol and code to measure both are in place, and the full source is released.</w:t>
      </w:r>
    </w:p>
    <w:p>
      <w:pPr>
        <w:keepNext/>
        <w:spacing w:before="160" w:after="60"/>
      </w:pPr>
      <w:r>
        <w:rPr>
          <w:b/>
          <w:color w:val="1B3A6B"/>
          <w:sz w:val="19"/>
        </w:rPr>
        <w:t>ACKNOWLEDGMENT</w:t>
      </w:r>
    </w:p>
    <w:p>
      <w:pPr>
        <w:spacing w:after="0"/>
        <w:ind w:firstLine="216"/>
        <w:jc w:val="both"/>
      </w:pPr>
      <w:r>
        <w:t>The authors thank [Guide Name] and the Department of Emerging Technologies, S. B. Jain Institute of Technology, Management and Research, Nagpur, for guidance and the maintainers of PlantVillage, PlantDoc, Ultralytics, ONNX Runtime and Supabase for openly available datasets and tools.</w:t>
      </w:r>
    </w:p>
    <w:p>
      <w:pPr>
        <w:keepNext/>
        <w:spacing w:before="160" w:after="60"/>
      </w:pPr>
      <w:r>
        <w:rPr>
          <w:b/>
          <w:color w:val="1B3A6B"/>
          <w:sz w:val="19"/>
        </w:rPr>
        <w:t>REFERENCES</w:t>
      </w:r>
    </w:p>
    <w:p>
      <w:pPr>
        <w:spacing w:after="20"/>
        <w:ind w:left="432" w:hanging="432"/>
      </w:pPr>
      <w:r>
        <w:rPr>
          <w:sz w:val="15"/>
        </w:rPr>
        <w:t>[1]</w:t>
        <w:tab/>
      </w:r>
      <w:r>
        <w:rPr>
          <w:i w:val="0"/>
          <w:sz w:val="15"/>
        </w:rPr>
        <w:t xml:space="preserve">Food, and Agriculture Organization of the United Nations, </w:t>
      </w:r>
      <w:r>
        <w:rPr>
          <w:i w:val="0"/>
          <w:sz w:val="15"/>
        </w:rPr>
        <w:t xml:space="preserve">“AQUASTAT: FAO's Global Information System on Water and Agriculture,” </w:t>
      </w:r>
      <w:r>
        <w:rPr>
          <w:i w:val="0"/>
          <w:sz w:val="15"/>
        </w:rPr>
        <w:t>2024</w:t>
      </w:r>
      <w:r>
        <w:rPr>
          <w:i w:val="0"/>
          <w:sz w:val="15"/>
        </w:rPr>
        <w:t>. [Online]. Available: https://www.fao.org/aquastat/</w:t>
      </w:r>
      <w:r>
        <w:rPr>
          <w:i w:val="0"/>
          <w:sz w:val="15"/>
        </w:rPr>
        <w:t>.</w:t>
      </w:r>
    </w:p>
    <w:p>
      <w:pPr>
        <w:spacing w:after="20"/>
        <w:ind w:left="432" w:hanging="432"/>
      </w:pPr>
      <w:r>
        <w:rPr>
          <w:sz w:val="15"/>
        </w:rPr>
        <w:t>[2]</w:t>
        <w:tab/>
      </w:r>
      <w:r>
        <w:rPr>
          <w:i w:val="0"/>
          <w:sz w:val="15"/>
        </w:rPr>
        <w:t xml:space="preserve">S. Savary, L. Willocquet, S. J. Pethybridge, P. Esker, N. McRoberts, and A. Nelson, </w:t>
      </w:r>
      <w:r>
        <w:rPr>
          <w:i w:val="0"/>
          <w:sz w:val="15"/>
        </w:rPr>
        <w:t xml:space="preserve">“The Global Burden of Pathogens and Pests on Major Food Crops,” </w:t>
      </w:r>
      <w:r>
        <w:rPr>
          <w:i/>
          <w:sz w:val="15"/>
        </w:rPr>
        <w:t>Nature Ecology &amp; Evolution</w:t>
      </w:r>
      <w:r>
        <w:rPr>
          <w:i w:val="0"/>
          <w:sz w:val="15"/>
        </w:rPr>
        <w:t>, vol. 3, no. 3, pp. 430–439, 2019</w:t>
      </w:r>
      <w:r>
        <w:rPr>
          <w:i w:val="0"/>
          <w:sz w:val="15"/>
        </w:rPr>
        <w:t>, doi: 10.1038/s41559-018-0793-y</w:t>
      </w:r>
      <w:r>
        <w:rPr>
          <w:i w:val="0"/>
          <w:sz w:val="15"/>
        </w:rPr>
        <w:t>.</w:t>
      </w:r>
    </w:p>
    <w:p>
      <w:pPr>
        <w:spacing w:after="20"/>
        <w:ind w:left="432" w:hanging="432"/>
      </w:pPr>
      <w:r>
        <w:rPr>
          <w:sz w:val="15"/>
        </w:rPr>
        <w:t>[3]</w:t>
        <w:tab/>
      </w:r>
      <w:r>
        <w:rPr>
          <w:i w:val="0"/>
          <w:sz w:val="15"/>
        </w:rPr>
        <w:t xml:space="preserve">R. N. Strange, and P. R. Scott, </w:t>
      </w:r>
      <w:r>
        <w:rPr>
          <w:i w:val="0"/>
          <w:sz w:val="15"/>
        </w:rPr>
        <w:t xml:space="preserve">“Plant Disease: A Threat to Global Food Security,” </w:t>
      </w:r>
      <w:r>
        <w:rPr>
          <w:i/>
          <w:sz w:val="15"/>
        </w:rPr>
        <w:t>Annual Review of Phytopathology</w:t>
      </w:r>
      <w:r>
        <w:rPr>
          <w:i w:val="0"/>
          <w:sz w:val="15"/>
        </w:rPr>
        <w:t>, vol. 43, pp. 83–116, 2005</w:t>
      </w:r>
      <w:r>
        <w:rPr>
          <w:i w:val="0"/>
          <w:sz w:val="15"/>
        </w:rPr>
        <w:t>, doi: 10.1146/annurev.phyto.43.113004.133839</w:t>
      </w:r>
      <w:r>
        <w:rPr>
          <w:i w:val="0"/>
          <w:sz w:val="15"/>
        </w:rPr>
        <w:t>.</w:t>
      </w:r>
    </w:p>
    <w:p>
      <w:pPr>
        <w:spacing w:after="20"/>
        <w:ind w:left="432" w:hanging="432"/>
      </w:pPr>
      <w:r>
        <w:rPr>
          <w:sz w:val="15"/>
        </w:rPr>
        <w:t>[4]</w:t>
        <w:tab/>
      </w:r>
      <w:r>
        <w:rPr>
          <w:i w:val="0"/>
          <w:sz w:val="15"/>
        </w:rPr>
        <w:t xml:space="preserve">J. Gutiérrez, J. F. Villa-Medina, A. Nieto-Garibay, and M. Porta-G\'andara, </w:t>
      </w:r>
      <w:r>
        <w:rPr>
          <w:i w:val="0"/>
          <w:sz w:val="15"/>
        </w:rPr>
        <w:t xml:space="preserve">“Automated Irrigation System Using a Wireless Sensor Network and GPRS Module,” </w:t>
      </w:r>
      <w:r>
        <w:rPr>
          <w:i/>
          <w:sz w:val="15"/>
        </w:rPr>
        <w:t>IEEE Transactions on Instrumentation and Measurement</w:t>
      </w:r>
      <w:r>
        <w:rPr>
          <w:i w:val="0"/>
          <w:sz w:val="15"/>
        </w:rPr>
        <w:t>, vol. 63, no. 1, pp. 166–176, 2014</w:t>
      </w:r>
      <w:r>
        <w:rPr>
          <w:i w:val="0"/>
          <w:sz w:val="15"/>
        </w:rPr>
        <w:t>, doi: 10.1109/TIM.2013.2276487</w:t>
      </w:r>
      <w:r>
        <w:rPr>
          <w:i w:val="0"/>
          <w:sz w:val="15"/>
        </w:rPr>
        <w:t>.</w:t>
      </w:r>
    </w:p>
    <w:p>
      <w:pPr>
        <w:spacing w:after="20"/>
        <w:ind w:left="432" w:hanging="432"/>
      </w:pPr>
      <w:r>
        <w:rPr>
          <w:sz w:val="15"/>
        </w:rPr>
        <w:t>[5]</w:t>
        <w:tab/>
      </w:r>
      <w:r>
        <w:rPr>
          <w:i w:val="0"/>
          <w:sz w:val="15"/>
        </w:rPr>
        <w:t xml:space="preserve">A. Goap, D. Sharma, A. K. Shukla, and C. Rama Krishna, </w:t>
      </w:r>
      <w:r>
        <w:rPr>
          <w:i w:val="0"/>
          <w:sz w:val="15"/>
        </w:rPr>
        <w:t xml:space="preserve">“An IoT Based Smart Irrigation Management System Using Machine Learning and Open Source Technologies,” </w:t>
      </w:r>
      <w:r>
        <w:rPr>
          <w:i/>
          <w:sz w:val="15"/>
        </w:rPr>
        <w:t>Computers and Electronics in Agriculture</w:t>
      </w:r>
      <w:r>
        <w:rPr>
          <w:i w:val="0"/>
          <w:sz w:val="15"/>
        </w:rPr>
        <w:t>, vol. 155, pp. 41–49, 2018</w:t>
      </w:r>
      <w:r>
        <w:rPr>
          <w:i w:val="0"/>
          <w:sz w:val="15"/>
        </w:rPr>
        <w:t>, doi: 10.1016/j.compag.2018.09.040</w:t>
      </w:r>
      <w:r>
        <w:rPr>
          <w:i w:val="0"/>
          <w:sz w:val="15"/>
        </w:rPr>
        <w:t>.</w:t>
      </w:r>
    </w:p>
    <w:p>
      <w:pPr>
        <w:spacing w:after="20"/>
        <w:ind w:left="432" w:hanging="432"/>
      </w:pPr>
      <w:r>
        <w:rPr>
          <w:sz w:val="15"/>
        </w:rPr>
        <w:t>[6]</w:t>
        <w:tab/>
      </w:r>
      <w:r>
        <w:rPr>
          <w:i w:val="0"/>
          <w:sz w:val="15"/>
        </w:rPr>
        <w:t xml:space="preserve">C. Kamienski et al., </w:t>
      </w:r>
      <w:r>
        <w:rPr>
          <w:i w:val="0"/>
          <w:sz w:val="15"/>
        </w:rPr>
        <w:t xml:space="preserve">“Smart Water Management Platform: IoT-Based Precision Irrigation for Agriculture,” </w:t>
      </w:r>
      <w:r>
        <w:rPr>
          <w:i/>
          <w:sz w:val="15"/>
        </w:rPr>
        <w:t>Sensors</w:t>
      </w:r>
      <w:r>
        <w:rPr>
          <w:i w:val="0"/>
          <w:sz w:val="15"/>
        </w:rPr>
        <w:t>, vol. 19, no. 2, Art. no. 276, 2019</w:t>
      </w:r>
      <w:r>
        <w:rPr>
          <w:i w:val="0"/>
          <w:sz w:val="15"/>
        </w:rPr>
        <w:t>, doi: 10.3390/s19020276</w:t>
      </w:r>
      <w:r>
        <w:rPr>
          <w:i w:val="0"/>
          <w:sz w:val="15"/>
        </w:rPr>
        <w:t>.</w:t>
      </w:r>
    </w:p>
    <w:p>
      <w:pPr>
        <w:spacing w:after="20"/>
        <w:ind w:left="432" w:hanging="432"/>
      </w:pPr>
      <w:r>
        <w:rPr>
          <w:sz w:val="15"/>
        </w:rPr>
        <w:t>[7]</w:t>
        <w:tab/>
      </w:r>
      <w:r>
        <w:rPr>
          <w:i w:val="0"/>
          <w:sz w:val="15"/>
        </w:rPr>
        <w:t xml:space="preserve">L. García, L. Parra, J. M. Jimenez, J. Lloret, and P. Lorenz, </w:t>
      </w:r>
      <w:r>
        <w:rPr>
          <w:i w:val="0"/>
          <w:sz w:val="15"/>
        </w:rPr>
        <w:t xml:space="preserve">“IoT-Based Smart Irrigation Systems: An Overview on the Recent Trends on Sensors and IoT Systems for Irrigation in Precision Agriculture,” </w:t>
      </w:r>
      <w:r>
        <w:rPr>
          <w:i/>
          <w:sz w:val="15"/>
        </w:rPr>
        <w:t>Sensors</w:t>
      </w:r>
      <w:r>
        <w:rPr>
          <w:i w:val="0"/>
          <w:sz w:val="15"/>
        </w:rPr>
        <w:t>, vol. 20, no. 4, Art. no. 1042, 2020</w:t>
      </w:r>
      <w:r>
        <w:rPr>
          <w:i w:val="0"/>
          <w:sz w:val="15"/>
        </w:rPr>
        <w:t>, doi: 10.3390/s20041042</w:t>
      </w:r>
      <w:r>
        <w:rPr>
          <w:i w:val="0"/>
          <w:sz w:val="15"/>
        </w:rPr>
        <w:t>.</w:t>
      </w:r>
    </w:p>
    <w:p>
      <w:pPr>
        <w:spacing w:after="20"/>
        <w:ind w:left="432" w:hanging="432"/>
      </w:pPr>
      <w:r>
        <w:rPr>
          <w:sz w:val="15"/>
        </w:rPr>
        <w:t>[8]</w:t>
        <w:tab/>
      </w:r>
      <w:r>
        <w:rPr>
          <w:i w:val="0"/>
          <w:sz w:val="15"/>
        </w:rPr>
        <w:t xml:space="preserve">S. P. Mohanty, D. P. Hughes, and M. Salathé, </w:t>
      </w:r>
      <w:r>
        <w:rPr>
          <w:i w:val="0"/>
          <w:sz w:val="15"/>
        </w:rPr>
        <w:t xml:space="preserve">“Using Deep Learning for Image-Based Plant Disease Detection,” </w:t>
      </w:r>
      <w:r>
        <w:rPr>
          <w:i/>
          <w:sz w:val="15"/>
        </w:rPr>
        <w:t>Frontiers in Plant Science</w:t>
      </w:r>
      <w:r>
        <w:rPr>
          <w:i w:val="0"/>
          <w:sz w:val="15"/>
        </w:rPr>
        <w:t>, vol. 7, Art. no. 1419, 2016</w:t>
      </w:r>
      <w:r>
        <w:rPr>
          <w:i w:val="0"/>
          <w:sz w:val="15"/>
        </w:rPr>
        <w:t>, doi: 10.3389/fpls.2016.01419</w:t>
      </w:r>
      <w:r>
        <w:rPr>
          <w:i w:val="0"/>
          <w:sz w:val="15"/>
        </w:rPr>
        <w:t>.</w:t>
      </w:r>
    </w:p>
    <w:p>
      <w:pPr>
        <w:spacing w:after="20"/>
        <w:ind w:left="432" w:hanging="432"/>
      </w:pPr>
      <w:r>
        <w:rPr>
          <w:sz w:val="15"/>
        </w:rPr>
        <w:t>[9]</w:t>
        <w:tab/>
      </w:r>
      <w:r>
        <w:rPr>
          <w:i w:val="0"/>
          <w:sz w:val="15"/>
        </w:rPr>
        <w:t xml:space="preserve">K. P. Ferentinos, </w:t>
      </w:r>
      <w:r>
        <w:rPr>
          <w:i w:val="0"/>
          <w:sz w:val="15"/>
        </w:rPr>
        <w:t xml:space="preserve">“Deep Learning Models for Plant Disease Detection and Diagnosis,” </w:t>
      </w:r>
      <w:r>
        <w:rPr>
          <w:i/>
          <w:sz w:val="15"/>
        </w:rPr>
        <w:t>Computers and Electronics in Agriculture</w:t>
      </w:r>
      <w:r>
        <w:rPr>
          <w:i w:val="0"/>
          <w:sz w:val="15"/>
        </w:rPr>
        <w:t>, vol. 145, pp. 311–318, 2018</w:t>
      </w:r>
      <w:r>
        <w:rPr>
          <w:i w:val="0"/>
          <w:sz w:val="15"/>
        </w:rPr>
        <w:t>, doi: 10.1016/j.compag.2018.01.009</w:t>
      </w:r>
      <w:r>
        <w:rPr>
          <w:i w:val="0"/>
          <w:sz w:val="15"/>
        </w:rPr>
        <w:t>.</w:t>
      </w:r>
    </w:p>
    <w:p>
      <w:pPr>
        <w:spacing w:after="20"/>
        <w:ind w:left="432" w:hanging="432"/>
      </w:pPr>
      <w:r>
        <w:rPr>
          <w:sz w:val="15"/>
        </w:rPr>
        <w:t>[10]</w:t>
        <w:tab/>
      </w:r>
      <w:r>
        <w:rPr>
          <w:i w:val="0"/>
          <w:sz w:val="15"/>
        </w:rPr>
        <w:t xml:space="preserve">E. C. Too, L. Yujian, S. Njuki, and L. Yingchun, </w:t>
      </w:r>
      <w:r>
        <w:rPr>
          <w:i w:val="0"/>
          <w:sz w:val="15"/>
        </w:rPr>
        <w:t xml:space="preserve">“A Comparative Study of Fine-Tuning Deep Learning Models for Plant Disease Identification,” </w:t>
      </w:r>
      <w:r>
        <w:rPr>
          <w:i/>
          <w:sz w:val="15"/>
        </w:rPr>
        <w:t>Computers and Electronics in Agriculture</w:t>
      </w:r>
      <w:r>
        <w:rPr>
          <w:i w:val="0"/>
          <w:sz w:val="15"/>
        </w:rPr>
        <w:t>, vol. 161, pp. 272–279, 2019</w:t>
      </w:r>
      <w:r>
        <w:rPr>
          <w:i w:val="0"/>
          <w:sz w:val="15"/>
        </w:rPr>
        <w:t>, doi: 10.1016/j.compag.2018.03.032</w:t>
      </w:r>
      <w:r>
        <w:rPr>
          <w:i w:val="0"/>
          <w:sz w:val="15"/>
        </w:rPr>
        <w:t>.</w:t>
      </w:r>
    </w:p>
    <w:p>
      <w:pPr>
        <w:spacing w:after="20"/>
        <w:ind w:left="432" w:hanging="432"/>
      </w:pPr>
      <w:r>
        <w:rPr>
          <w:sz w:val="15"/>
        </w:rPr>
        <w:t>[11]</w:t>
        <w:tab/>
      </w:r>
      <w:r>
        <w:rPr>
          <w:i w:val="0"/>
          <w:sz w:val="15"/>
        </w:rPr>
        <w:t xml:space="preserve">R. Samanta, B. Saha, and S. K. Ghosh, </w:t>
      </w:r>
      <w:r>
        <w:rPr>
          <w:i w:val="0"/>
          <w:sz w:val="15"/>
        </w:rPr>
        <w:t xml:space="preserve">“LeafSense: A Portable, Low-Cost, Low-Power Plant Disease Diagnostic Device Using TinyML,” in </w:t>
      </w:r>
      <w:r>
        <w:rPr>
          <w:i/>
          <w:sz w:val="15"/>
        </w:rPr>
        <w:t>Proc. 4th Int. Conf. AI-ML Systems</w:t>
      </w:r>
      <w:r>
        <w:rPr>
          <w:i w:val="0"/>
          <w:sz w:val="15"/>
        </w:rPr>
        <w:t>, 2024</w:t>
      </w:r>
      <w:r>
        <w:rPr>
          <w:i w:val="0"/>
          <w:sz w:val="15"/>
        </w:rPr>
        <w:t>, doi: 10.1145/3703412.3703438</w:t>
      </w:r>
      <w:r>
        <w:rPr>
          <w:i w:val="0"/>
          <w:sz w:val="15"/>
        </w:rPr>
        <w:t>.</w:t>
      </w:r>
    </w:p>
    <w:p>
      <w:pPr>
        <w:spacing w:after="20"/>
        <w:ind w:left="432" w:hanging="432"/>
      </w:pPr>
      <w:r>
        <w:rPr>
          <w:sz w:val="15"/>
        </w:rPr>
        <w:t>[12]</w:t>
        <w:tab/>
      </w:r>
      <w:r>
        <w:rPr>
          <w:i w:val="0"/>
          <w:sz w:val="15"/>
        </w:rPr>
        <w:t xml:space="preserve">J. P. Nyakuri, C. Nkundineza, O. Gatera, K. Nkurikiyeyezu, and G. Mwitende, </w:t>
      </w:r>
      <w:r>
        <w:rPr>
          <w:i w:val="0"/>
          <w:sz w:val="15"/>
        </w:rPr>
        <w:t xml:space="preserve">“AI and IoT-Powered Edge Device Optimized for Crop Pest and Disease Detection,” </w:t>
      </w:r>
      <w:r>
        <w:rPr>
          <w:i/>
          <w:sz w:val="15"/>
        </w:rPr>
        <w:t>Scientific Reports</w:t>
      </w:r>
      <w:r>
        <w:rPr>
          <w:i w:val="0"/>
          <w:sz w:val="15"/>
        </w:rPr>
        <w:t>, vol. 15, Art. no. 22905, 2025</w:t>
      </w:r>
      <w:r>
        <w:rPr>
          <w:i w:val="0"/>
          <w:sz w:val="15"/>
        </w:rPr>
        <w:t>, doi: 10.1038/s41598-025-06452-5</w:t>
      </w:r>
      <w:r>
        <w:rPr>
          <w:i w:val="0"/>
          <w:sz w:val="15"/>
        </w:rPr>
        <w:t>.</w:t>
      </w:r>
    </w:p>
    <w:p>
      <w:pPr>
        <w:spacing w:after="20"/>
        <w:ind w:left="432" w:hanging="432"/>
      </w:pPr>
      <w:r>
        <w:rPr>
          <w:sz w:val="15"/>
        </w:rPr>
        <w:t>[13]</w:t>
        <w:tab/>
      </w:r>
      <w:r>
        <w:rPr>
          <w:i w:val="0"/>
          <w:sz w:val="15"/>
        </w:rPr>
        <w:t xml:space="preserve">H. Aqasizade, M. Antonini, M. Vecchio, and F. Antonelli, </w:t>
      </w:r>
      <w:r>
        <w:rPr>
          <w:i w:val="0"/>
          <w:sz w:val="15"/>
        </w:rPr>
        <w:t xml:space="preserve">“A TinyMLOps Pipeline for Coarse-Grained Plant Disease Classification in Precision Agriculture,” </w:t>
      </w:r>
      <w:r>
        <w:rPr>
          <w:i/>
          <w:sz w:val="15"/>
        </w:rPr>
        <w:t>Sensors</w:t>
      </w:r>
      <w:r>
        <w:rPr>
          <w:i w:val="0"/>
          <w:sz w:val="15"/>
        </w:rPr>
        <w:t>, vol. 26, no. 16, Art. no. 5029, 2026</w:t>
      </w:r>
      <w:r>
        <w:rPr>
          <w:i w:val="0"/>
          <w:sz w:val="15"/>
        </w:rPr>
        <w:t>, doi: 10.3390/s26165029</w:t>
      </w:r>
      <w:r>
        <w:rPr>
          <w:i w:val="0"/>
          <w:sz w:val="15"/>
        </w:rPr>
        <w:t>.</w:t>
      </w:r>
    </w:p>
    <w:p>
      <w:pPr>
        <w:spacing w:after="20"/>
        <w:ind w:left="432" w:hanging="432"/>
      </w:pPr>
      <w:r>
        <w:rPr>
          <w:sz w:val="15"/>
        </w:rPr>
        <w:t>[14]</w:t>
        <w:tab/>
      </w:r>
      <w:r>
        <w:rPr>
          <w:i w:val="0"/>
          <w:sz w:val="15"/>
        </w:rPr>
        <w:t xml:space="preserve">Z. Salman, A. Muhammad, and D. Han, </w:t>
      </w:r>
      <w:r>
        <w:rPr>
          <w:i w:val="0"/>
          <w:sz w:val="15"/>
        </w:rPr>
        <w:t xml:space="preserve">“Plant Disease Classification in the Wild Using Vision Transformers and Mixture of Experts,” </w:t>
      </w:r>
      <w:r>
        <w:rPr>
          <w:i/>
          <w:sz w:val="15"/>
        </w:rPr>
        <w:t>Frontiers in Plant Science</w:t>
      </w:r>
      <w:r>
        <w:rPr>
          <w:i w:val="0"/>
          <w:sz w:val="15"/>
        </w:rPr>
        <w:t>, vol. 16, Art. no. 1522985, 2025</w:t>
      </w:r>
      <w:r>
        <w:rPr>
          <w:i w:val="0"/>
          <w:sz w:val="15"/>
        </w:rPr>
        <w:t>, doi: 10.3389/fpls.2025.1522985</w:t>
      </w:r>
      <w:r>
        <w:rPr>
          <w:i w:val="0"/>
          <w:sz w:val="15"/>
        </w:rPr>
        <w:t>.</w:t>
      </w:r>
    </w:p>
    <w:p>
      <w:pPr>
        <w:spacing w:after="20"/>
        <w:ind w:left="432" w:hanging="432"/>
      </w:pPr>
      <w:r>
        <w:rPr>
          <w:sz w:val="15"/>
        </w:rPr>
        <w:t>[15]</w:t>
        <w:tab/>
      </w:r>
      <w:r>
        <w:rPr>
          <w:i w:val="0"/>
          <w:sz w:val="15"/>
        </w:rPr>
        <w:t xml:space="preserve">S. Kapoor, and A. Narayanan, </w:t>
      </w:r>
      <w:r>
        <w:rPr>
          <w:i w:val="0"/>
          <w:sz w:val="15"/>
        </w:rPr>
        <w:t xml:space="preserve">“Leakage and the Reproducibility Crisis in Machine-Learning-Based Science,” </w:t>
      </w:r>
      <w:r>
        <w:rPr>
          <w:i/>
          <w:sz w:val="15"/>
        </w:rPr>
        <w:t>Patterns</w:t>
      </w:r>
      <w:r>
        <w:rPr>
          <w:i w:val="0"/>
          <w:sz w:val="15"/>
        </w:rPr>
        <w:t>, vol. 4, no. 9, Art. no. 100804, 2023</w:t>
      </w:r>
      <w:r>
        <w:rPr>
          <w:i w:val="0"/>
          <w:sz w:val="15"/>
        </w:rPr>
        <w:t>, doi: 10.1016/j.patter.2023.100804</w:t>
      </w:r>
      <w:r>
        <w:rPr>
          <w:i w:val="0"/>
          <w:sz w:val="15"/>
        </w:rPr>
        <w:t>.</w:t>
      </w:r>
    </w:p>
    <w:p>
      <w:pPr>
        <w:spacing w:after="20"/>
        <w:ind w:left="432" w:hanging="432"/>
      </w:pPr>
      <w:r>
        <w:rPr>
          <w:sz w:val="15"/>
        </w:rPr>
        <w:t>[16]</w:t>
        <w:tab/>
      </w:r>
      <w:r>
        <w:rPr>
          <w:i w:val="0"/>
          <w:sz w:val="15"/>
        </w:rPr>
        <w:t xml:space="preserve">D. Vallejo-Gómez, M. Osorio, and C. A. Hincapié, </w:t>
      </w:r>
      <w:r>
        <w:rPr>
          <w:i w:val="0"/>
          <w:sz w:val="15"/>
        </w:rPr>
        <w:t xml:space="preserve">“Smart Irrigation Systems in Agriculture: A Systematic Review,” </w:t>
      </w:r>
      <w:r>
        <w:rPr>
          <w:i/>
          <w:sz w:val="15"/>
        </w:rPr>
        <w:t>Agronomy</w:t>
      </w:r>
      <w:r>
        <w:rPr>
          <w:i w:val="0"/>
          <w:sz w:val="15"/>
        </w:rPr>
        <w:t>, vol. 13, no. 2, Art. no. 342, 2023</w:t>
      </w:r>
      <w:r>
        <w:rPr>
          <w:i w:val="0"/>
          <w:sz w:val="15"/>
        </w:rPr>
        <w:t>, doi: 10.3390/agronomy13020342</w:t>
      </w:r>
      <w:r>
        <w:rPr>
          <w:i w:val="0"/>
          <w:sz w:val="15"/>
        </w:rPr>
        <w:t>.</w:t>
      </w:r>
    </w:p>
    <w:p>
      <w:pPr>
        <w:spacing w:after="20"/>
        <w:ind w:left="432" w:hanging="432"/>
      </w:pPr>
      <w:r>
        <w:rPr>
          <w:sz w:val="15"/>
        </w:rPr>
        <w:t>[17]</w:t>
        <w:tab/>
      </w:r>
      <w:r>
        <w:rPr>
          <w:i w:val="0"/>
          <w:sz w:val="15"/>
        </w:rPr>
        <w:t xml:space="preserve">K. Usman, and A. Zubairu, </w:t>
      </w:r>
      <w:r>
        <w:rPr>
          <w:i w:val="0"/>
          <w:sz w:val="15"/>
        </w:rPr>
        <w:t xml:space="preserve">“The Use of AI in IoT-Based Smart Irrigation,” </w:t>
      </w:r>
      <w:r>
        <w:rPr>
          <w:i/>
          <w:sz w:val="15"/>
        </w:rPr>
        <w:t>CEDTECH International Journal of Natural and Applied Sciences</w:t>
      </w:r>
      <w:r>
        <w:rPr>
          <w:i w:val="0"/>
          <w:sz w:val="15"/>
        </w:rPr>
        <w:t>, vol. 7, no. 1, pp. 57–72, 2026</w:t>
      </w:r>
      <w:r>
        <w:rPr>
          <w:i w:val="0"/>
          <w:sz w:val="15"/>
        </w:rPr>
        <w:t>, doi: 10.5281/zenodo.20611846</w:t>
      </w:r>
      <w:r>
        <w:rPr>
          <w:i w:val="0"/>
          <w:sz w:val="15"/>
        </w:rPr>
        <w:t>.</w:t>
      </w:r>
    </w:p>
    <w:p>
      <w:pPr>
        <w:spacing w:after="20"/>
        <w:ind w:left="432" w:hanging="432"/>
      </w:pPr>
      <w:r>
        <w:rPr>
          <w:sz w:val="15"/>
        </w:rPr>
        <w:t>[18]</w:t>
        <w:tab/>
      </w:r>
      <w:r>
        <w:rPr>
          <w:i w:val="0"/>
          <w:sz w:val="15"/>
        </w:rPr>
        <w:t xml:space="preserve">J. Deng, W. Dong, R. Socher, L. Li, K. Li, and L. Fei-Fei, </w:t>
      </w:r>
      <w:r>
        <w:rPr>
          <w:i w:val="0"/>
          <w:sz w:val="15"/>
        </w:rPr>
        <w:t xml:space="preserve">“ImageNet: A Large-Scale Hierarchical Image Database,” in </w:t>
      </w:r>
      <w:r>
        <w:rPr>
          <w:i/>
          <w:sz w:val="15"/>
        </w:rPr>
        <w:t>Proc. IEEE Conf. Computer Vision and Pattern Recognition (CVPR)</w:t>
      </w:r>
      <w:r>
        <w:rPr>
          <w:i w:val="0"/>
          <w:sz w:val="15"/>
        </w:rPr>
        <w:t>, 2009, pp. 248–255</w:t>
      </w:r>
      <w:r>
        <w:rPr>
          <w:i w:val="0"/>
          <w:sz w:val="15"/>
        </w:rPr>
        <w:t>, doi: 10.1109/CVPR.2009.5206848</w:t>
      </w:r>
      <w:r>
        <w:rPr>
          <w:i w:val="0"/>
          <w:sz w:val="15"/>
        </w:rPr>
        <w:t>.</w:t>
      </w:r>
    </w:p>
    <w:p>
      <w:pPr>
        <w:spacing w:after="20"/>
        <w:ind w:left="432" w:hanging="432"/>
      </w:pPr>
      <w:r>
        <w:rPr>
          <w:sz w:val="15"/>
        </w:rPr>
        <w:t>[19]</w:t>
        <w:tab/>
      </w:r>
      <w:r>
        <w:rPr>
          <w:i w:val="0"/>
          <w:sz w:val="15"/>
        </w:rPr>
        <w:t xml:space="preserve">K. He, X. Zhang, S. Ren, and J. Sun, </w:t>
      </w:r>
      <w:r>
        <w:rPr>
          <w:i w:val="0"/>
          <w:sz w:val="15"/>
        </w:rPr>
        <w:t xml:space="preserve">“Deep Residual Learning for Image Recognition,” in </w:t>
      </w:r>
      <w:r>
        <w:rPr>
          <w:i/>
          <w:sz w:val="15"/>
        </w:rPr>
        <w:t>Proc. IEEE Conf. Computer Vision and Pattern Recognition (CVPR)</w:t>
      </w:r>
      <w:r>
        <w:rPr>
          <w:i w:val="0"/>
          <w:sz w:val="15"/>
        </w:rPr>
        <w:t>, 2016, pp. 770–778</w:t>
      </w:r>
      <w:r>
        <w:rPr>
          <w:i w:val="0"/>
          <w:sz w:val="15"/>
        </w:rPr>
        <w:t>, doi: 10.1109/CVPR.2016.90</w:t>
      </w:r>
      <w:r>
        <w:rPr>
          <w:i w:val="0"/>
          <w:sz w:val="15"/>
        </w:rPr>
        <w:t>.</w:t>
      </w:r>
    </w:p>
    <w:p>
      <w:pPr>
        <w:spacing w:after="20"/>
        <w:ind w:left="432" w:hanging="432"/>
      </w:pPr>
      <w:r>
        <w:rPr>
          <w:sz w:val="15"/>
        </w:rPr>
        <w:t>[20]</w:t>
        <w:tab/>
      </w:r>
      <w:r>
        <w:rPr>
          <w:i w:val="0"/>
          <w:sz w:val="15"/>
        </w:rPr>
        <w:t xml:space="preserve">D. P. Hughes, and M. Salathé, </w:t>
      </w:r>
      <w:r>
        <w:rPr>
          <w:i w:val="0"/>
          <w:sz w:val="15"/>
        </w:rPr>
        <w:t xml:space="preserve">“An Open Access Repository of Images on Plant Health to Enable the Development of Mobile Disease Diagnostics,” </w:t>
      </w:r>
      <w:r>
        <w:rPr>
          <w:i/>
          <w:sz w:val="15"/>
        </w:rPr>
        <w:t>arXiv preprint arXiv:1511.08060</w:t>
      </w:r>
      <w:r>
        <w:rPr>
          <w:i w:val="0"/>
          <w:sz w:val="15"/>
        </w:rPr>
        <w:t>, 2015</w:t>
      </w:r>
      <w:r>
        <w:rPr>
          <w:i w:val="0"/>
          <w:sz w:val="15"/>
        </w:rPr>
        <w:t>.</w:t>
      </w:r>
    </w:p>
    <w:p>
      <w:pPr>
        <w:spacing w:after="20"/>
        <w:ind w:left="432" w:hanging="432"/>
      </w:pPr>
      <w:r>
        <w:rPr>
          <w:sz w:val="15"/>
        </w:rPr>
        <w:t>[21]</w:t>
        <w:tab/>
      </w:r>
      <w:r>
        <w:rPr>
          <w:i w:val="0"/>
          <w:sz w:val="15"/>
        </w:rPr>
        <w:t xml:space="preserve">M. Brahimi, K. Boukhalfa, and A. Moussaoui, </w:t>
      </w:r>
      <w:r>
        <w:rPr>
          <w:i w:val="0"/>
          <w:sz w:val="15"/>
        </w:rPr>
        <w:t xml:space="preserve">“Deep Learning for Tomato Diseases: Classification and Symptoms Visualization,” </w:t>
      </w:r>
      <w:r>
        <w:rPr>
          <w:i/>
          <w:sz w:val="15"/>
        </w:rPr>
        <w:t>Applied Artificial Intelligence</w:t>
      </w:r>
      <w:r>
        <w:rPr>
          <w:i w:val="0"/>
          <w:sz w:val="15"/>
        </w:rPr>
        <w:t>, vol. 31, no. 4, pp. 299–315, 2017</w:t>
      </w:r>
      <w:r>
        <w:rPr>
          <w:i w:val="0"/>
          <w:sz w:val="15"/>
        </w:rPr>
        <w:t>, doi: 10.1080/08839514.2017.1315516</w:t>
      </w:r>
      <w:r>
        <w:rPr>
          <w:i w:val="0"/>
          <w:sz w:val="15"/>
        </w:rPr>
        <w:t>.</w:t>
      </w:r>
    </w:p>
    <w:p>
      <w:pPr>
        <w:spacing w:after="20"/>
        <w:ind w:left="432" w:hanging="432"/>
      </w:pPr>
      <w:r>
        <w:rPr>
          <w:sz w:val="15"/>
        </w:rPr>
        <w:t>[22]</w:t>
        <w:tab/>
      </w:r>
      <w:r>
        <w:rPr>
          <w:i w:val="0"/>
          <w:sz w:val="15"/>
        </w:rPr>
        <w:t xml:space="preserve">D. Singh, N. Jain, P. Jain, P. Kayal, S. Kumawat, and N. Batra, </w:t>
      </w:r>
      <w:r>
        <w:rPr>
          <w:i w:val="0"/>
          <w:sz w:val="15"/>
        </w:rPr>
        <w:t xml:space="preserve">“PlantDoc: A Dataset for Visual Plant Disease Detection,” in </w:t>
      </w:r>
      <w:r>
        <w:rPr>
          <w:i/>
          <w:sz w:val="15"/>
        </w:rPr>
        <w:t>Proc. 7th ACM IKDD CoDS and 25th COMAD</w:t>
      </w:r>
      <w:r>
        <w:rPr>
          <w:i w:val="0"/>
          <w:sz w:val="15"/>
        </w:rPr>
        <w:t>, 2020, pp. 249–253</w:t>
      </w:r>
      <w:r>
        <w:rPr>
          <w:i w:val="0"/>
          <w:sz w:val="15"/>
        </w:rPr>
        <w:t>, doi: 10.1145/3371158.3371196</w:t>
      </w:r>
      <w:r>
        <w:rPr>
          <w:i w:val="0"/>
          <w:sz w:val="15"/>
        </w:rPr>
        <w:t>.</w:t>
      </w:r>
    </w:p>
    <w:p>
      <w:pPr>
        <w:spacing w:after="20"/>
        <w:ind w:left="432" w:hanging="432"/>
      </w:pPr>
      <w:r>
        <w:rPr>
          <w:sz w:val="15"/>
        </w:rPr>
        <w:t>[23]</w:t>
        <w:tab/>
      </w:r>
      <w:r>
        <w:rPr>
          <w:i w:val="0"/>
          <w:sz w:val="15"/>
        </w:rPr>
        <w:t xml:space="preserve">J. G. A. Barbedo, </w:t>
      </w:r>
      <w:r>
        <w:rPr>
          <w:i w:val="0"/>
          <w:sz w:val="15"/>
        </w:rPr>
        <w:t xml:space="preserve">“Factors Influencing the Use of Deep Learning for Plant Disease Recognition,” </w:t>
      </w:r>
      <w:r>
        <w:rPr>
          <w:i/>
          <w:sz w:val="15"/>
        </w:rPr>
        <w:t>Biosystems Engineering</w:t>
      </w:r>
      <w:r>
        <w:rPr>
          <w:i w:val="0"/>
          <w:sz w:val="15"/>
        </w:rPr>
        <w:t>, vol. 172, pp. 84–91, 2018</w:t>
      </w:r>
      <w:r>
        <w:rPr>
          <w:i w:val="0"/>
          <w:sz w:val="15"/>
        </w:rPr>
        <w:t>, doi: 10.1016/j.biosystemseng.2018.05.013</w:t>
      </w:r>
      <w:r>
        <w:rPr>
          <w:i w:val="0"/>
          <w:sz w:val="15"/>
        </w:rPr>
        <w:t>.</w:t>
      </w:r>
    </w:p>
    <w:p>
      <w:pPr>
        <w:spacing w:after="20"/>
        <w:ind w:left="432" w:hanging="432"/>
      </w:pPr>
      <w:r>
        <w:rPr>
          <w:sz w:val="15"/>
        </w:rPr>
        <w:t>[24]</w:t>
        <w:tab/>
      </w:r>
      <w:r>
        <w:rPr>
          <w:i w:val="0"/>
          <w:sz w:val="15"/>
        </w:rPr>
        <w:t xml:space="preserve">G. Jocher, and J. Qiu, </w:t>
      </w:r>
      <w:r>
        <w:rPr>
          <w:i w:val="0"/>
          <w:sz w:val="15"/>
        </w:rPr>
        <w:t xml:space="preserve">“Ultralytics YOLO11,” </w:t>
      </w:r>
      <w:r>
        <w:rPr>
          <w:i w:val="0"/>
          <w:sz w:val="15"/>
        </w:rPr>
        <w:t>2024</w:t>
      </w:r>
      <w:r>
        <w:rPr>
          <w:i w:val="0"/>
          <w:sz w:val="15"/>
        </w:rPr>
        <w:t>. [Online]. Available: https://github.com/ultralytics/ultralytics</w:t>
      </w:r>
      <w:r>
        <w:rPr>
          <w:i w:val="0"/>
          <w:sz w:val="15"/>
        </w:rPr>
        <w:t>.</w:t>
      </w:r>
    </w:p>
    <w:p>
      <w:pPr>
        <w:spacing w:after="20"/>
        <w:ind w:left="432" w:hanging="432"/>
      </w:pPr>
      <w:r>
        <w:rPr>
          <w:sz w:val="15"/>
        </w:rPr>
        <w:t>[25]</w:t>
        <w:tab/>
      </w:r>
      <w:r>
        <w:rPr>
          <w:i w:val="0"/>
          <w:sz w:val="15"/>
        </w:rPr>
        <w:t xml:space="preserve">J. Lin, W. Chen, Y. Lin, J. Cohn, C. Gan, and S. Han, </w:t>
      </w:r>
      <w:r>
        <w:rPr>
          <w:i w:val="0"/>
          <w:sz w:val="15"/>
        </w:rPr>
        <w:t xml:space="preserve">“MCUNet: Tiny Deep Learning on IoT Devices,” in </w:t>
      </w:r>
      <w:r>
        <w:rPr>
          <w:i/>
          <w:sz w:val="15"/>
        </w:rPr>
        <w:t>Advances in Neural Information Processing Systems (NeurIPS)</w:t>
      </w:r>
      <w:r>
        <w:rPr>
          <w:i w:val="0"/>
          <w:sz w:val="15"/>
        </w:rPr>
        <w:t>, 2020</w:t>
      </w:r>
      <w:r>
        <w:rPr>
          <w:i w:val="0"/>
          <w:sz w:val="15"/>
        </w:rPr>
        <w:t>.</w:t>
      </w:r>
    </w:p>
    <w:p>
      <w:pPr>
        <w:spacing w:after="20"/>
        <w:ind w:left="432" w:hanging="432"/>
      </w:pPr>
      <w:r>
        <w:rPr>
          <w:sz w:val="15"/>
        </w:rPr>
        <w:t>[26]</w:t>
        <w:tab/>
      </w:r>
      <w:r>
        <w:rPr>
          <w:i w:val="0"/>
          <w:sz w:val="15"/>
        </w:rPr>
        <w:t xml:space="preserve">J. Lin, W. Chen, H. Cai, C. Gan, and S. Han, </w:t>
      </w:r>
      <w:r>
        <w:rPr>
          <w:i w:val="0"/>
          <w:sz w:val="15"/>
        </w:rPr>
        <w:t xml:space="preserve">“MCUNetV2: Memory-Efficient Patch-Based Inference for Tiny Deep Learning,” in </w:t>
      </w:r>
      <w:r>
        <w:rPr>
          <w:i/>
          <w:sz w:val="15"/>
        </w:rPr>
        <w:t>Advances in Neural Information Processing Systems (NeurIPS)</w:t>
      </w:r>
      <w:r>
        <w:rPr>
          <w:i w:val="0"/>
          <w:sz w:val="15"/>
        </w:rPr>
        <w:t>, 2021</w:t>
      </w:r>
      <w:r>
        <w:rPr>
          <w:i w:val="0"/>
          <w:sz w:val="15"/>
        </w:rPr>
        <w:t>.</w:t>
      </w:r>
    </w:p>
    <w:p>
      <w:pPr>
        <w:spacing w:after="20"/>
        <w:ind w:left="432" w:hanging="432"/>
      </w:pPr>
      <w:r>
        <w:rPr>
          <w:sz w:val="15"/>
        </w:rPr>
        <w:t>[27]</w:t>
        <w:tab/>
      </w:r>
      <w:r>
        <w:rPr>
          <w:i w:val="0"/>
          <w:sz w:val="15"/>
        </w:rPr>
        <w:t xml:space="preserve">B. Jacob et al., </w:t>
      </w:r>
      <w:r>
        <w:rPr>
          <w:i w:val="0"/>
          <w:sz w:val="15"/>
        </w:rPr>
        <w:t xml:space="preserve">“Quantization and Training of Neural Networks for Efficient Integer-Arithmetic-Only Inference,” in </w:t>
      </w:r>
      <w:r>
        <w:rPr>
          <w:i/>
          <w:sz w:val="15"/>
        </w:rPr>
        <w:t>Proc. IEEE Conf. Computer Vision and Pattern Recognition (CVPR)</w:t>
      </w:r>
      <w:r>
        <w:rPr>
          <w:i w:val="0"/>
          <w:sz w:val="15"/>
        </w:rPr>
        <w:t>, 2018, pp. 2704–2713</w:t>
      </w:r>
      <w:r>
        <w:rPr>
          <w:i w:val="0"/>
          <w:sz w:val="15"/>
        </w:rPr>
        <w:t>, doi: 10.1109/CVPR.2018.00286</w:t>
      </w:r>
      <w:r>
        <w:rPr>
          <w:i w:val="0"/>
          <w:sz w:val="15"/>
        </w:rPr>
        <w:t>.</w:t>
      </w:r>
    </w:p>
    <w:p>
      <w:pPr>
        <w:spacing w:after="20"/>
        <w:ind w:left="432" w:hanging="432"/>
      </w:pPr>
      <w:r>
        <w:rPr>
          <w:sz w:val="15"/>
        </w:rPr>
        <w:t>[28]</w:t>
        <w:tab/>
      </w:r>
      <w:r>
        <w:rPr>
          <w:i w:val="0"/>
          <w:sz w:val="15"/>
        </w:rPr>
        <w:t xml:space="preserve">R. David et al., </w:t>
      </w:r>
      <w:r>
        <w:rPr>
          <w:i w:val="0"/>
          <w:sz w:val="15"/>
        </w:rPr>
        <w:t xml:space="preserve">“TensorFlow Lite Micro: Embedded Machine Learning for TinyML Systems,” in </w:t>
      </w:r>
      <w:r>
        <w:rPr>
          <w:i/>
          <w:sz w:val="15"/>
        </w:rPr>
        <w:t>Proc. Machine Learning and Systems (MLSys)</w:t>
      </w:r>
      <w:r>
        <w:rPr>
          <w:i w:val="0"/>
          <w:sz w:val="15"/>
        </w:rPr>
        <w:t>, 2021, pp. 800–811</w:t>
      </w:r>
      <w:r>
        <w:rPr>
          <w:i w:val="0"/>
          <w:sz w:val="15"/>
        </w:rPr>
        <w:t>.</w:t>
      </w:r>
    </w:p>
    <w:p>
      <w:pPr>
        <w:spacing w:after="20"/>
        <w:ind w:left="432" w:hanging="432"/>
      </w:pPr>
      <w:r>
        <w:rPr>
          <w:sz w:val="15"/>
        </w:rPr>
        <w:t>[29]</w:t>
        <w:tab/>
      </w:r>
      <w:r>
        <w:rPr>
          <w:i w:val="0"/>
          <w:sz w:val="15"/>
        </w:rPr>
        <w:t xml:space="preserve">A. Tzachor et al., </w:t>
      </w:r>
      <w:r>
        <w:rPr>
          <w:i w:val="0"/>
          <w:sz w:val="15"/>
        </w:rPr>
        <w:t xml:space="preserve">“Large Language Models and Agricultural Extension Services,” </w:t>
      </w:r>
      <w:r>
        <w:rPr>
          <w:i/>
          <w:sz w:val="15"/>
        </w:rPr>
        <w:t>Nature Food</w:t>
      </w:r>
      <w:r>
        <w:rPr>
          <w:i w:val="0"/>
          <w:sz w:val="15"/>
        </w:rPr>
        <w:t>, vol. 4, pp. 941–948, 2023</w:t>
      </w:r>
      <w:r>
        <w:rPr>
          <w:i w:val="0"/>
          <w:sz w:val="15"/>
        </w:rPr>
        <w:t>, doi: 10.1038/s43016-023-00867-x</w:t>
      </w:r>
      <w:r>
        <w:rPr>
          <w:i w:val="0"/>
          <w:sz w:val="15"/>
        </w:rPr>
        <w:t>.</w:t>
      </w:r>
    </w:p>
    <w:p>
      <w:pPr>
        <w:spacing w:after="20"/>
        <w:ind w:left="432" w:hanging="432"/>
      </w:pPr>
      <w:r>
        <w:rPr>
          <w:sz w:val="15"/>
        </w:rPr>
        <w:t>[30]</w:t>
        <w:tab/>
      </w:r>
      <w:r>
        <w:rPr>
          <w:i w:val="0"/>
          <w:sz w:val="15"/>
        </w:rPr>
        <w:t xml:space="preserve">B. Silva, L. Nunes, R. Estação, V. Aski, and R. Chandra, </w:t>
      </w:r>
      <w:r>
        <w:rPr>
          <w:i w:val="0"/>
          <w:sz w:val="15"/>
        </w:rPr>
        <w:t xml:space="preserve">“GPT-4 as an Agronomist Assistant? Answering Agriculture Exams Using Large Language Models,” </w:t>
      </w:r>
      <w:r>
        <w:rPr>
          <w:i/>
          <w:sz w:val="15"/>
        </w:rPr>
        <w:t>arXiv preprint arXiv:2310.06225</w:t>
      </w:r>
      <w:r>
        <w:rPr>
          <w:i w:val="0"/>
          <w:sz w:val="15"/>
        </w:rPr>
        <w:t>, 2023</w:t>
      </w:r>
      <w:r>
        <w:rPr>
          <w:i w:val="0"/>
          <w:sz w:val="15"/>
        </w:rPr>
        <w:t>.</w:t>
      </w:r>
    </w:p>
    <w:p>
      <w:pPr>
        <w:spacing w:after="20"/>
        <w:ind w:left="432" w:hanging="432"/>
      </w:pPr>
      <w:r>
        <w:rPr>
          <w:sz w:val="15"/>
        </w:rPr>
        <w:t>[31]</w:t>
        <w:tab/>
      </w:r>
      <w:r>
        <w:rPr>
          <w:i w:val="0"/>
          <w:sz w:val="15"/>
        </w:rPr>
        <w:t xml:space="preserve">A. Balaguer et al., </w:t>
      </w:r>
      <w:r>
        <w:rPr>
          <w:i w:val="0"/>
          <w:sz w:val="15"/>
        </w:rPr>
        <w:t xml:space="preserve">“RAG vs Fine-Tuning: Pipelines, Tradeoffs, and a Case Study on Agriculture,” </w:t>
      </w:r>
      <w:r>
        <w:rPr>
          <w:i/>
          <w:sz w:val="15"/>
        </w:rPr>
        <w:t>arXiv preprint arXiv:2401.08406</w:t>
      </w:r>
      <w:r>
        <w:rPr>
          <w:i w:val="0"/>
          <w:sz w:val="15"/>
        </w:rPr>
        <w:t>, 2024</w:t>
      </w:r>
      <w:r>
        <w:rPr>
          <w:i w:val="0"/>
          <w:sz w:val="15"/>
        </w:rPr>
        <w:t>.</w:t>
      </w:r>
    </w:p>
    <w:p>
      <w:pPr>
        <w:spacing w:after="20"/>
        <w:ind w:left="432" w:hanging="432"/>
      </w:pPr>
      <w:r>
        <w:rPr>
          <w:sz w:val="15"/>
        </w:rPr>
        <w:t>[32]</w:t>
        <w:tab/>
      </w:r>
      <w:r>
        <w:rPr>
          <w:i w:val="0"/>
          <w:sz w:val="15"/>
        </w:rPr>
        <w:t xml:space="preserve">P. Lewis, E. Perez, A. Piktus et al., </w:t>
      </w:r>
      <w:r>
        <w:rPr>
          <w:i w:val="0"/>
          <w:sz w:val="15"/>
        </w:rPr>
        <w:t xml:space="preserve">“Retrieval-Augmented Generation for Knowledge-Intensive NLP Tasks,” in </w:t>
      </w:r>
      <w:r>
        <w:rPr>
          <w:i/>
          <w:sz w:val="15"/>
        </w:rPr>
        <w:t>Advances in Neural Information Processing Systems (NeurIPS)</w:t>
      </w:r>
      <w:r>
        <w:rPr>
          <w:i w:val="0"/>
          <w:sz w:val="15"/>
        </w:rPr>
        <w:t>, 2020, pp. 9459–9474</w:t>
      </w:r>
      <w:r>
        <w:rPr>
          <w:i w:val="0"/>
          <w:sz w:val="15"/>
        </w:rPr>
        <w:t>.</w:t>
      </w:r>
    </w:p>
    <w:p>
      <w:pPr>
        <w:spacing w:after="20"/>
        <w:ind w:left="432" w:hanging="432"/>
      </w:pPr>
      <w:r>
        <w:rPr>
          <w:sz w:val="15"/>
        </w:rPr>
        <w:t>[33]</w:t>
        <w:tab/>
      </w:r>
      <w:r>
        <w:rPr>
          <w:i w:val="0"/>
          <w:sz w:val="15"/>
        </w:rPr>
        <w:t xml:space="preserve">Supabase, </w:t>
      </w:r>
      <w:r>
        <w:rPr>
          <w:i w:val="0"/>
          <w:sz w:val="15"/>
        </w:rPr>
        <w:t xml:space="preserve">“Supabase: The Postgres Development Platform,” </w:t>
      </w:r>
      <w:r>
        <w:rPr>
          <w:i w:val="0"/>
          <w:sz w:val="15"/>
        </w:rPr>
        <w:t>2026</w:t>
      </w:r>
      <w:r>
        <w:rPr>
          <w:i w:val="0"/>
          <w:sz w:val="15"/>
        </w:rPr>
        <w:t>. [Online]. Available: https://supabase.com/docs</w:t>
      </w:r>
      <w:r>
        <w:rPr>
          <w:i w:val="0"/>
          <w:sz w:val="15"/>
        </w:rPr>
        <w:t>.</w:t>
      </w:r>
    </w:p>
    <w:p>
      <w:pPr>
        <w:spacing w:after="20"/>
        <w:ind w:left="432" w:hanging="432"/>
      </w:pPr>
      <w:r>
        <w:rPr>
          <w:sz w:val="15"/>
        </w:rPr>
        <w:t>[34]</w:t>
        <w:tab/>
      </w:r>
      <w:r>
        <w:rPr>
          <w:i w:val="0"/>
          <w:sz w:val="15"/>
        </w:rPr>
        <w:t xml:space="preserve">T. Wei et al., </w:t>
      </w:r>
      <w:r>
        <w:rPr>
          <w:i w:val="0"/>
          <w:sz w:val="15"/>
        </w:rPr>
        <w:t xml:space="preserve">“PlantWild: An In-the-Wild Plant Disease Recognition Dataset,” </w:t>
      </w:r>
      <w:r>
        <w:rPr>
          <w:i w:val="0"/>
          <w:sz w:val="15"/>
        </w:rPr>
        <w:t>2024</w:t>
      </w:r>
      <w:r>
        <w:rPr>
          <w:i w:val="0"/>
          <w:sz w:val="15"/>
        </w:rPr>
        <w:t>. [Online]. Available: https://huggingface.co/datasets/uqtwei2/PlantWild</w:t>
      </w:r>
      <w:r>
        <w:rPr>
          <w:i w:val="0"/>
          <w:sz w:val="15"/>
        </w:rPr>
        <w:t>.</w:t>
      </w:r>
    </w:p>
    <w:p>
      <w:pPr>
        <w:spacing w:after="20"/>
        <w:ind w:left="432" w:hanging="432"/>
      </w:pPr>
      <w:r>
        <w:rPr>
          <w:sz w:val="15"/>
        </w:rPr>
        <w:t>[35]</w:t>
        <w:tab/>
      </w:r>
      <w:r>
        <w:rPr>
          <w:i w:val="0"/>
          <w:sz w:val="15"/>
        </w:rPr>
        <w:t xml:space="preserve">E. Mwebaze, T. Gebru, A. Frome, S. Nsumba, and J. Tusubira, </w:t>
      </w:r>
      <w:r>
        <w:rPr>
          <w:i w:val="0"/>
          <w:sz w:val="15"/>
        </w:rPr>
        <w:t xml:space="preserve">“iCassava 2019 Fine-Grained Visual Categorization Challenge,” </w:t>
      </w:r>
      <w:r>
        <w:rPr>
          <w:i/>
          <w:sz w:val="15"/>
        </w:rPr>
        <w:t>arXiv preprint arXiv:1908.02900</w:t>
      </w:r>
      <w:r>
        <w:rPr>
          <w:i w:val="0"/>
          <w:sz w:val="15"/>
        </w:rPr>
        <w:t>, 2019</w:t>
      </w:r>
      <w:r>
        <w:rPr>
          <w:i w:val="0"/>
          <w:sz w:val="15"/>
        </w:rPr>
        <w:t>.</w:t>
      </w:r>
    </w:p>
    <w:p>
      <w:pPr>
        <w:spacing w:after="20"/>
        <w:ind w:left="432" w:hanging="432"/>
      </w:pPr>
      <w:r>
        <w:rPr>
          <w:sz w:val="15"/>
        </w:rPr>
        <w:t>[36]</w:t>
        <w:tab/>
      </w:r>
      <w:r>
        <w:rPr>
          <w:i w:val="0"/>
          <w:sz w:val="15"/>
        </w:rPr>
        <w:t xml:space="preserve">N. Sankalana, </w:t>
      </w:r>
      <w:r>
        <w:rPr>
          <w:i w:val="0"/>
          <w:sz w:val="15"/>
        </w:rPr>
        <w:t xml:space="preserve">“Rice Leaf Disease Image Samples,” </w:t>
      </w:r>
      <w:r>
        <w:rPr>
          <w:i w:val="0"/>
          <w:sz w:val="15"/>
        </w:rPr>
        <w:t>2023</w:t>
      </w:r>
      <w:r>
        <w:rPr>
          <w:i w:val="0"/>
          <w:sz w:val="15"/>
        </w:rPr>
        <w:t>. [Online]. Available: Kaggle dataset, https://www.kaggle.com/datasets/nirmalsankalana/rice-leaf-disease-image</w:t>
      </w:r>
      <w:r>
        <w:rPr>
          <w:i w:val="0"/>
          <w:sz w:val="15"/>
        </w:rPr>
        <w:t>.</w:t>
      </w:r>
    </w:p>
    <w:p>
      <w:pPr>
        <w:spacing w:after="20"/>
        <w:ind w:left="432" w:hanging="432"/>
      </w:pPr>
      <w:r>
        <w:rPr>
          <w:sz w:val="15"/>
        </w:rPr>
        <w:t>[37]</w:t>
        <w:tab/>
      </w:r>
      <w:r>
        <w:rPr>
          <w:i w:val="0"/>
          <w:sz w:val="15"/>
        </w:rPr>
        <w:t xml:space="preserve">C. Zauner, </w:t>
      </w:r>
      <w:r>
        <w:rPr>
          <w:i w:val="0"/>
          <w:sz w:val="15"/>
        </w:rPr>
        <w:t xml:space="preserve">“Implementation and Benchmarking of Perceptual Image Hash Functions,” </w:t>
      </w:r>
      <w:r>
        <w:rPr>
          <w:i/>
          <w:sz w:val="15"/>
        </w:rPr>
        <w:t>Master's thesis, Upper Austria University of Applied Sciences, Hagenberg</w:t>
      </w:r>
      <w:r>
        <w:rPr>
          <w:i w:val="0"/>
          <w:sz w:val="15"/>
        </w:rPr>
        <w:t>, 2010</w:t>
      </w:r>
      <w:r>
        <w:rPr>
          <w:i w:val="0"/>
          <w:sz w:val="15"/>
        </w:rPr>
        <w:t>.</w:t>
      </w:r>
    </w:p>
    <w:p>
      <w:pPr>
        <w:spacing w:after="20"/>
        <w:ind w:left="432" w:hanging="432"/>
      </w:pPr>
      <w:r>
        <w:rPr>
          <w:sz w:val="15"/>
        </w:rPr>
        <w:t>[38]</w:t>
        <w:tab/>
      </w:r>
      <w:r>
        <w:rPr>
          <w:i w:val="0"/>
          <w:sz w:val="15"/>
        </w:rPr>
        <w:t xml:space="preserve">I. Loshchilov, and F. Hutter, </w:t>
      </w:r>
      <w:r>
        <w:rPr>
          <w:i w:val="0"/>
          <w:sz w:val="15"/>
        </w:rPr>
        <w:t xml:space="preserve">“SGDR: Stochastic Gradient Descent with Warm Restarts,” in </w:t>
      </w:r>
      <w:r>
        <w:rPr>
          <w:i/>
          <w:sz w:val="15"/>
        </w:rPr>
        <w:t>Proc. Int. Conf. Learning Representations (ICLR)</w:t>
      </w:r>
      <w:r>
        <w:rPr>
          <w:i w:val="0"/>
          <w:sz w:val="15"/>
        </w:rPr>
        <w:t>, 2017</w:t>
      </w:r>
      <w:r>
        <w:rPr>
          <w:i w:val="0"/>
          <w:sz w:val="15"/>
        </w:rPr>
        <w:t>.</w:t>
      </w:r>
    </w:p>
    <w:p>
      <w:pPr>
        <w:spacing w:after="20"/>
        <w:ind w:left="432" w:hanging="432"/>
      </w:pPr>
      <w:r>
        <w:rPr>
          <w:sz w:val="15"/>
        </w:rPr>
        <w:t>[39]</w:t>
        <w:tab/>
      </w:r>
      <w:r>
        <w:rPr>
          <w:i w:val="0"/>
          <w:sz w:val="15"/>
        </w:rPr>
        <w:t xml:space="preserve">Z. Zhong, L. Zheng, G. Kang, S. Li, and Y. Yang, </w:t>
      </w:r>
      <w:r>
        <w:rPr>
          <w:i w:val="0"/>
          <w:sz w:val="15"/>
        </w:rPr>
        <w:t xml:space="preserve">“Random Erasing Data Augmentation,” in </w:t>
      </w:r>
      <w:r>
        <w:rPr>
          <w:i/>
          <w:sz w:val="15"/>
        </w:rPr>
        <w:t>Proc. AAAI Conf. Artificial Intelligence</w:t>
      </w:r>
      <w:r>
        <w:rPr>
          <w:i w:val="0"/>
          <w:sz w:val="15"/>
        </w:rPr>
        <w:t>, 2020, pp. 13001–13008</w:t>
      </w:r>
      <w:r>
        <w:rPr>
          <w:i w:val="0"/>
          <w:sz w:val="15"/>
        </w:rPr>
        <w:t>, doi: 10.1609/aaai.v34i07.7000</w:t>
      </w:r>
      <w:r>
        <w:rPr>
          <w:i w:val="0"/>
          <w:sz w:val="15"/>
        </w:rPr>
        <w:t>.</w:t>
      </w:r>
    </w:p>
    <w:p>
      <w:pPr>
        <w:spacing w:after="20"/>
        <w:ind w:left="432" w:hanging="432"/>
      </w:pPr>
      <w:r>
        <w:rPr>
          <w:sz w:val="15"/>
        </w:rPr>
        <w:t>[40]</w:t>
        <w:tab/>
      </w:r>
      <w:r>
        <w:rPr>
          <w:i w:val="0"/>
          <w:sz w:val="15"/>
        </w:rPr>
        <w:t xml:space="preserve">ONNX Runtime developers, </w:t>
      </w:r>
      <w:r>
        <w:rPr>
          <w:i w:val="0"/>
          <w:sz w:val="15"/>
        </w:rPr>
        <w:t xml:space="preserve">“ONNX Runtime: Cross-Platform, High Performance ML Inferencing and Training Accelerator,” </w:t>
      </w:r>
      <w:r>
        <w:rPr>
          <w:i w:val="0"/>
          <w:sz w:val="15"/>
        </w:rPr>
        <w:t>2026</w:t>
      </w:r>
      <w:r>
        <w:rPr>
          <w:i w:val="0"/>
          <w:sz w:val="15"/>
        </w:rPr>
        <w:t>. [Online]. Available: https://onnxruntime.ai/</w:t>
      </w:r>
      <w:r>
        <w:rPr>
          <w:i w:val="0"/>
          <w:sz w:val="15"/>
        </w:rPr>
        <w:t>.</w:t>
      </w:r>
    </w:p>
    <w:p>
      <w:pPr>
        <w:spacing w:after="20"/>
        <w:ind w:left="432" w:hanging="432"/>
      </w:pPr>
      <w:r>
        <w:rPr>
          <w:sz w:val="15"/>
        </w:rPr>
        <w:t>[41]</w:t>
        <w:tab/>
      </w:r>
      <w:r>
        <w:rPr>
          <w:i w:val="0"/>
          <w:sz w:val="15"/>
        </w:rPr>
        <w:t xml:space="preserve">Espressif Systems, </w:t>
      </w:r>
      <w:r>
        <w:rPr>
          <w:i w:val="0"/>
          <w:sz w:val="15"/>
        </w:rPr>
        <w:t xml:space="preserve">“ESP32 Series Datasheet,” </w:t>
      </w:r>
      <w:r>
        <w:rPr>
          <w:i w:val="0"/>
          <w:sz w:val="15"/>
        </w:rPr>
        <w:t>2026</w:t>
      </w:r>
      <w:r>
        <w:rPr>
          <w:i w:val="0"/>
          <w:sz w:val="15"/>
        </w:rPr>
        <w:t>. [Online]. Available: https://www.espressif.com/en/support/documents/technical-documents</w:t>
      </w:r>
      <w:r>
        <w:rPr>
          <w:i w:val="0"/>
          <w:sz w:val="15"/>
        </w:rPr>
        <w:t>.</w:t>
      </w:r>
    </w:p>
    <w:p>
      <w:pPr>
        <w:spacing w:before="120"/>
        <w:jc w:val="both"/>
      </w:pPr>
      <w:r>
        <w:rPr>
          <w:b/>
          <w:sz w:val="16"/>
        </w:rPr>
        <w:t xml:space="preserve">TISHA JHARIYA </w:t>
      </w:r>
      <w:r>
        <w:rPr>
          <w:sz w:val="16"/>
        </w:rPr>
        <w:t>is with the Department of Emerging Technologies (Artificial Intelligence &amp; Data Science), S. B. Jain Institute of Technology, Management and Research, Nagpur, India.</w:t>
      </w:r>
    </w:p>
    <w:p>
      <w:pPr>
        <w:spacing w:before="120"/>
        <w:jc w:val="both"/>
      </w:pPr>
      <w:r>
        <w:rPr>
          <w:b/>
          <w:sz w:val="16"/>
        </w:rPr>
        <w:t xml:space="preserve">AKIKO GAJBHIYE </w:t>
      </w:r>
      <w:r>
        <w:rPr>
          <w:sz w:val="16"/>
        </w:rPr>
        <w:t>is with the Department of Emerging Technologies (Artificial Intelligence &amp; Data Science), S. B. Jain Institute of Technology, Management and Research, Nagpur, India.</w:t>
      </w:r>
    </w:p>
    <w:p>
      <w:pPr>
        <w:spacing w:before="120"/>
        <w:jc w:val="both"/>
      </w:pPr>
      <w:r>
        <w:rPr>
          <w:b/>
          <w:sz w:val="16"/>
        </w:rPr>
        <w:t xml:space="preserve">ANSH MESHRAM </w:t>
      </w:r>
      <w:r>
        <w:rPr>
          <w:sz w:val="16"/>
        </w:rPr>
        <w:t>is with the Department of Emerging Technologies (Artificial Intelligence &amp; Data Science), S. B. Jain Institute of Technology, Management and Research, Nagpur, India.</w:t>
      </w:r>
    </w:p>
    <w:p>
      <w:pPr>
        <w:spacing w:before="120"/>
        <w:jc w:val="both"/>
      </w:pPr>
      <w:r>
        <w:rPr>
          <w:b/>
          <w:sz w:val="16"/>
        </w:rPr>
        <w:t xml:space="preserve">AGYA CHOURASIA </w:t>
      </w:r>
      <w:r>
        <w:rPr>
          <w:sz w:val="16"/>
        </w:rPr>
        <w:t>is with the Department of Emerging Technologies (Artificial Intelligence &amp; Data Science), S. B. Jain Institute of Technology, Management and Research, Nagpur, India.</w:t>
      </w:r>
    </w:p>
    <w:p>
      <w:pPr>
        <w:spacing w:before="120"/>
        <w:jc w:val="both"/>
      </w:pPr>
      <w:r>
        <w:rPr>
          <w:b/>
          <w:sz w:val="16"/>
        </w:rPr>
        <w:t xml:space="preserve">[GUIDE NAME] </w:t>
      </w:r>
      <w:r>
        <w:rPr>
          <w:sz w:val="16"/>
        </w:rPr>
        <w:t>is with the Department of Emerging Technologies, S. B. Jain Institute of Technology, Management and Research, Nagpur, India. [Research interests.]</w:t>
      </w:r>
    </w:p>
    <w:sectPr w:rsidR="00FC693F" w:rsidRPr="0006063C" w:rsidSect="00034616">
      <w:type w:val="continuous"/>
      <w:pgSz w:w="12240" w:h="15840"/>
      <w:pgMar w:top="1080" w:right="965" w:bottom="1152" w:left="965" w:header="504"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5155"/>
      <w:gridCol w:w="5155"/>
    </w:tblGrid>
    <w:tr>
      <w:tc>
        <w:tcPr>
          <w:tcW w:type="dxa" w:w="8496"/>
        </w:tcPr>
        <w:p>
          <w:r>
            <w:rPr>
              <w:rFonts w:ascii="Times New Roman" w:hAnsi="Times New Roman"/>
              <w:i/>
              <w:sz w:val="16"/>
            </w:rPr>
            <w:t>T. Jhariya et al.: AgriSense AI — Edge-Authoritative IoT Irrigation and Crop Disease Diagnosis</w:t>
          </w:r>
        </w:p>
      </w:tc>
      <w:tc>
        <w:tcPr>
          <w:tcW w:type="dxa" w:w="1814"/>
        </w:tcPr>
        <w:p>
          <w:pPr>
            <w:jc w:val="right"/>
          </w:pPr>
          <w:r>
            <w:rPr>
              <w:b/>
              <w:color w:val="1B3A6B"/>
              <w:sz w:val="16"/>
            </w:rPr>
            <w:t>IEEE Access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