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5"/>
        </w:rPr>
        <w:t>Received [date], accepted [date], date of publication [date], date of current version [date].  Digital Object Identifier 10.1109/ACCESS.2026.DOI</w:t>
      </w:r>
    </w:p>
    <w:p>
      <w:pPr>
        <w:spacing w:before="200" w:after="160"/>
      </w:pPr>
      <w:r>
        <w:rPr>
          <w:rFonts w:ascii="Arial" w:hAnsi="Arial"/>
          <w:b/>
          <w:color w:val="111111"/>
          <w:sz w:val="42"/>
        </w:rPr>
        <w:t>IoT, Edge AI, and Large Language Models for Smart Agriculture: A Survey of Closed-Loop Irrigation, Crop Disease Diagnosis, and Their Deployment Gaps</w:t>
      </w:r>
    </w:p>
    <w:p>
      <w:pPr>
        <w:spacing w:after="80"/>
      </w:pPr>
      <w:r>
        <w:rPr>
          <w:b/>
          <w:sz w:val="21"/>
        </w:rPr>
        <w:t>TISHA JHARIYA</w:t>
      </w:r>
      <w:r>
        <w:rPr>
          <w:sz w:val="21"/>
          <w:vertAlign w:val="superscript"/>
        </w:rPr>
        <w:t>1</w:t>
      </w:r>
      <w:r>
        <w:rPr>
          <w:sz w:val="21"/>
        </w:rPr>
        <w:t xml:space="preserve">, </w:t>
      </w:r>
      <w:r>
        <w:rPr>
          <w:b/>
          <w:sz w:val="21"/>
        </w:rPr>
        <w:t>AKIKO GAJBHIYE</w:t>
      </w:r>
      <w:r>
        <w:rPr>
          <w:sz w:val="21"/>
          <w:vertAlign w:val="superscript"/>
        </w:rPr>
        <w:t>1</w:t>
      </w:r>
      <w:r>
        <w:rPr>
          <w:sz w:val="21"/>
        </w:rPr>
        <w:t xml:space="preserve">, </w:t>
      </w:r>
      <w:r>
        <w:rPr>
          <w:b/>
          <w:sz w:val="21"/>
        </w:rPr>
        <w:t>ANSH MESHRAM</w:t>
      </w:r>
      <w:r>
        <w:rPr>
          <w:sz w:val="21"/>
          <w:vertAlign w:val="superscript"/>
        </w:rPr>
        <w:t>1</w:t>
      </w:r>
      <w:r>
        <w:rPr>
          <w:sz w:val="21"/>
        </w:rPr>
        <w:t xml:space="preserve">, </w:t>
      </w:r>
      <w:r>
        <w:rPr>
          <w:b/>
          <w:sz w:val="21"/>
        </w:rPr>
        <w:t>AGYA CHOURASIA</w:t>
      </w:r>
      <w:r>
        <w:rPr>
          <w:sz w:val="21"/>
          <w:vertAlign w:val="superscript"/>
        </w:rPr>
        <w:t>1</w:t>
      </w:r>
      <w:r>
        <w:rPr>
          <w:sz w:val="21"/>
        </w:rPr>
        <w:t xml:space="preserve">, AND </w:t>
      </w:r>
      <w:r>
        <w:rPr>
          <w:b/>
          <w:sz w:val="21"/>
        </w:rPr>
        <w:t>[GUIDE NAME]</w:t>
      </w:r>
      <w:r>
        <w:rPr>
          <w:sz w:val="21"/>
          <w:vertAlign w:val="superscript"/>
        </w:rPr>
        <w:t>1</w:t>
      </w:r>
    </w:p>
    <w:p>
      <w:r>
        <w:rPr>
          <w:sz w:val="16"/>
          <w:vertAlign w:val="superscript"/>
        </w:rPr>
        <w:t>1</w:t>
      </w:r>
      <w:r>
        <w:rPr>
          <w:sz w:val="16"/>
        </w:rPr>
        <w:t>Department of Emerging Technologies (Artificial Intelligence &amp; Data Science), S. B. Jain Institute of Technology, Management and Research, Nagpur, Maharashtra 441501, India</w:t>
      </w:r>
    </w:p>
    <w:p>
      <w:pPr>
        <w:spacing w:after="80"/>
      </w:pPr>
      <w:r>
        <w:rPr>
          <w:sz w:val="16"/>
        </w:rPr>
        <w:t>Corresponding author: [Guide Name] ([email address])</w:t>
      </w:r>
    </w:p>
    <w:p>
      <w:pPr>
        <w:pBdr>
          <w:bottom w:val="single" w:sz="6" w:space="1" w:color="1B3A6B"/>
        </w:pBdr>
        <w:spacing w:after="80"/>
      </w:pPr>
    </w:p>
    <w:p>
      <w:pPr>
        <w:spacing w:after="80"/>
        <w:jc w:val="both"/>
      </w:pPr>
      <w:r>
        <w:rPr>
          <w:b/>
          <w:color w:val="1B3A6B"/>
          <w:sz w:val="18"/>
        </w:rPr>
        <w:t xml:space="preserve">ABSTRACT  </w:t>
      </w:r>
      <w:r>
        <w:rPr>
          <w:sz w:val="18"/>
        </w:rPr>
        <w:t>Smart-agriculture research has converged on a recognisable stack: low-cost sensor nodes and cameras, wireless connectivity, automated irrigation, deep-learning disease diagnosis, and, most recently, large language models (LLMs) that answer agronomic questions. Existing surveys usually treat these layers separately, and most predate both the TinyML and LLM waves. This survey reviews the full stack in one frame and focuses on the question that matters for deployment: which reported results survive contact with real fields. We organise the literature into a five-branch taxonomy covering sensing and connectivity, irrigation control, disease diagnosis, edge AI, and LLM-based advisory with security. For each branch we compare representative methods and quantify recurring gaps. Three findings stand out. First, reported irrigation savings span roughly 9–50 %, yet few studies meter both a treatment and a control arm or specify behaviour under sensor failure. Second, plant-disease classifiers commonly report over 99 % accuracy on laboratory imagery but fall to about 31–68 % on field images, a gap compounded by near-duplicate leakage in random splits. Third, published feasibility results for disease models on ESP32-class microcontrollers contradict one another because class count, input resolution, quantization and chip variant are rarely reported together. We illustrate these issues with an open reference implementation, AgriSense AI, and close with a research agenda centred on field-validated evaluation, fail-safe control, memory-aware edge models, and grounded, auditable agricultural LLMs.</w:t>
      </w:r>
    </w:p>
    <w:p>
      <w:pPr>
        <w:spacing w:after="80"/>
        <w:jc w:val="both"/>
      </w:pPr>
      <w:r>
        <w:rPr>
          <w:b/>
          <w:color w:val="1B3A6B"/>
          <w:sz w:val="18"/>
        </w:rPr>
        <w:t xml:space="preserve">INDEX TERMS  </w:t>
      </w:r>
      <w:r>
        <w:rPr>
          <w:sz w:val="18"/>
        </w:rPr>
        <w:t>Smart agriculture, Internet of Things, precision irrigation, plant disease detection, deep learning, domain shift, TinyML, edge computing, large language models, survey.</w:t>
      </w:r>
    </w:p>
    <w:p>
      <w:pPr>
        <w:pBdr>
          <w:bottom w:val="single" w:sz="6" w:space="1" w:color="1B3A6B"/>
        </w:pBdr>
        <w:spacing w:after="80"/>
      </w:pPr>
    </w:p>
    <w:p>
      <w:pPr>
        <w:sectPr>
          <w:headerReference w:type="default" r:id="rId9"/>
          <w:footerReference w:type="default" r:id="rId10"/>
          <w:pgSz w:w="12240" w:h="15840"/>
          <w:pgMar w:top="1080" w:right="965" w:bottom="1152" w:left="965" w:header="504" w:footer="720" w:gutter="0"/>
          <w:cols w:space="720"/>
          <w:docGrid w:linePitch="360"/>
        </w:sectPr>
      </w:pPr>
    </w:p>
    <w:p>
      <w:pPr>
        <w:keepNext/>
        <w:spacing w:before="160" w:after="60"/>
      </w:pPr>
      <w:r>
        <w:rPr>
          <w:b/>
          <w:color w:val="1B3A6B"/>
          <w:sz w:val="19"/>
        </w:rPr>
        <w:t>I. INTRODUCTION</w:t>
      </w:r>
    </w:p>
    <w:p>
      <w:pPr>
        <w:spacing w:after="0"/>
        <w:ind w:firstLine="216"/>
        <w:jc w:val="both"/>
      </w:pPr>
      <w:r>
        <w:t>Feeding a growing population with less water and fewer chemical inputs is a defining challenge of this century. Agriculture already accounts for around 70 % of global freshwater withdrawals [1], and an expert survey across 67 countries estimates yield losses to pathogens and pests of 10–28 % for wheat, 25–41 % for rice, 20–41 % for maize, 8–21 % for potato and 11–32 % for soybean [2]. Plant disease has long been recognised as a threat to food security [3]. Both problems are worst for smallholders, who lack sensors, agronomists and reliable connectivity.</w:t>
      </w:r>
    </w:p>
    <w:p>
      <w:pPr>
        <w:spacing w:after="0"/>
        <w:ind w:firstLine="216"/>
        <w:jc w:val="both"/>
      </w:pPr>
      <w:r>
        <w:t>Digital agriculture promises to close this gap by measuring the field continuously and acting on it automatically [4], [5]. Over the past decade three technology waves have arrived in quick succession: Internet of Things (IoT) sensing and actuation [6]–[8], deep learning for image-based diagnosis [9], [10], and, since 2023, large language models (LLMs) and foundation models [11], [12]. In parallel, TinyML has made it plausible to run neural networks on microcontrollers costing a few dollars [13], [14].</w:t>
      </w:r>
    </w:p>
    <w:p>
      <w:pPr>
        <w:spacing w:after="0"/>
        <w:ind w:firstLine="216"/>
        <w:jc w:val="both"/>
      </w:pPr>
      <w:r>
        <w:t xml:space="preserve">The literature on each wave is large, but it is fragmented, and much of it reports results under conditions that do not hold in deployment: irrigation savings without metered controls, disease accuracies measured on laboratory photographs, and edge feasibility judged on a single operating point. This survey therefore asks not only </w:t>
      </w:r>
      <w:r>
        <w:rPr>
          <w:i/>
        </w:rPr>
        <w:t>what has been built</w:t>
      </w:r>
      <w:r>
        <w:t xml:space="preserve"> but </w:t>
      </w:r>
      <w:r>
        <w:rPr>
          <w:i/>
        </w:rPr>
        <w:t>what has been shown to work in the field, and under what evaluation</w:t>
      </w:r>
      <w:r>
        <w:t>.</w:t>
      </w:r>
    </w:p>
    <w:p>
      <w:pPr>
        <w:keepNext/>
        <w:spacing w:before="100" w:after="40"/>
      </w:pPr>
      <w:r>
        <w:rPr>
          <w:b/>
          <w:color w:val="1B3A6B"/>
          <w:sz w:val="17"/>
        </w:rPr>
        <w:t>A. COMPARISON WITH EXISTING SURVEYS</w:t>
      </w:r>
    </w:p>
    <w:p>
      <w:pPr>
        <w:spacing w:after="0"/>
        <w:ind w:firstLine="216"/>
        <w:jc w:val="both"/>
      </w:pPr>
      <w:r>
        <w:t>Table 1 positions this survey against prior reviews. IoT surveys [5]–[8], [15], [16] cover sensing and networking in depth but treat disease diagnosis briefly; disease-detection reviews [17]–[19] cover models and datasets but not actuation or deployment hardware; and the foundation-model review of Li et al. [12] predates most agricultural LLM deployments. None jointly examines closed-loop control, diagnosis, edge feasibility and LLM advisory, nor treats evaluation validity as a cross-cutting theme.</w:t>
      </w: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1. </w:t>
      </w:r>
      <w:r>
        <w:rPr>
          <w:sz w:val="16"/>
        </w:rPr>
        <w:t>Scope of related surveys (● major focus, ◐ partial, ○ not covered; authors' assessment).</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rPr>
          <w:cantSplit/>
        </w:trPr>
        <w:tc>
          <w:tcPr>
            <w:tcW w:type="dxa" w:w="3593"/>
            <w:shd w:val="clear" w:color="auto" w:fill="1B3A6B"/>
          </w:tcPr>
          <w:p>
            <w:pPr>
              <w:keepNext/>
              <w:jc w:val="left"/>
            </w:pPr>
            <w:r>
              <w:rPr>
                <w:b/>
                <w:color w:val="FFFFFF"/>
                <w:sz w:val="15"/>
              </w:rPr>
              <w:t>Survey</w:t>
            </w:r>
          </w:p>
        </w:tc>
        <w:tc>
          <w:tcPr>
            <w:tcW w:type="dxa" w:w="703"/>
            <w:shd w:val="clear" w:color="auto" w:fill="1B3A6B"/>
          </w:tcPr>
          <w:p>
            <w:pPr>
              <w:keepNext/>
              <w:jc w:val="center"/>
            </w:pPr>
            <w:r>
              <w:rPr>
                <w:b/>
                <w:color w:val="FFFFFF"/>
                <w:sz w:val="15"/>
              </w:rPr>
              <w:t>Year</w:t>
            </w:r>
          </w:p>
        </w:tc>
        <w:tc>
          <w:tcPr>
            <w:tcW w:type="dxa" w:w="703"/>
            <w:shd w:val="clear" w:color="auto" w:fill="1B3A6B"/>
          </w:tcPr>
          <w:p>
            <w:pPr>
              <w:keepNext/>
              <w:jc w:val="center"/>
            </w:pPr>
            <w:r>
              <w:rPr>
                <w:b/>
                <w:color w:val="FFFFFF"/>
                <w:sz w:val="15"/>
              </w:rPr>
              <w:t>IoT</w:t>
            </w:r>
          </w:p>
        </w:tc>
        <w:tc>
          <w:tcPr>
            <w:tcW w:type="dxa" w:w="781"/>
            <w:shd w:val="clear" w:color="auto" w:fill="1B3A6B"/>
          </w:tcPr>
          <w:p>
            <w:pPr>
              <w:keepNext/>
              <w:jc w:val="center"/>
            </w:pPr>
            <w:r>
              <w:rPr>
                <w:b/>
                <w:color w:val="FFFFFF"/>
                <w:sz w:val="15"/>
              </w:rPr>
              <w:t>Irrig.</w:t>
            </w:r>
          </w:p>
        </w:tc>
        <w:tc>
          <w:tcPr>
            <w:tcW w:type="dxa" w:w="1172"/>
            <w:shd w:val="clear" w:color="auto" w:fill="1B3A6B"/>
          </w:tcPr>
          <w:p>
            <w:pPr>
              <w:keepNext/>
              <w:jc w:val="center"/>
            </w:pPr>
            <w:r>
              <w:rPr>
                <w:b/>
                <w:color w:val="FFFFFF"/>
                <w:sz w:val="15"/>
              </w:rPr>
              <w:t>Disease DL</w:t>
            </w:r>
          </w:p>
        </w:tc>
        <w:tc>
          <w:tcPr>
            <w:tcW w:type="dxa" w:w="1328"/>
            <w:shd w:val="clear" w:color="auto" w:fill="1B3A6B"/>
          </w:tcPr>
          <w:p>
            <w:pPr>
              <w:keepNext/>
              <w:jc w:val="center"/>
            </w:pPr>
            <w:r>
              <w:rPr>
                <w:b/>
                <w:color w:val="FFFFFF"/>
                <w:sz w:val="15"/>
              </w:rPr>
              <w:t>Edge/TinyML</w:t>
            </w:r>
          </w:p>
        </w:tc>
        <w:tc>
          <w:tcPr>
            <w:tcW w:type="dxa" w:w="703"/>
            <w:shd w:val="clear" w:color="auto" w:fill="1B3A6B"/>
          </w:tcPr>
          <w:p>
            <w:pPr>
              <w:keepNext/>
              <w:jc w:val="center"/>
            </w:pPr>
            <w:r>
              <w:rPr>
                <w:b/>
                <w:color w:val="FFFFFF"/>
                <w:sz w:val="15"/>
              </w:rPr>
              <w:t>LLM</w:t>
            </w:r>
          </w:p>
        </w:tc>
        <w:tc>
          <w:tcPr>
            <w:tcW w:type="dxa" w:w="1328"/>
            <w:shd w:val="clear" w:color="auto" w:fill="1B3A6B"/>
          </w:tcPr>
          <w:p>
            <w:pPr>
              <w:keepNext/>
              <w:jc w:val="center"/>
            </w:pPr>
            <w:r>
              <w:rPr>
                <w:b/>
                <w:color w:val="FFFFFF"/>
                <w:sz w:val="15"/>
              </w:rPr>
              <w:t>Domain shift</w:t>
            </w:r>
          </w:p>
        </w:tc>
      </w:tr>
      <w:tr>
        <w:trPr>
          <w:cantSplit/>
        </w:trPr>
        <w:tc>
          <w:tcPr>
            <w:tcW w:type="dxa" w:w="3593"/>
          </w:tcPr>
          <w:p>
            <w:pPr>
              <w:keepNext/>
              <w:jc w:val="left"/>
            </w:pPr>
            <w:r>
              <w:rPr>
                <w:sz w:val="15"/>
              </w:rPr>
              <w:t>Tzounis et al. [5]</w:t>
            </w:r>
          </w:p>
        </w:tc>
        <w:tc>
          <w:tcPr>
            <w:tcW w:type="dxa" w:w="703"/>
          </w:tcPr>
          <w:p>
            <w:pPr>
              <w:keepNext/>
              <w:jc w:val="center"/>
            </w:pPr>
            <w:r>
              <w:rPr>
                <w:sz w:val="15"/>
              </w:rPr>
              <w:t>2017</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Kamilaris &amp; Prenafeta-Boldú [9]</w:t>
            </w:r>
          </w:p>
        </w:tc>
        <w:tc>
          <w:tcPr>
            <w:tcW w:type="dxa" w:w="703"/>
            <w:shd w:val="clear" w:color="auto" w:fill="EDF1F6"/>
          </w:tcPr>
          <w:p>
            <w:pPr>
              <w:keepNext/>
              <w:jc w:val="center"/>
            </w:pPr>
            <w:r>
              <w:rPr>
                <w:sz w:val="15"/>
              </w:rPr>
              <w:t>2018</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keepNext/>
              <w:jc w:val="left"/>
            </w:pPr>
            <w:r>
              <w:rPr>
                <w:sz w:val="15"/>
              </w:rPr>
              <w:t>Liakos et al. [20]</w:t>
            </w:r>
          </w:p>
        </w:tc>
        <w:tc>
          <w:tcPr>
            <w:tcW w:type="dxa" w:w="703"/>
          </w:tcPr>
          <w:p>
            <w:pPr>
              <w:keepNext/>
              <w:jc w:val="center"/>
            </w:pPr>
            <w:r>
              <w:rPr>
                <w:sz w:val="15"/>
              </w:rPr>
              <w:t>2018</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Elijah et al. [6]</w:t>
            </w:r>
          </w:p>
        </w:tc>
        <w:tc>
          <w:tcPr>
            <w:tcW w:type="dxa" w:w="703"/>
            <w:shd w:val="clear" w:color="auto" w:fill="EDF1F6"/>
          </w:tcPr>
          <w:p>
            <w:pPr>
              <w:keepNext/>
              <w:jc w:val="center"/>
            </w:pPr>
            <w:r>
              <w:rPr>
                <w:sz w:val="15"/>
              </w:rPr>
              <w:t>2018</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keepNext/>
              <w:jc w:val="left"/>
            </w:pPr>
            <w:r>
              <w:rPr>
                <w:sz w:val="15"/>
              </w:rPr>
              <w:t>Ayaz et al. [7]</w:t>
            </w:r>
          </w:p>
        </w:tc>
        <w:tc>
          <w:tcPr>
            <w:tcW w:type="dxa" w:w="703"/>
          </w:tcPr>
          <w:p>
            <w:pPr>
              <w:keepNext/>
              <w:jc w:val="center"/>
            </w:pPr>
            <w:r>
              <w:rPr>
                <w:sz w:val="15"/>
              </w:rPr>
              <w:t>2019</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Farooq et al. [8]</w:t>
            </w:r>
          </w:p>
        </w:tc>
        <w:tc>
          <w:tcPr>
            <w:tcW w:type="dxa" w:w="703"/>
            <w:shd w:val="clear" w:color="auto" w:fill="EDF1F6"/>
          </w:tcPr>
          <w:p>
            <w:pPr>
              <w:keepNext/>
              <w:jc w:val="center"/>
            </w:pPr>
            <w:r>
              <w:rPr>
                <w:sz w:val="15"/>
              </w:rPr>
              <w:t>2019</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keepNext/>
              <w:jc w:val="left"/>
            </w:pPr>
            <w:r>
              <w:rPr>
                <w:sz w:val="15"/>
              </w:rPr>
              <w:t>García et al. [21]</w:t>
            </w:r>
          </w:p>
        </w:tc>
        <w:tc>
          <w:tcPr>
            <w:tcW w:type="dxa" w:w="703"/>
          </w:tcPr>
          <w:p>
            <w:pPr>
              <w:keepNext/>
              <w:jc w:val="center"/>
            </w:pPr>
            <w:r>
              <w:rPr>
                <w:sz w:val="15"/>
              </w:rPr>
              <w:t>2020</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Gupta et al. [22]</w:t>
            </w:r>
          </w:p>
        </w:tc>
        <w:tc>
          <w:tcPr>
            <w:tcW w:type="dxa" w:w="703"/>
            <w:shd w:val="clear" w:color="auto" w:fill="EDF1F6"/>
          </w:tcPr>
          <w:p>
            <w:pPr>
              <w:keepNext/>
              <w:jc w:val="center"/>
            </w:pPr>
            <w:r>
              <w:rPr>
                <w:sz w:val="15"/>
              </w:rPr>
              <w:t>2020</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keepNext/>
              <w:jc w:val="left"/>
            </w:pPr>
            <w:r>
              <w:rPr>
                <w:sz w:val="15"/>
              </w:rPr>
              <w:t>Friha et al. [15]</w:t>
            </w:r>
          </w:p>
        </w:tc>
        <w:tc>
          <w:tcPr>
            <w:tcW w:type="dxa" w:w="703"/>
          </w:tcPr>
          <w:p>
            <w:pPr>
              <w:keepNext/>
              <w:jc w:val="center"/>
            </w:pPr>
            <w:r>
              <w:rPr>
                <w:sz w:val="15"/>
              </w:rPr>
              <w:t>2021</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Li, Zhang &amp; Wang [17]</w:t>
            </w:r>
          </w:p>
        </w:tc>
        <w:tc>
          <w:tcPr>
            <w:tcW w:type="dxa" w:w="703"/>
            <w:shd w:val="clear" w:color="auto" w:fill="EDF1F6"/>
          </w:tcPr>
          <w:p>
            <w:pPr>
              <w:keepNext/>
              <w:jc w:val="center"/>
            </w:pPr>
            <w:r>
              <w:rPr>
                <w:sz w:val="15"/>
              </w:rPr>
              <w:t>2021</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keepNext/>
              <w:jc w:val="left"/>
            </w:pPr>
            <w:r>
              <w:rPr>
                <w:sz w:val="15"/>
              </w:rPr>
              <w:t>Thakur et al. [19]</w:t>
            </w:r>
          </w:p>
        </w:tc>
        <w:tc>
          <w:tcPr>
            <w:tcW w:type="dxa" w:w="703"/>
          </w:tcPr>
          <w:p>
            <w:pPr>
              <w:keepNext/>
              <w:jc w:val="center"/>
            </w:pPr>
            <w:r>
              <w:rPr>
                <w:sz w:val="15"/>
              </w:rPr>
              <w:t>2022</w:t>
            </w:r>
          </w:p>
        </w:tc>
        <w:tc>
          <w:tcPr>
            <w:tcW w:type="dxa" w:w="703"/>
          </w:tcPr>
          <w:p>
            <w:pPr>
              <w:keepNext/>
              <w:jc w:val="center"/>
            </w:pPr>
            <w:r>
              <w:rPr>
                <w:sz w:val="15"/>
              </w:rPr>
              <w:t>○</w:t>
            </w:r>
          </w:p>
        </w:tc>
        <w:tc>
          <w:tcPr>
            <w:tcW w:type="dxa" w:w="781"/>
          </w:tcPr>
          <w:p>
            <w:pPr>
              <w:keepNext/>
              <w:jc w:val="center"/>
            </w:pPr>
            <w:r>
              <w:rPr>
                <w:sz w:val="15"/>
              </w:rPr>
              <w:t>○</w:t>
            </w:r>
          </w:p>
        </w:tc>
        <w:tc>
          <w:tcPr>
            <w:tcW w:type="dxa" w:w="1172"/>
          </w:tcPr>
          <w:p>
            <w:pPr>
              <w:keepNext/>
              <w:jc w:val="center"/>
            </w:pPr>
            <w:r>
              <w:rPr>
                <w:sz w:val="15"/>
              </w:rPr>
              <w:t>●</w:t>
            </w:r>
          </w:p>
        </w:tc>
        <w:tc>
          <w:tcPr>
            <w:tcW w:type="dxa" w:w="1328"/>
          </w:tcPr>
          <w:p>
            <w:pPr>
              <w:keepNext/>
              <w:jc w:val="center"/>
            </w:pPr>
            <w:r>
              <w:rPr>
                <w:sz w:val="15"/>
              </w:rPr>
              <w:t>○</w:t>
            </w:r>
          </w:p>
        </w:tc>
        <w:tc>
          <w:tcPr>
            <w:tcW w:type="dxa" w:w="703"/>
          </w:tcPr>
          <w:p>
            <w:pPr>
              <w:keepNext/>
              <w:jc w:val="center"/>
            </w:pPr>
            <w:r>
              <w:rPr>
                <w:sz w:val="15"/>
              </w:rPr>
              <w:t>○</w:t>
            </w:r>
          </w:p>
        </w:tc>
        <w:tc>
          <w:tcPr>
            <w:tcW w:type="dxa" w:w="1328"/>
          </w:tcPr>
          <w:p>
            <w:pPr>
              <w:keepNext/>
              <w:jc w:val="center"/>
            </w:pPr>
            <w:r>
              <w:rPr>
                <w:sz w:val="15"/>
              </w:rPr>
              <w:t>◐</w:t>
            </w:r>
          </w:p>
        </w:tc>
      </w:tr>
      <w:tr>
        <w:trPr>
          <w:cantSplit/>
        </w:trPr>
        <w:tc>
          <w:tcPr>
            <w:tcW w:type="dxa" w:w="3593"/>
            <w:shd w:val="clear" w:color="auto" w:fill="EDF1F6"/>
          </w:tcPr>
          <w:p>
            <w:pPr>
              <w:keepNext/>
              <w:jc w:val="left"/>
            </w:pPr>
            <w:r>
              <w:rPr>
                <w:sz w:val="15"/>
              </w:rPr>
              <w:t>Li et al. [12]</w:t>
            </w:r>
          </w:p>
        </w:tc>
        <w:tc>
          <w:tcPr>
            <w:tcW w:type="dxa" w:w="703"/>
            <w:shd w:val="clear" w:color="auto" w:fill="EDF1F6"/>
          </w:tcPr>
          <w:p>
            <w:pPr>
              <w:keepNext/>
              <w:jc w:val="center"/>
            </w:pPr>
            <w:r>
              <w:rPr>
                <w:sz w:val="15"/>
              </w:rPr>
              <w:t>2024</w:t>
            </w:r>
          </w:p>
        </w:tc>
        <w:tc>
          <w:tcPr>
            <w:tcW w:type="dxa" w:w="703"/>
            <w:shd w:val="clear" w:color="auto" w:fill="EDF1F6"/>
          </w:tcPr>
          <w:p>
            <w:pPr>
              <w:keepNext/>
              <w:jc w:val="center"/>
            </w:pPr>
            <w:r>
              <w:rPr>
                <w:sz w:val="15"/>
              </w:rPr>
              <w:t>○</w:t>
            </w:r>
          </w:p>
        </w:tc>
        <w:tc>
          <w:tcPr>
            <w:tcW w:type="dxa" w:w="781"/>
            <w:shd w:val="clear" w:color="auto" w:fill="EDF1F6"/>
          </w:tcPr>
          <w:p>
            <w:pPr>
              <w:keepNext/>
              <w:jc w:val="center"/>
            </w:pPr>
            <w:r>
              <w:rPr>
                <w:sz w:val="15"/>
              </w:rPr>
              <w:t>○</w:t>
            </w:r>
          </w:p>
        </w:tc>
        <w:tc>
          <w:tcPr>
            <w:tcW w:type="dxa" w:w="1172"/>
            <w:shd w:val="clear" w:color="auto" w:fill="EDF1F6"/>
          </w:tcPr>
          <w:p>
            <w:pPr>
              <w:keepNext/>
              <w:jc w:val="center"/>
            </w:pPr>
            <w:r>
              <w:rPr>
                <w:sz w:val="15"/>
              </w:rPr>
              <w:t>◐</w:t>
            </w:r>
          </w:p>
        </w:tc>
        <w:tc>
          <w:tcPr>
            <w:tcW w:type="dxa" w:w="1328"/>
            <w:shd w:val="clear" w:color="auto" w:fill="EDF1F6"/>
          </w:tcPr>
          <w:p>
            <w:pPr>
              <w:keepNext/>
              <w:jc w:val="center"/>
            </w:pPr>
            <w:r>
              <w:rPr>
                <w:sz w:val="15"/>
              </w:rPr>
              <w:t>○</w:t>
            </w:r>
          </w:p>
        </w:tc>
        <w:tc>
          <w:tcPr>
            <w:tcW w:type="dxa" w:w="703"/>
            <w:shd w:val="clear" w:color="auto" w:fill="EDF1F6"/>
          </w:tcPr>
          <w:p>
            <w:pPr>
              <w:keepNext/>
              <w:jc w:val="center"/>
            </w:pPr>
            <w:r>
              <w:rPr>
                <w:sz w:val="15"/>
              </w:rPr>
              <w:t>●</w:t>
            </w:r>
          </w:p>
        </w:tc>
        <w:tc>
          <w:tcPr>
            <w:tcW w:type="dxa" w:w="1328"/>
            <w:shd w:val="clear" w:color="auto" w:fill="EDF1F6"/>
          </w:tcPr>
          <w:p>
            <w:pPr>
              <w:keepNext/>
              <w:jc w:val="center"/>
            </w:pPr>
            <w:r>
              <w:rPr>
                <w:sz w:val="15"/>
              </w:rPr>
              <w:t>◐</w:t>
            </w:r>
          </w:p>
        </w:tc>
      </w:tr>
      <w:tr>
        <w:trPr>
          <w:cantSplit/>
        </w:trPr>
        <w:tc>
          <w:tcPr>
            <w:tcW w:type="dxa" w:w="3593"/>
          </w:tcPr>
          <w:p>
            <w:pPr>
              <w:jc w:val="left"/>
            </w:pPr>
            <w:r>
              <w:rPr>
                <w:b/>
                <w:sz w:val="15"/>
              </w:rPr>
              <w:t>This survey</w:t>
            </w:r>
          </w:p>
        </w:tc>
        <w:tc>
          <w:tcPr>
            <w:tcW w:type="dxa" w:w="703"/>
          </w:tcPr>
          <w:p>
            <w:pPr>
              <w:jc w:val="center"/>
            </w:pPr>
            <w:r>
              <w:rPr>
                <w:sz w:val="15"/>
              </w:rPr>
              <w:t>2026</w:t>
            </w:r>
          </w:p>
        </w:tc>
        <w:tc>
          <w:tcPr>
            <w:tcW w:type="dxa" w:w="703"/>
          </w:tcPr>
          <w:p>
            <w:pPr>
              <w:jc w:val="center"/>
            </w:pPr>
            <w:r>
              <w:rPr>
                <w:sz w:val="15"/>
              </w:rPr>
              <w:t>●</w:t>
            </w:r>
          </w:p>
        </w:tc>
        <w:tc>
          <w:tcPr>
            <w:tcW w:type="dxa" w:w="781"/>
          </w:tcPr>
          <w:p>
            <w:pPr>
              <w:jc w:val="center"/>
            </w:pPr>
            <w:r>
              <w:rPr>
                <w:sz w:val="15"/>
              </w:rPr>
              <w:t>●</w:t>
            </w:r>
          </w:p>
        </w:tc>
        <w:tc>
          <w:tcPr>
            <w:tcW w:type="dxa" w:w="1172"/>
          </w:tcPr>
          <w:p>
            <w:pPr>
              <w:jc w:val="center"/>
            </w:pPr>
            <w:r>
              <w:rPr>
                <w:sz w:val="15"/>
              </w:rPr>
              <w:t>●</w:t>
            </w:r>
          </w:p>
        </w:tc>
        <w:tc>
          <w:tcPr>
            <w:tcW w:type="dxa" w:w="1328"/>
          </w:tcPr>
          <w:p>
            <w:pPr>
              <w:jc w:val="center"/>
            </w:pPr>
            <w:r>
              <w:rPr>
                <w:sz w:val="15"/>
              </w:rPr>
              <w:t>●</w:t>
            </w:r>
          </w:p>
        </w:tc>
        <w:tc>
          <w:tcPr>
            <w:tcW w:type="dxa" w:w="703"/>
          </w:tcPr>
          <w:p>
            <w:pPr>
              <w:jc w:val="center"/>
            </w:pPr>
            <w:r>
              <w:rPr>
                <w:sz w:val="15"/>
              </w:rPr>
              <w:t>●</w:t>
            </w:r>
          </w:p>
        </w:tc>
        <w:tc>
          <w:tcPr>
            <w:tcW w:type="dxa" w:w="1328"/>
          </w:tcPr>
          <w:p>
            <w:pPr>
              <w:jc w:val="center"/>
            </w:pPr>
            <w:r>
              <w:rPr>
                <w:sz w:val="15"/>
              </w:rPr>
              <w:t>●</w:t>
            </w:r>
          </w:p>
        </w:tc>
      </w:tr>
    </w:tbl>
    <w:p>
      <w:pPr>
        <w:spacing w:after="120"/>
      </w:pPr>
    </w:p>
    <w:p>
      <w:pPr>
        <w:sectPr>
          <w:type w:val="continuous"/>
          <w:pgSz w:w="12240" w:h="15840"/>
          <w:pgMar w:top="1080" w:right="965" w:bottom="1152" w:left="965" w:header="504" w:footer="720" w:gutter="0"/>
          <w:docGrid w:linePitch="360"/>
          <w:cols w:num="1" w:space="360"/>
        </w:sectPr>
      </w:pPr>
    </w:p>
    <w:p>
      <w:pPr>
        <w:keepNext/>
        <w:spacing w:before="100" w:after="40"/>
      </w:pPr>
      <w:r>
        <w:rPr>
          <w:b/>
          <w:color w:val="1B3A6B"/>
          <w:sz w:val="17"/>
        </w:rPr>
        <w:t>B. CONTRIBUTIONS</w:t>
      </w:r>
    </w:p>
    <w:p>
      <w:pPr>
        <w:spacing w:after="20"/>
        <w:ind w:left="288" w:hanging="202"/>
        <w:jc w:val="both"/>
      </w:pPr>
      <w:r>
        <w:t xml:space="preserve">1)  </w:t>
      </w:r>
      <w:r>
        <w:t xml:space="preserve">A unified </w:t>
      </w:r>
      <w:r>
        <w:rPr>
          <w:b/>
        </w:rPr>
        <w:t>five-branch taxonomy</w:t>
      </w:r>
      <w:r>
        <w:t xml:space="preserve"> of AI-enabled smart agriculture spanning sensing, control, diagnosis, edge inference and LLM advisory (Section III, Fig. 1).</w:t>
      </w:r>
    </w:p>
    <w:p>
      <w:pPr>
        <w:spacing w:after="20"/>
        <w:ind w:left="288" w:hanging="202"/>
        <w:jc w:val="both"/>
      </w:pPr>
      <w:r>
        <w:t xml:space="preserve">2)  </w:t>
      </w:r>
      <w:r>
        <w:t xml:space="preserve">A critical comparison of </w:t>
      </w:r>
      <w:r>
        <w:rPr>
          <w:b/>
        </w:rPr>
        <w:t>irrigation control strategies</w:t>
      </w:r>
      <w:r>
        <w:t xml:space="preserve"> with attention to metered evaluation and fail-safe behaviour (Section V).</w:t>
      </w:r>
    </w:p>
    <w:p>
      <w:pPr>
        <w:spacing w:after="20"/>
        <w:ind w:left="288" w:hanging="202"/>
        <w:jc w:val="both"/>
      </w:pPr>
      <w:r>
        <w:t xml:space="preserve">3)  </w:t>
      </w:r>
      <w:r>
        <w:t xml:space="preserve">A synthesis of </w:t>
      </w:r>
      <w:r>
        <w:rPr>
          <w:b/>
        </w:rPr>
        <w:t>disease-diagnosis datasets and models</w:t>
      </w:r>
      <w:r>
        <w:t xml:space="preserve"> together with the evidence on the laboratory-to-field gap and data leakage, and concrete evaluation recommendations (Sections VI–VII).</w:t>
      </w:r>
    </w:p>
    <w:p>
      <w:pPr>
        <w:spacing w:after="20"/>
        <w:ind w:left="288" w:hanging="202"/>
        <w:jc w:val="both"/>
      </w:pPr>
      <w:r>
        <w:t xml:space="preserve">4)  </w:t>
      </w:r>
      <w:r>
        <w:t xml:space="preserve">An analysis of the </w:t>
      </w:r>
      <w:r>
        <w:rPr>
          <w:b/>
        </w:rPr>
        <w:t>ESP32-class feasibility contradiction</w:t>
      </w:r>
      <w:r>
        <w:t xml:space="preserve"> in edge disease diagnosis, reduced to a closed-form memory bound (Section VIII).</w:t>
      </w:r>
    </w:p>
    <w:p>
      <w:pPr>
        <w:spacing w:after="20"/>
        <w:ind w:left="288" w:hanging="202"/>
        <w:jc w:val="both"/>
      </w:pPr>
      <w:r>
        <w:t xml:space="preserve">5)  </w:t>
      </w:r>
      <w:r>
        <w:t xml:space="preserve">A review of </w:t>
      </w:r>
      <w:r>
        <w:rPr>
          <w:b/>
        </w:rPr>
        <w:t>LLMs for agricultural advisory</w:t>
      </w:r>
      <w:r>
        <w:t xml:space="preserve"> and of </w:t>
      </w:r>
      <w:r>
        <w:rPr>
          <w:b/>
        </w:rPr>
        <w:t>security and multi-tenancy</w:t>
      </w:r>
      <w:r>
        <w:t xml:space="preserve"> (Sections IX–X), a reference-implementation case study (Section XI) and a </w:t>
      </w:r>
      <w:r>
        <w:rPr>
          <w:b/>
        </w:rPr>
        <w:t>research agenda</w:t>
      </w:r>
      <w:r>
        <w:t xml:space="preserve"> (Section XII).</w:t>
      </w:r>
    </w:p>
    <w:p>
      <w:pPr>
        <w:keepNext/>
        <w:spacing w:before="160" w:after="60"/>
      </w:pPr>
      <w:r>
        <w:rPr>
          <w:b/>
          <w:color w:val="1B3A6B"/>
          <w:sz w:val="19"/>
        </w:rPr>
        <w:t>II. SURVEY METHODOLOGY</w:t>
      </w:r>
    </w:p>
    <w:p>
      <w:pPr>
        <w:spacing w:after="0"/>
        <w:ind w:firstLine="216"/>
        <w:jc w:val="both"/>
      </w:pPr>
      <w:r>
        <w:t>We conducted a structured narrative review following the reporting principles of systematic reviews. Sources were IEEE Xplore, ScienceDirect, MDPI, SpringerLink/Nature, ACM Digital Library, Frontiers, Google Scholar and arXiv. Query strings combined a domain term (</w:t>
      </w:r>
      <w:r>
        <w:rPr>
          <w:i/>
        </w:rPr>
        <w:t>smart agriculture, precision irrigation, plant disease, crop disease</w:t>
      </w:r>
      <w:r>
        <w:t>) with a technology term (</w:t>
      </w:r>
      <w:r>
        <w:rPr>
          <w:i/>
        </w:rPr>
        <w:t>IoT, wireless sensor network, deep learning, CNN, vision transformer, TinyML, edge computing, ESP32, large language model, retrieval-augmented generation</w:t>
      </w:r>
      <w:r>
        <w:t>).</w:t>
      </w:r>
    </w:p>
    <w:p>
      <w:pPr>
        <w:spacing w:after="0"/>
        <w:ind w:firstLine="216"/>
        <w:jc w:val="both"/>
      </w:pPr>
      <w:r>
        <w:rPr>
          <w:b/>
        </w:rPr>
        <w:t>Inclusion criteria:</w:t>
      </w:r>
      <w:r>
        <w:t xml:space="preserve"> peer-reviewed journal or conference papers, or widely cited preprints, published 2014–2026; a concrete system, model, dataset or evaluation; and reported quantitative results. </w:t>
      </w:r>
      <w:r>
        <w:rPr>
          <w:b/>
        </w:rPr>
        <w:t>Exclusion criteria:</w:t>
      </w:r>
      <w:r>
        <w:t xml:space="preserve"> papers without an evaluation, duplicates of the same system, and non-English papers. Seminal earlier works were included where they define a method still in use. Every quantitative figure quoted below is taken from the cited source; where a source does not state a quantity we mark it </w:t>
      </w:r>
      <w:r>
        <w:rPr>
          <w:i/>
        </w:rPr>
        <w:t>n/s</w:t>
      </w:r>
      <w:r>
        <w:t xml:space="preserve"> rather than estimate it.</w:t>
      </w:r>
    </w:p>
    <w:p>
      <w:pPr>
        <w:keepNext/>
        <w:spacing w:before="160" w:after="60"/>
      </w:pPr>
      <w:r>
        <w:rPr>
          <w:b/>
          <w:color w:val="1B3A6B"/>
          <w:sz w:val="19"/>
        </w:rPr>
        <w:t>III. BACKGROUND AND TAXONOMY</w:t>
      </w:r>
    </w:p>
    <w:p>
      <w:pPr>
        <w:spacing w:after="0"/>
        <w:ind w:firstLine="216"/>
        <w:jc w:val="both"/>
      </w:pPr>
      <w:r>
        <w:t xml:space="preserve">A smart-agriculture system closes a loop from </w:t>
      </w:r>
      <w:r>
        <w:rPr>
          <w:b/>
        </w:rPr>
        <w:t>measurement</w:t>
      </w:r>
      <w:r>
        <w:t xml:space="preserve"> to </w:t>
      </w:r>
      <w:r>
        <w:rPr>
          <w:b/>
        </w:rPr>
        <w:t>decision</w:t>
      </w:r>
      <w:r>
        <w:t xml:space="preserve"> to </w:t>
      </w:r>
      <w:r>
        <w:rPr>
          <w:b/>
        </w:rPr>
        <w:t>action</w:t>
      </w:r>
      <w:r>
        <w:t xml:space="preserve"> [4]. Sensors and cameras measure the field; a connectivity layer moves data to edge or cloud computation; intelligence components decide when to irrigate, what disease is present and what the farmer should do; and actuators and user interfaces carry out the decision. Fig. 1 organises the surveyed literature along these lines into five branches, which structure the remainder of this paper.</w:t>
      </w: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6547104" cy="3121647"/>
            <wp:docPr id="1" name="Picture 1"/>
            <wp:cNvGraphicFramePr>
              <a:graphicFrameLocks noChangeAspect="1"/>
            </wp:cNvGraphicFramePr>
            <a:graphic>
              <a:graphicData uri="http://schemas.openxmlformats.org/drawingml/2006/picture">
                <pic:pic>
                  <pic:nvPicPr>
                    <pic:cNvPr id="0" name="survey_taxonomy.png"/>
                    <pic:cNvPicPr/>
                  </pic:nvPicPr>
                  <pic:blipFill>
                    <a:blip r:embed="rId11"/>
                    <a:stretch>
                      <a:fillRect/>
                    </a:stretch>
                  </pic:blipFill>
                  <pic:spPr>
                    <a:xfrm>
                      <a:off x="0" y="0"/>
                      <a:ext cx="6547104" cy="3121647"/>
                    </a:xfrm>
                    <a:prstGeom prst="rect"/>
                  </pic:spPr>
                </pic:pic>
              </a:graphicData>
            </a:graphic>
          </wp:inline>
        </w:drawing>
      </w:r>
    </w:p>
    <w:p>
      <w:pPr>
        <w:spacing w:after="160"/>
        <w:jc w:val="both"/>
      </w:pPr>
      <w:r>
        <w:rPr>
          <w:b/>
          <w:color w:val="1B3A6B"/>
          <w:sz w:val="16"/>
        </w:rPr>
        <w:t xml:space="preserve">FIGURE 1. </w:t>
      </w:r>
      <w:r>
        <w:rPr>
          <w:sz w:val="16"/>
        </w:rPr>
        <w:t>Taxonomy of AI- and IoT-enabled smart agriculture used in this survey, with the section covering each branch.</w:t>
      </w:r>
    </w:p>
    <w:p>
      <w:pPr>
        <w:sectPr>
          <w:type w:val="continuous"/>
          <w:pgSz w:w="12240" w:h="15840"/>
          <w:pgMar w:top="1080" w:right="965" w:bottom="1152" w:left="965" w:header="504" w:footer="720" w:gutter="0"/>
          <w:docGrid w:linePitch="360"/>
          <w:cols w:num="1" w:space="360"/>
        </w:sectPr>
      </w:pPr>
    </w:p>
    <w:p>
      <w:pPr>
        <w:spacing w:after="0"/>
        <w:ind w:firstLine="216"/>
        <w:jc w:val="both"/>
      </w:pPr>
      <w:r>
        <w:t xml:space="preserve">Two cross-cutting concerns run through all branches. </w:t>
      </w:r>
      <w:r>
        <w:rPr>
          <w:b/>
        </w:rPr>
        <w:t>Evaluation validity</w:t>
      </w:r>
      <w:r>
        <w:t xml:space="preserve"> asks whether a reported number predicts field behaviour; </w:t>
      </w:r>
      <w:r>
        <w:rPr>
          <w:b/>
        </w:rPr>
        <w:t>failure behaviour</w:t>
      </w:r>
      <w:r>
        <w:t xml:space="preserve"> asks what the system does when a sensor, link or model fails. Both are under-reported, and we return to them in every section.</w:t>
      </w:r>
    </w:p>
    <w:p>
      <w:pPr>
        <w:keepNext/>
        <w:spacing w:before="160" w:after="60"/>
      </w:pPr>
      <w:r>
        <w:rPr>
          <w:b/>
          <w:color w:val="1B3A6B"/>
          <w:sz w:val="19"/>
        </w:rPr>
        <w:t>IV. IOT SENSING AND CONNECTIVITY</w:t>
      </w:r>
    </w:p>
    <w:p>
      <w:pPr>
        <w:keepNext/>
        <w:spacing w:before="100" w:after="40"/>
      </w:pPr>
      <w:r>
        <w:rPr>
          <w:b/>
          <w:color w:val="1B3A6B"/>
          <w:sz w:val="17"/>
        </w:rPr>
        <w:t>A. FIELD SENSORS</w:t>
      </w:r>
    </w:p>
    <w:p>
      <w:pPr>
        <w:spacing w:after="0"/>
        <w:ind w:firstLine="216"/>
        <w:jc w:val="both"/>
      </w:pPr>
      <w:r>
        <w:t>Soil water is the primary irrigation input. Resistive probes are cheap but corrode; low-cost capacitive probes avoid galvanic contact and, for a soil with constant solid-to-volume ratio, give a reliable relation between output voltage and gravimetric water content, but they require per-soil calibration [23]. Air temperature and humidity (e.g., DHT11/DHT22 class sensors), rain detectors and light sensors complement soil data and feed evapotranspiration models [24]. Surveys of agricultural IoT catalogue many further sensors, including soil nutrient, pH and leaf-wetness probes [7], [8], [16].</w:t>
      </w:r>
    </w:p>
    <w:p>
      <w:pPr>
        <w:spacing w:after="0"/>
        <w:ind w:firstLine="216"/>
        <w:jc w:val="both"/>
      </w:pPr>
      <w:r>
        <w:t xml:space="preserve">A recurring, rarely discussed issue is </w:t>
      </w:r>
      <w:r>
        <w:rPr>
          <w:b/>
        </w:rPr>
        <w:t>sensor-failure semantics</w:t>
      </w:r>
      <w:r>
        <w:t>. A disconnected analogue input floats to an arbitrary or near-zero ADC value, which a naïve calibration maps to either saturated or bone-dry soil; in the latter case a threshold controller irrigates indefinitely. Explicit disconnect detection and fail-safe defaults are therefore a correctness requirement, not an optimisation (Section V-D).</w:t>
      </w:r>
    </w:p>
    <w:p>
      <w:pPr>
        <w:keepNext/>
        <w:spacing w:before="100" w:after="40"/>
      </w:pPr>
      <w:r>
        <w:rPr>
          <w:b/>
          <w:color w:val="1B3A6B"/>
          <w:sz w:val="17"/>
        </w:rPr>
        <w:t>B. CONNECTIVITY</w:t>
      </w:r>
    </w:p>
    <w:p>
      <w:pPr>
        <w:spacing w:after="0"/>
        <w:ind w:firstLine="216"/>
        <w:jc w:val="both"/>
      </w:pPr>
      <w:r>
        <w:t>Table 2 compares common link technologies. Wi-Fi suits farms with on-site infrastructure; LoRa/LoRaWAN trades data rate for kilometre-scale range and multi-year battery life [25]; NB-IoT and cellular links add licensed-spectrum reliability at higher cost. Camera streaming and image upload generally require Wi-Fi or cellular bandwidth, which pushes image-heavy nodes towards mains power or larger batteries.</w:t>
      </w:r>
    </w:p>
    <w:p>
      <w:pPr>
        <w:keepNext/>
        <w:spacing w:before="120" w:after="60"/>
        <w:jc w:val="center"/>
      </w:pPr>
      <w:r>
        <w:rPr>
          <w:b/>
          <w:color w:val="1B3A6B"/>
          <w:sz w:val="16"/>
        </w:rPr>
        <w:t xml:space="preserve">TABLE 2. </w:t>
      </w:r>
      <w:r>
        <w:rPr>
          <w:sz w:val="16"/>
        </w:rPr>
        <w:t>Qualitative comparison of field connectivity options.</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1224"/>
            <w:shd w:val="clear" w:color="auto" w:fill="1B3A6B"/>
          </w:tcPr>
          <w:p>
            <w:pPr>
              <w:keepNext/>
              <w:jc w:val="left"/>
            </w:pPr>
            <w:r>
              <w:rPr>
                <w:b/>
                <w:color w:val="FFFFFF"/>
                <w:sz w:val="14"/>
              </w:rPr>
              <w:t>Technology</w:t>
            </w:r>
          </w:p>
        </w:tc>
        <w:tc>
          <w:tcPr>
            <w:tcW w:type="dxa" w:w="1008"/>
            <w:shd w:val="clear" w:color="auto" w:fill="1B3A6B"/>
          </w:tcPr>
          <w:p>
            <w:pPr>
              <w:keepNext/>
              <w:jc w:val="center"/>
            </w:pPr>
            <w:r>
              <w:rPr>
                <w:b/>
                <w:color w:val="FFFFFF"/>
                <w:sz w:val="14"/>
              </w:rPr>
              <w:t>Typical range</w:t>
            </w:r>
          </w:p>
        </w:tc>
        <w:tc>
          <w:tcPr>
            <w:tcW w:type="dxa" w:w="936"/>
            <w:shd w:val="clear" w:color="auto" w:fill="1B3A6B"/>
          </w:tcPr>
          <w:p>
            <w:pPr>
              <w:keepNext/>
              <w:jc w:val="center"/>
            </w:pPr>
            <w:r>
              <w:rPr>
                <w:b/>
                <w:color w:val="FFFFFF"/>
                <w:sz w:val="14"/>
              </w:rPr>
              <w:t>Data rate</w:t>
            </w:r>
          </w:p>
        </w:tc>
        <w:tc>
          <w:tcPr>
            <w:tcW w:type="dxa" w:w="720"/>
            <w:shd w:val="clear" w:color="auto" w:fill="1B3A6B"/>
          </w:tcPr>
          <w:p>
            <w:pPr>
              <w:keepNext/>
              <w:jc w:val="center"/>
            </w:pPr>
            <w:r>
              <w:rPr>
                <w:b/>
                <w:color w:val="FFFFFF"/>
                <w:sz w:val="14"/>
              </w:rPr>
              <w:t>Power</w:t>
            </w:r>
          </w:p>
        </w:tc>
        <w:tc>
          <w:tcPr>
            <w:tcW w:type="dxa" w:w="1080"/>
            <w:shd w:val="clear" w:color="auto" w:fill="1B3A6B"/>
          </w:tcPr>
          <w:p>
            <w:pPr>
              <w:keepNext/>
              <w:jc w:val="center"/>
            </w:pPr>
            <w:r>
              <w:rPr>
                <w:b/>
                <w:color w:val="FFFFFF"/>
                <w:sz w:val="14"/>
              </w:rPr>
              <w:t>Fit</w:t>
            </w:r>
          </w:p>
        </w:tc>
      </w:tr>
      <w:tr>
        <w:trPr>
          <w:cantSplit/>
        </w:trPr>
        <w:tc>
          <w:tcPr>
            <w:tcW w:type="dxa" w:w="1224"/>
          </w:tcPr>
          <w:p>
            <w:pPr>
              <w:keepNext/>
              <w:jc w:val="left"/>
            </w:pPr>
            <w:r>
              <w:rPr>
                <w:sz w:val="14"/>
              </w:rPr>
              <w:t>Wi-Fi (802.11n)</w:t>
            </w:r>
          </w:p>
        </w:tc>
        <w:tc>
          <w:tcPr>
            <w:tcW w:type="dxa" w:w="1008"/>
          </w:tcPr>
          <w:p>
            <w:pPr>
              <w:keepNext/>
              <w:jc w:val="center"/>
            </w:pPr>
            <w:r>
              <w:rPr>
                <w:sz w:val="14"/>
              </w:rPr>
              <w:t>~10–100 m</w:t>
            </w:r>
          </w:p>
        </w:tc>
        <w:tc>
          <w:tcPr>
            <w:tcW w:type="dxa" w:w="936"/>
          </w:tcPr>
          <w:p>
            <w:pPr>
              <w:keepNext/>
              <w:jc w:val="center"/>
            </w:pPr>
            <w:r>
              <w:rPr>
                <w:sz w:val="14"/>
              </w:rPr>
              <w:t>Mbps</w:t>
            </w:r>
          </w:p>
        </w:tc>
        <w:tc>
          <w:tcPr>
            <w:tcW w:type="dxa" w:w="720"/>
          </w:tcPr>
          <w:p>
            <w:pPr>
              <w:keepNext/>
              <w:jc w:val="center"/>
            </w:pPr>
            <w:r>
              <w:rPr>
                <w:sz w:val="14"/>
              </w:rPr>
              <w:t>High</w:t>
            </w:r>
          </w:p>
        </w:tc>
        <w:tc>
          <w:tcPr>
            <w:tcW w:type="dxa" w:w="1080"/>
          </w:tcPr>
          <w:p>
            <w:pPr>
              <w:keepNext/>
              <w:jc w:val="center"/>
            </w:pPr>
            <w:r>
              <w:rPr>
                <w:sz w:val="14"/>
              </w:rPr>
              <w:t>Images, farm hubs</w:t>
            </w:r>
          </w:p>
        </w:tc>
      </w:tr>
      <w:tr>
        <w:trPr>
          <w:cantSplit/>
        </w:trPr>
        <w:tc>
          <w:tcPr>
            <w:tcW w:type="dxa" w:w="1224"/>
            <w:shd w:val="clear" w:color="auto" w:fill="EDF1F6"/>
          </w:tcPr>
          <w:p>
            <w:pPr>
              <w:keepNext/>
              <w:jc w:val="left"/>
            </w:pPr>
            <w:r>
              <w:rPr>
                <w:sz w:val="14"/>
              </w:rPr>
              <w:t>LoRa/LoRaWAN</w:t>
            </w:r>
          </w:p>
        </w:tc>
        <w:tc>
          <w:tcPr>
            <w:tcW w:type="dxa" w:w="1008"/>
            <w:shd w:val="clear" w:color="auto" w:fill="EDF1F6"/>
          </w:tcPr>
          <w:p>
            <w:pPr>
              <w:keepNext/>
              <w:jc w:val="center"/>
            </w:pPr>
            <w:r>
              <w:rPr>
                <w:sz w:val="14"/>
              </w:rPr>
              <w:t>km (rural)</w:t>
            </w:r>
          </w:p>
        </w:tc>
        <w:tc>
          <w:tcPr>
            <w:tcW w:type="dxa" w:w="936"/>
            <w:shd w:val="clear" w:color="auto" w:fill="EDF1F6"/>
          </w:tcPr>
          <w:p>
            <w:pPr>
              <w:keepNext/>
              <w:jc w:val="center"/>
            </w:pPr>
            <w:r>
              <w:rPr>
                <w:sz w:val="14"/>
              </w:rPr>
              <w:t>~0.3–50 kbps</w:t>
            </w:r>
          </w:p>
        </w:tc>
        <w:tc>
          <w:tcPr>
            <w:tcW w:type="dxa" w:w="720"/>
            <w:shd w:val="clear" w:color="auto" w:fill="EDF1F6"/>
          </w:tcPr>
          <w:p>
            <w:pPr>
              <w:keepNext/>
              <w:jc w:val="center"/>
            </w:pPr>
            <w:r>
              <w:rPr>
                <w:sz w:val="14"/>
              </w:rPr>
              <w:t>Very low</w:t>
            </w:r>
          </w:p>
        </w:tc>
        <w:tc>
          <w:tcPr>
            <w:tcW w:type="dxa" w:w="1080"/>
            <w:shd w:val="clear" w:color="auto" w:fill="EDF1F6"/>
          </w:tcPr>
          <w:p>
            <w:pPr>
              <w:keepNext/>
              <w:jc w:val="center"/>
            </w:pPr>
            <w:r>
              <w:rPr>
                <w:sz w:val="14"/>
              </w:rPr>
              <w:t>Sparse sensor data</w:t>
            </w:r>
          </w:p>
        </w:tc>
      </w:tr>
      <w:tr>
        <w:trPr>
          <w:cantSplit/>
        </w:trPr>
        <w:tc>
          <w:tcPr>
            <w:tcW w:type="dxa" w:w="1224"/>
          </w:tcPr>
          <w:p>
            <w:pPr>
              <w:keepNext/>
              <w:jc w:val="left"/>
            </w:pPr>
            <w:r>
              <w:rPr>
                <w:sz w:val="14"/>
              </w:rPr>
              <w:t>NB-IoT</w:t>
            </w:r>
          </w:p>
        </w:tc>
        <w:tc>
          <w:tcPr>
            <w:tcW w:type="dxa" w:w="1008"/>
          </w:tcPr>
          <w:p>
            <w:pPr>
              <w:keepNext/>
              <w:jc w:val="center"/>
            </w:pPr>
            <w:r>
              <w:rPr>
                <w:sz w:val="14"/>
              </w:rPr>
              <w:t>km (cellular)</w:t>
            </w:r>
          </w:p>
        </w:tc>
        <w:tc>
          <w:tcPr>
            <w:tcW w:type="dxa" w:w="936"/>
          </w:tcPr>
          <w:p>
            <w:pPr>
              <w:keepNext/>
              <w:jc w:val="center"/>
            </w:pPr>
            <w:r>
              <w:rPr>
                <w:sz w:val="14"/>
              </w:rPr>
              <w:t>~10s kbps</w:t>
            </w:r>
          </w:p>
        </w:tc>
        <w:tc>
          <w:tcPr>
            <w:tcW w:type="dxa" w:w="720"/>
          </w:tcPr>
          <w:p>
            <w:pPr>
              <w:keepNext/>
              <w:jc w:val="center"/>
            </w:pPr>
            <w:r>
              <w:rPr>
                <w:sz w:val="14"/>
              </w:rPr>
              <w:t>Low</w:t>
            </w:r>
          </w:p>
        </w:tc>
        <w:tc>
          <w:tcPr>
            <w:tcW w:type="dxa" w:w="1080"/>
          </w:tcPr>
          <w:p>
            <w:pPr>
              <w:keepNext/>
              <w:jc w:val="center"/>
            </w:pPr>
            <w:r>
              <w:rPr>
                <w:sz w:val="14"/>
              </w:rPr>
              <w:t>Licensed, managed</w:t>
            </w:r>
          </w:p>
        </w:tc>
      </w:tr>
      <w:tr>
        <w:trPr>
          <w:cantSplit/>
        </w:trPr>
        <w:tc>
          <w:tcPr>
            <w:tcW w:type="dxa" w:w="1224"/>
            <w:shd w:val="clear" w:color="auto" w:fill="EDF1F6"/>
          </w:tcPr>
          <w:p>
            <w:pPr>
              <w:keepNext/>
              <w:jc w:val="left"/>
            </w:pPr>
            <w:r>
              <w:rPr>
                <w:sz w:val="14"/>
              </w:rPr>
              <w:t>ZigBee (802.15.4)</w:t>
            </w:r>
          </w:p>
        </w:tc>
        <w:tc>
          <w:tcPr>
            <w:tcW w:type="dxa" w:w="1008"/>
            <w:shd w:val="clear" w:color="auto" w:fill="EDF1F6"/>
          </w:tcPr>
          <w:p>
            <w:pPr>
              <w:keepNext/>
              <w:jc w:val="center"/>
            </w:pPr>
            <w:r>
              <w:rPr>
                <w:sz w:val="14"/>
              </w:rPr>
              <w:t>~10–100 m</w:t>
            </w:r>
          </w:p>
        </w:tc>
        <w:tc>
          <w:tcPr>
            <w:tcW w:type="dxa" w:w="936"/>
            <w:shd w:val="clear" w:color="auto" w:fill="EDF1F6"/>
          </w:tcPr>
          <w:p>
            <w:pPr>
              <w:keepNext/>
              <w:jc w:val="center"/>
            </w:pPr>
            <w:r>
              <w:rPr>
                <w:sz w:val="14"/>
              </w:rPr>
              <w:t>250 kbps</w:t>
            </w:r>
          </w:p>
        </w:tc>
        <w:tc>
          <w:tcPr>
            <w:tcW w:type="dxa" w:w="720"/>
            <w:shd w:val="clear" w:color="auto" w:fill="EDF1F6"/>
          </w:tcPr>
          <w:p>
            <w:pPr>
              <w:keepNext/>
              <w:jc w:val="center"/>
            </w:pPr>
            <w:r>
              <w:rPr>
                <w:sz w:val="14"/>
              </w:rPr>
              <w:t>Low</w:t>
            </w:r>
          </w:p>
        </w:tc>
        <w:tc>
          <w:tcPr>
            <w:tcW w:type="dxa" w:w="1080"/>
            <w:shd w:val="clear" w:color="auto" w:fill="EDF1F6"/>
          </w:tcPr>
          <w:p>
            <w:pPr>
              <w:keepNext/>
              <w:jc w:val="center"/>
            </w:pPr>
            <w:r>
              <w:rPr>
                <w:sz w:val="14"/>
              </w:rPr>
              <w:t>Mesh greenhouses</w:t>
            </w:r>
          </w:p>
        </w:tc>
      </w:tr>
      <w:tr>
        <w:trPr>
          <w:cantSplit/>
        </w:trPr>
        <w:tc>
          <w:tcPr>
            <w:tcW w:type="dxa" w:w="1224"/>
          </w:tcPr>
          <w:p>
            <w:pPr>
              <w:keepNext/>
              <w:jc w:val="left"/>
            </w:pPr>
            <w:r>
              <w:rPr>
                <w:sz w:val="14"/>
              </w:rPr>
              <w:t>BLE</w:t>
            </w:r>
          </w:p>
        </w:tc>
        <w:tc>
          <w:tcPr>
            <w:tcW w:type="dxa" w:w="1008"/>
          </w:tcPr>
          <w:p>
            <w:pPr>
              <w:keepNext/>
              <w:jc w:val="center"/>
            </w:pPr>
            <w:r>
              <w:rPr>
                <w:sz w:val="14"/>
              </w:rPr>
              <w:t>~10–50 m</w:t>
            </w:r>
          </w:p>
        </w:tc>
        <w:tc>
          <w:tcPr>
            <w:tcW w:type="dxa" w:w="936"/>
          </w:tcPr>
          <w:p>
            <w:pPr>
              <w:keepNext/>
              <w:jc w:val="center"/>
            </w:pPr>
            <w:r>
              <w:rPr>
                <w:sz w:val="14"/>
              </w:rPr>
              <w:t>~1 Mbps</w:t>
            </w:r>
          </w:p>
        </w:tc>
        <w:tc>
          <w:tcPr>
            <w:tcW w:type="dxa" w:w="720"/>
          </w:tcPr>
          <w:p>
            <w:pPr>
              <w:keepNext/>
              <w:jc w:val="center"/>
            </w:pPr>
            <w:r>
              <w:rPr>
                <w:sz w:val="14"/>
              </w:rPr>
              <w:t>Very low</w:t>
            </w:r>
          </w:p>
        </w:tc>
        <w:tc>
          <w:tcPr>
            <w:tcW w:type="dxa" w:w="1080"/>
          </w:tcPr>
          <w:p>
            <w:pPr>
              <w:keepNext/>
              <w:jc w:val="center"/>
            </w:pPr>
            <w:r>
              <w:rPr>
                <w:sz w:val="14"/>
              </w:rPr>
              <w:t>Handheld, local</w:t>
            </w:r>
          </w:p>
        </w:tc>
      </w:tr>
      <w:tr>
        <w:trPr>
          <w:cantSplit/>
        </w:trPr>
        <w:tc>
          <w:tcPr>
            <w:tcW w:type="dxa" w:w="1224"/>
            <w:shd w:val="clear" w:color="auto" w:fill="EDF1F6"/>
          </w:tcPr>
          <w:p>
            <w:pPr>
              <w:jc w:val="left"/>
            </w:pPr>
            <w:r>
              <w:rPr>
                <w:sz w:val="14"/>
              </w:rPr>
              <w:t>4G/5G cellular</w:t>
            </w:r>
          </w:p>
        </w:tc>
        <w:tc>
          <w:tcPr>
            <w:tcW w:type="dxa" w:w="1008"/>
            <w:shd w:val="clear" w:color="auto" w:fill="EDF1F6"/>
          </w:tcPr>
          <w:p>
            <w:pPr>
              <w:jc w:val="center"/>
            </w:pPr>
            <w:r>
              <w:rPr>
                <w:sz w:val="14"/>
              </w:rPr>
              <w:t>km</w:t>
            </w:r>
          </w:p>
        </w:tc>
        <w:tc>
          <w:tcPr>
            <w:tcW w:type="dxa" w:w="936"/>
            <w:shd w:val="clear" w:color="auto" w:fill="EDF1F6"/>
          </w:tcPr>
          <w:p>
            <w:pPr>
              <w:jc w:val="center"/>
            </w:pPr>
            <w:r>
              <w:rPr>
                <w:sz w:val="14"/>
              </w:rPr>
              <w:t>Mbps+</w:t>
            </w:r>
          </w:p>
        </w:tc>
        <w:tc>
          <w:tcPr>
            <w:tcW w:type="dxa" w:w="720"/>
            <w:shd w:val="clear" w:color="auto" w:fill="EDF1F6"/>
          </w:tcPr>
          <w:p>
            <w:pPr>
              <w:jc w:val="center"/>
            </w:pPr>
            <w:r>
              <w:rPr>
                <w:sz w:val="14"/>
              </w:rPr>
              <w:t>High</w:t>
            </w:r>
          </w:p>
        </w:tc>
        <w:tc>
          <w:tcPr>
            <w:tcW w:type="dxa" w:w="1080"/>
            <w:shd w:val="clear" w:color="auto" w:fill="EDF1F6"/>
          </w:tcPr>
          <w:p>
            <w:pPr>
              <w:jc w:val="center"/>
            </w:pPr>
            <w:r>
              <w:rPr>
                <w:sz w:val="14"/>
              </w:rPr>
              <w:t>Video, remote sites</w:t>
            </w:r>
          </w:p>
        </w:tc>
      </w:tr>
    </w:tbl>
    <w:p>
      <w:pPr>
        <w:spacing w:after="120"/>
      </w:pPr>
    </w:p>
    <w:p>
      <w:pPr>
        <w:keepNext/>
        <w:spacing w:before="100" w:after="40"/>
      </w:pPr>
      <w:r>
        <w:rPr>
          <w:b/>
          <w:color w:val="1B3A6B"/>
          <w:sz w:val="17"/>
        </w:rPr>
        <w:t>C. PLATFORMS AND DATA PATHS</w:t>
      </w:r>
    </w:p>
    <w:p>
      <w:pPr>
        <w:spacing w:after="0"/>
        <w:ind w:firstLine="216"/>
        <w:jc w:val="both"/>
      </w:pPr>
      <w:r>
        <w:t xml:space="preserve">Application protocols are dominated by MQTT and HTTPS/REST. Open-source IoT platforms such as ThingsBoard [26] and OpenRemote [27] provide device management, dashboards and multi-tenant isolation out of the box, and managed back-end-as-a-service databases with row-level security and real-time subscriptions [28] now allow a microcontroller to write directly to a secured store. Multi-tenancy is thus a commodity capability and should not be presented as a research contribution. A more consequential architectural decision is </w:t>
      </w:r>
      <w:r>
        <w:rPr>
          <w:i/>
        </w:rPr>
        <w:t>where the control decision lives</w:t>
      </w:r>
      <w:r>
        <w:t>: edge computing literature argues for placing latency- and availability-critical decisions close to the data source [29], [30].</w:t>
      </w:r>
    </w:p>
    <w:p>
      <w:pPr>
        <w:keepNext/>
        <w:spacing w:before="160" w:after="60"/>
      </w:pPr>
      <w:r>
        <w:rPr>
          <w:b/>
          <w:color w:val="1B3A6B"/>
          <w:sz w:val="19"/>
        </w:rPr>
        <w:t>V. IRRIGATION CONTROL STRATEGIES</w:t>
      </w:r>
    </w:p>
    <w:p>
      <w:pPr>
        <w:keepNext/>
        <w:spacing w:before="100" w:after="40"/>
      </w:pPr>
      <w:r>
        <w:rPr>
          <w:b/>
          <w:color w:val="1B3A6B"/>
          <w:sz w:val="17"/>
        </w:rPr>
        <w:t>A. FROM TIMERS TO CLOSED LOOPS</w:t>
      </w:r>
    </w:p>
    <w:p>
      <w:pPr>
        <w:spacing w:after="0"/>
        <w:ind w:firstLine="216"/>
        <w:jc w:val="both"/>
      </w:pPr>
      <w:r>
        <w:t>Irrigation control ranges from open-loop timers through sensor-based closed loops to model-based and learning-based scheduling (Table 3). Timer control is simple but waters regardless of rain or soil state. Threshold control with hysteresis switches on below a dry threshold and off above a wet threshold, avoiding actuator chatter. Water-balance scheduling uses reference evapotranspiration and crop coefficients following FAO-56 [24]. Decision-support systems [31] and machine-learning predictors that combine soil sensing with weather forecasts [32] aim to anticipate demand, and platform-scale systems such as SWAMP [33] integrate these into water-management services.</w:t>
      </w: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3. </w:t>
      </w:r>
      <w:r>
        <w:rPr>
          <w:sz w:val="16"/>
        </w:rPr>
        <w:t>Irrigation control strategies.</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2332"/>
            <w:shd w:val="clear" w:color="auto" w:fill="1B3A6B"/>
          </w:tcPr>
          <w:p>
            <w:pPr>
              <w:keepNext/>
              <w:jc w:val="left"/>
            </w:pPr>
            <w:r>
              <w:rPr>
                <w:b/>
                <w:color w:val="FFFFFF"/>
                <w:sz w:val="14"/>
              </w:rPr>
              <w:t>Strategy</w:t>
            </w:r>
          </w:p>
        </w:tc>
        <w:tc>
          <w:tcPr>
            <w:tcW w:type="dxa" w:w="2087"/>
            <w:shd w:val="clear" w:color="auto" w:fill="1B3A6B"/>
          </w:tcPr>
          <w:p>
            <w:pPr>
              <w:keepNext/>
              <w:jc w:val="center"/>
            </w:pPr>
            <w:r>
              <w:rPr>
                <w:b/>
                <w:color w:val="FFFFFF"/>
                <w:sz w:val="14"/>
              </w:rPr>
              <w:t>Inputs</w:t>
            </w:r>
          </w:p>
        </w:tc>
        <w:tc>
          <w:tcPr>
            <w:tcW w:type="dxa" w:w="1841"/>
            <w:shd w:val="clear" w:color="auto" w:fill="1B3A6B"/>
          </w:tcPr>
          <w:p>
            <w:pPr>
              <w:keepNext/>
              <w:jc w:val="center"/>
            </w:pPr>
            <w:r>
              <w:rPr>
                <w:b/>
                <w:color w:val="FFFFFF"/>
                <w:sz w:val="14"/>
              </w:rPr>
              <w:t>Strength</w:t>
            </w:r>
          </w:p>
        </w:tc>
        <w:tc>
          <w:tcPr>
            <w:tcW w:type="dxa" w:w="1964"/>
            <w:shd w:val="clear" w:color="auto" w:fill="1B3A6B"/>
          </w:tcPr>
          <w:p>
            <w:pPr>
              <w:keepNext/>
              <w:jc w:val="center"/>
            </w:pPr>
            <w:r>
              <w:rPr>
                <w:b/>
                <w:color w:val="FFFFFF"/>
                <w:sz w:val="14"/>
              </w:rPr>
              <w:t>Weakness</w:t>
            </w:r>
          </w:p>
        </w:tc>
        <w:tc>
          <w:tcPr>
            <w:tcW w:type="dxa" w:w="2087"/>
            <w:shd w:val="clear" w:color="auto" w:fill="1B3A6B"/>
          </w:tcPr>
          <w:p>
            <w:pPr>
              <w:keepNext/>
              <w:jc w:val="center"/>
            </w:pPr>
            <w:r>
              <w:rPr>
                <w:b/>
                <w:color w:val="FFFFFF"/>
                <w:sz w:val="14"/>
              </w:rPr>
              <w:t>Examples</w:t>
            </w:r>
          </w:p>
        </w:tc>
      </w:tr>
      <w:tr>
        <w:trPr>
          <w:cantSplit/>
        </w:trPr>
        <w:tc>
          <w:tcPr>
            <w:tcW w:type="dxa" w:w="2332"/>
          </w:tcPr>
          <w:p>
            <w:pPr>
              <w:keepNext/>
              <w:jc w:val="left"/>
            </w:pPr>
            <w:r>
              <w:rPr>
                <w:sz w:val="14"/>
              </w:rPr>
              <w:t>Open-loop timer</w:t>
            </w:r>
          </w:p>
        </w:tc>
        <w:tc>
          <w:tcPr>
            <w:tcW w:type="dxa" w:w="2087"/>
          </w:tcPr>
          <w:p>
            <w:pPr>
              <w:keepNext/>
              <w:jc w:val="center"/>
            </w:pPr>
            <w:r>
              <w:rPr>
                <w:sz w:val="14"/>
              </w:rPr>
              <w:t>Clock</w:t>
            </w:r>
          </w:p>
        </w:tc>
        <w:tc>
          <w:tcPr>
            <w:tcW w:type="dxa" w:w="1841"/>
          </w:tcPr>
          <w:p>
            <w:pPr>
              <w:keepNext/>
              <w:jc w:val="center"/>
            </w:pPr>
            <w:r>
              <w:rPr>
                <w:sz w:val="14"/>
              </w:rPr>
              <w:t>Simple, robust</w:t>
            </w:r>
          </w:p>
        </w:tc>
        <w:tc>
          <w:tcPr>
            <w:tcW w:type="dxa" w:w="1964"/>
          </w:tcPr>
          <w:p>
            <w:pPr>
              <w:keepNext/>
              <w:jc w:val="center"/>
            </w:pPr>
            <w:r>
              <w:rPr>
                <w:sz w:val="14"/>
              </w:rPr>
              <w:t>Ignores rain/soil</w:t>
            </w:r>
          </w:p>
        </w:tc>
        <w:tc>
          <w:tcPr>
            <w:tcW w:type="dxa" w:w="2087"/>
          </w:tcPr>
          <w:p>
            <w:pPr>
              <w:keepNext/>
              <w:jc w:val="center"/>
            </w:pPr>
            <w:r>
              <w:rPr>
                <w:sz w:val="14"/>
              </w:rPr>
              <w:t>Commercial timers</w:t>
            </w:r>
          </w:p>
        </w:tc>
      </w:tr>
      <w:tr>
        <w:trPr>
          <w:cantSplit/>
        </w:trPr>
        <w:tc>
          <w:tcPr>
            <w:tcW w:type="dxa" w:w="2332"/>
            <w:shd w:val="clear" w:color="auto" w:fill="EDF1F6"/>
          </w:tcPr>
          <w:p>
            <w:pPr>
              <w:keepNext/>
              <w:jc w:val="left"/>
            </w:pPr>
            <w:r>
              <w:rPr>
                <w:sz w:val="14"/>
              </w:rPr>
              <w:t>Threshold + hysteresis</w:t>
            </w:r>
          </w:p>
        </w:tc>
        <w:tc>
          <w:tcPr>
            <w:tcW w:type="dxa" w:w="2087"/>
            <w:shd w:val="clear" w:color="auto" w:fill="EDF1F6"/>
          </w:tcPr>
          <w:p>
            <w:pPr>
              <w:keepNext/>
              <w:jc w:val="center"/>
            </w:pPr>
            <w:r>
              <w:rPr>
                <w:sz w:val="14"/>
              </w:rPr>
              <w:t>Soil moisture</w:t>
            </w:r>
          </w:p>
        </w:tc>
        <w:tc>
          <w:tcPr>
            <w:tcW w:type="dxa" w:w="1841"/>
            <w:shd w:val="clear" w:color="auto" w:fill="EDF1F6"/>
          </w:tcPr>
          <w:p>
            <w:pPr>
              <w:keepNext/>
              <w:jc w:val="center"/>
            </w:pPr>
            <w:r>
              <w:rPr>
                <w:sz w:val="14"/>
              </w:rPr>
              <w:t>Cheap, reactive</w:t>
            </w:r>
          </w:p>
        </w:tc>
        <w:tc>
          <w:tcPr>
            <w:tcW w:type="dxa" w:w="1964"/>
            <w:shd w:val="clear" w:color="auto" w:fill="EDF1F6"/>
          </w:tcPr>
          <w:p>
            <w:pPr>
              <w:keepNext/>
              <w:jc w:val="center"/>
            </w:pPr>
            <w:r>
              <w:rPr>
                <w:sz w:val="14"/>
              </w:rPr>
              <w:t>Needs calibration</w:t>
            </w:r>
          </w:p>
        </w:tc>
        <w:tc>
          <w:tcPr>
            <w:tcW w:type="dxa" w:w="2087"/>
            <w:shd w:val="clear" w:color="auto" w:fill="EDF1F6"/>
          </w:tcPr>
          <w:p>
            <w:pPr>
              <w:keepNext/>
              <w:jc w:val="center"/>
            </w:pPr>
            <w:r>
              <w:rPr>
                <w:sz w:val="14"/>
              </w:rPr>
              <w:t>[34]</w:t>
            </w:r>
          </w:p>
        </w:tc>
      </w:tr>
      <w:tr>
        <w:trPr>
          <w:cantSplit/>
        </w:trPr>
        <w:tc>
          <w:tcPr>
            <w:tcW w:type="dxa" w:w="2332"/>
          </w:tcPr>
          <w:p>
            <w:pPr>
              <w:keepNext/>
              <w:jc w:val="left"/>
            </w:pPr>
            <w:r>
              <w:rPr>
                <w:sz w:val="14"/>
              </w:rPr>
              <w:t>Water balance (ET)</w:t>
            </w:r>
          </w:p>
        </w:tc>
        <w:tc>
          <w:tcPr>
            <w:tcW w:type="dxa" w:w="2087"/>
          </w:tcPr>
          <w:p>
            <w:pPr>
              <w:keepNext/>
              <w:jc w:val="center"/>
            </w:pPr>
            <w:r>
              <w:rPr>
                <w:sz w:val="14"/>
              </w:rPr>
              <w:t>Weather, crop Kc</w:t>
            </w:r>
          </w:p>
        </w:tc>
        <w:tc>
          <w:tcPr>
            <w:tcW w:type="dxa" w:w="1841"/>
          </w:tcPr>
          <w:p>
            <w:pPr>
              <w:keepNext/>
              <w:jc w:val="center"/>
            </w:pPr>
            <w:r>
              <w:rPr>
                <w:sz w:val="14"/>
              </w:rPr>
              <w:t>Physically grounded</w:t>
            </w:r>
          </w:p>
        </w:tc>
        <w:tc>
          <w:tcPr>
            <w:tcW w:type="dxa" w:w="1964"/>
          </w:tcPr>
          <w:p>
            <w:pPr>
              <w:keepNext/>
              <w:jc w:val="center"/>
            </w:pPr>
            <w:r>
              <w:rPr>
                <w:sz w:val="14"/>
              </w:rPr>
              <w:t>Needs weather data</w:t>
            </w:r>
          </w:p>
        </w:tc>
        <w:tc>
          <w:tcPr>
            <w:tcW w:type="dxa" w:w="2087"/>
          </w:tcPr>
          <w:p>
            <w:pPr>
              <w:keepNext/>
              <w:jc w:val="center"/>
            </w:pPr>
            <w:r>
              <w:rPr>
                <w:sz w:val="14"/>
              </w:rPr>
              <w:t>[24]</w:t>
            </w:r>
          </w:p>
        </w:tc>
      </w:tr>
      <w:tr>
        <w:trPr>
          <w:cantSplit/>
        </w:trPr>
        <w:tc>
          <w:tcPr>
            <w:tcW w:type="dxa" w:w="2332"/>
            <w:shd w:val="clear" w:color="auto" w:fill="EDF1F6"/>
          </w:tcPr>
          <w:p>
            <w:pPr>
              <w:keepNext/>
              <w:jc w:val="left"/>
            </w:pPr>
            <w:r>
              <w:rPr>
                <w:sz w:val="14"/>
              </w:rPr>
              <w:t>DSS / expert rules</w:t>
            </w:r>
          </w:p>
        </w:tc>
        <w:tc>
          <w:tcPr>
            <w:tcW w:type="dxa" w:w="2087"/>
            <w:shd w:val="clear" w:color="auto" w:fill="EDF1F6"/>
          </w:tcPr>
          <w:p>
            <w:pPr>
              <w:keepNext/>
              <w:jc w:val="center"/>
            </w:pPr>
            <w:r>
              <w:rPr>
                <w:sz w:val="14"/>
              </w:rPr>
              <w:t>Soil, weather, crop</w:t>
            </w:r>
          </w:p>
        </w:tc>
        <w:tc>
          <w:tcPr>
            <w:tcW w:type="dxa" w:w="1841"/>
            <w:shd w:val="clear" w:color="auto" w:fill="EDF1F6"/>
          </w:tcPr>
          <w:p>
            <w:pPr>
              <w:keepNext/>
              <w:jc w:val="center"/>
            </w:pPr>
            <w:r>
              <w:rPr>
                <w:sz w:val="14"/>
              </w:rPr>
              <w:t>Agronomic context</w:t>
            </w:r>
          </w:p>
        </w:tc>
        <w:tc>
          <w:tcPr>
            <w:tcW w:type="dxa" w:w="1964"/>
            <w:shd w:val="clear" w:color="auto" w:fill="EDF1F6"/>
          </w:tcPr>
          <w:p>
            <w:pPr>
              <w:keepNext/>
              <w:jc w:val="center"/>
            </w:pPr>
            <w:r>
              <w:rPr>
                <w:sz w:val="14"/>
              </w:rPr>
              <w:t>Site tuning</w:t>
            </w:r>
          </w:p>
        </w:tc>
        <w:tc>
          <w:tcPr>
            <w:tcW w:type="dxa" w:w="2087"/>
            <w:shd w:val="clear" w:color="auto" w:fill="EDF1F6"/>
          </w:tcPr>
          <w:p>
            <w:pPr>
              <w:keepNext/>
              <w:jc w:val="center"/>
            </w:pPr>
            <w:r>
              <w:rPr>
                <w:sz w:val="14"/>
              </w:rPr>
              <w:t>[31]</w:t>
            </w:r>
          </w:p>
        </w:tc>
      </w:tr>
      <w:tr>
        <w:trPr>
          <w:cantSplit/>
        </w:trPr>
        <w:tc>
          <w:tcPr>
            <w:tcW w:type="dxa" w:w="2332"/>
          </w:tcPr>
          <w:p>
            <w:pPr>
              <w:keepNext/>
              <w:jc w:val="left"/>
            </w:pPr>
            <w:r>
              <w:rPr>
                <w:sz w:val="14"/>
              </w:rPr>
              <w:t>ML prediction</w:t>
            </w:r>
          </w:p>
        </w:tc>
        <w:tc>
          <w:tcPr>
            <w:tcW w:type="dxa" w:w="2087"/>
          </w:tcPr>
          <w:p>
            <w:pPr>
              <w:keepNext/>
              <w:jc w:val="center"/>
            </w:pPr>
            <w:r>
              <w:rPr>
                <w:sz w:val="14"/>
              </w:rPr>
              <w:t>Sensors + forecasts</w:t>
            </w:r>
          </w:p>
        </w:tc>
        <w:tc>
          <w:tcPr>
            <w:tcW w:type="dxa" w:w="1841"/>
          </w:tcPr>
          <w:p>
            <w:pPr>
              <w:keepNext/>
              <w:jc w:val="center"/>
            </w:pPr>
            <w:r>
              <w:rPr>
                <w:sz w:val="14"/>
              </w:rPr>
              <w:t>Anticipatory</w:t>
            </w:r>
          </w:p>
        </w:tc>
        <w:tc>
          <w:tcPr>
            <w:tcW w:type="dxa" w:w="1964"/>
          </w:tcPr>
          <w:p>
            <w:pPr>
              <w:keepNext/>
              <w:jc w:val="center"/>
            </w:pPr>
            <w:r>
              <w:rPr>
                <w:sz w:val="14"/>
              </w:rPr>
              <w:t>Data hungry, opaque</w:t>
            </w:r>
          </w:p>
        </w:tc>
        <w:tc>
          <w:tcPr>
            <w:tcW w:type="dxa" w:w="2087"/>
          </w:tcPr>
          <w:p>
            <w:pPr>
              <w:keepNext/>
              <w:jc w:val="center"/>
            </w:pPr>
            <w:r>
              <w:rPr>
                <w:sz w:val="14"/>
              </w:rPr>
              <w:t>[32]</w:t>
            </w:r>
          </w:p>
        </w:tc>
      </w:tr>
      <w:tr>
        <w:trPr>
          <w:cantSplit/>
        </w:trPr>
        <w:tc>
          <w:tcPr>
            <w:tcW w:type="dxa" w:w="2332"/>
            <w:shd w:val="clear" w:color="auto" w:fill="EDF1F6"/>
          </w:tcPr>
          <w:p>
            <w:pPr>
              <w:jc w:val="left"/>
            </w:pPr>
            <w:r>
              <w:rPr>
                <w:sz w:val="14"/>
              </w:rPr>
              <w:t>Platform / multi-farm</w:t>
            </w:r>
          </w:p>
        </w:tc>
        <w:tc>
          <w:tcPr>
            <w:tcW w:type="dxa" w:w="2087"/>
            <w:shd w:val="clear" w:color="auto" w:fill="EDF1F6"/>
          </w:tcPr>
          <w:p>
            <w:pPr>
              <w:jc w:val="center"/>
            </w:pPr>
            <w:r>
              <w:rPr>
                <w:sz w:val="14"/>
              </w:rPr>
              <w:t>Many sources</w:t>
            </w:r>
          </w:p>
        </w:tc>
        <w:tc>
          <w:tcPr>
            <w:tcW w:type="dxa" w:w="1841"/>
            <w:shd w:val="clear" w:color="auto" w:fill="EDF1F6"/>
          </w:tcPr>
          <w:p>
            <w:pPr>
              <w:jc w:val="center"/>
            </w:pPr>
            <w:r>
              <w:rPr>
                <w:sz w:val="14"/>
              </w:rPr>
              <w:t>Scale, services</w:t>
            </w:r>
          </w:p>
        </w:tc>
        <w:tc>
          <w:tcPr>
            <w:tcW w:type="dxa" w:w="1964"/>
            <w:shd w:val="clear" w:color="auto" w:fill="EDF1F6"/>
          </w:tcPr>
          <w:p>
            <w:pPr>
              <w:jc w:val="center"/>
            </w:pPr>
            <w:r>
              <w:rPr>
                <w:sz w:val="14"/>
              </w:rPr>
              <w:t>Complexity</w:t>
            </w:r>
          </w:p>
        </w:tc>
        <w:tc>
          <w:tcPr>
            <w:tcW w:type="dxa" w:w="2087"/>
            <w:shd w:val="clear" w:color="auto" w:fill="EDF1F6"/>
          </w:tcPr>
          <w:p>
            <w:pPr>
              <w:jc w:val="center"/>
            </w:pPr>
            <w:r>
              <w:rPr>
                <w:sz w:val="14"/>
              </w:rPr>
              <w:t>[33]</w:t>
            </w:r>
          </w:p>
        </w:tc>
      </w:tr>
    </w:tbl>
    <w:p>
      <w:pPr>
        <w:spacing w:after="120"/>
      </w:pPr>
    </w:p>
    <w:p>
      <w:pPr>
        <w:sectPr>
          <w:type w:val="continuous"/>
          <w:pgSz w:w="12240" w:h="15840"/>
          <w:pgMar w:top="1080" w:right="965" w:bottom="1152" w:left="965" w:header="504" w:footer="720" w:gutter="0"/>
          <w:docGrid w:linePitch="360"/>
          <w:cols w:num="1" w:space="360"/>
        </w:sectPr>
      </w:pPr>
    </w:p>
    <w:p>
      <w:pPr>
        <w:keepNext/>
        <w:spacing w:before="100" w:after="40"/>
      </w:pPr>
      <w:r>
        <w:rPr>
          <w:b/>
          <w:color w:val="1B3A6B"/>
          <w:sz w:val="17"/>
        </w:rPr>
        <w:t>B. REPORTED WATER SAVINGS</w:t>
      </w:r>
    </w:p>
    <w:p>
      <w:pPr>
        <w:spacing w:after="0"/>
        <w:ind w:firstLine="216"/>
        <w:jc w:val="both"/>
      </w:pPr>
      <w:r>
        <w:t>Reviews of IoT irrigation report savings spanning roughly 9–50 % [21], [35]. The width of this range reflects differences in crop, climate, baseline practice and, critically, measurement method. A well-instrumented recent trial reports 431.47 L under closed-loop control against 592.39 L for a fixed schedule, a 27.16 % reduction, while also reducing the soil-moisture standard deviation from 10.46 % to 1.35 % [36]; a multi-season IoT deployment reports improved water-use efficiency [37]. We define the saving as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1223192" cy="213969"/>
                  <wp:docPr id="2" name="Picture 2"/>
                  <wp:cNvGraphicFramePr>
                    <a:graphicFrameLocks noChangeAspect="1"/>
                  </wp:cNvGraphicFramePr>
                  <a:graphic>
                    <a:graphicData uri="http://schemas.openxmlformats.org/drawingml/2006/picture">
                      <pic:pic>
                        <pic:nvPicPr>
                          <pic:cNvPr id="0" name="8256069527922463740.png"/>
                          <pic:cNvPicPr/>
                        </pic:nvPicPr>
                        <pic:blipFill>
                          <a:blip r:embed="rId12"/>
                          <a:stretch>
                            <a:fillRect/>
                          </a:stretch>
                        </pic:blipFill>
                        <pic:spPr>
                          <a:xfrm>
                            <a:off x="0" y="0"/>
                            <a:ext cx="1223192" cy="213969"/>
                          </a:xfrm>
                          <a:prstGeom prst="rect"/>
                        </pic:spPr>
                      </pic:pic>
                    </a:graphicData>
                  </a:graphic>
                </wp:inline>
              </w:drawing>
            </w:r>
          </w:p>
        </w:tc>
        <w:tc>
          <w:tcPr>
            <w:tcW w:type="dxa" w:w="648"/>
          </w:tcPr>
          <w:p>
            <w:pPr>
              <w:jc w:val="right"/>
            </w:pPr>
            <w:r>
              <w:t>(1)</w:t>
            </w:r>
          </w:p>
        </w:tc>
      </w:tr>
    </w:tbl>
    <w:p>
      <w:pPr>
        <w:spacing w:after="0"/>
        <w:ind w:firstLine="216"/>
        <w:jc w:val="both"/>
      </w:pPr>
      <w:r>
        <w:t xml:space="preserve">where </w:t>
      </w:r>
      <w:r>
        <w:rPr>
          <w:i/>
        </w:rPr>
        <w:t>V</w:t>
      </w:r>
      <w:r>
        <w:rPr>
          <w:vertAlign w:val="subscript"/>
        </w:rPr>
        <w:t>fs</w:t>
      </w:r>
      <w:r>
        <w:t xml:space="preserve"> and </w:t>
      </w:r>
      <w:r>
        <w:rPr>
          <w:i/>
        </w:rPr>
        <w:t>V</w:t>
      </w:r>
      <w:r>
        <w:rPr>
          <w:vertAlign w:val="subscript"/>
        </w:rPr>
        <w:t>cl</w:t>
      </w:r>
      <w:r>
        <w:t xml:space="preserve"> are the metered volumes of the fixed-schedule and closed-loop arms. Because a controller can trivially "save" water by under-irrigating, Σ should always be reported with both volumes, the soil-moisture mean and spread of each arm, and a crop-health or yield proxy.</w:t>
      </w:r>
    </w:p>
    <w:p>
      <w:pPr>
        <w:keepNext/>
        <w:spacing w:before="100" w:after="40"/>
      </w:pPr>
      <w:r>
        <w:rPr>
          <w:b/>
          <w:color w:val="1B3A6B"/>
          <w:sz w:val="17"/>
        </w:rPr>
        <w:t>C. EVALUATION GAPS</w:t>
      </w:r>
    </w:p>
    <w:p>
      <w:pPr>
        <w:spacing w:after="20"/>
        <w:ind w:left="288" w:hanging="202"/>
        <w:jc w:val="both"/>
      </w:pPr>
      <w:r>
        <w:t xml:space="preserve">•  </w:t>
      </w:r>
      <w:r>
        <w:t>Many studies estimate savings from pump run-time rather than an inline flow meter.</w:t>
      </w:r>
    </w:p>
    <w:p>
      <w:pPr>
        <w:spacing w:after="20"/>
        <w:ind w:left="288" w:hanging="202"/>
        <w:jc w:val="both"/>
      </w:pPr>
      <w:r>
        <w:t xml:space="preserve">•  </w:t>
      </w:r>
      <w:r>
        <w:t>Treatment and control arms often differ in hardware or plot, confounding the comparison.</w:t>
      </w:r>
    </w:p>
    <w:p>
      <w:pPr>
        <w:spacing w:after="20"/>
        <w:ind w:left="288" w:hanging="202"/>
        <w:jc w:val="both"/>
      </w:pPr>
      <w:r>
        <w:t xml:space="preserve">•  </w:t>
      </w:r>
      <w:r>
        <w:t>Trials are short (days to weeks) relative to a crop season.</w:t>
      </w:r>
    </w:p>
    <w:p>
      <w:pPr>
        <w:keepNext/>
        <w:spacing w:before="100" w:after="40"/>
      </w:pPr>
      <w:r>
        <w:rPr>
          <w:b/>
          <w:color w:val="1B3A6B"/>
          <w:sz w:val="17"/>
        </w:rPr>
        <w:t>D. FAIL-SAFE DESIGN</w:t>
      </w:r>
    </w:p>
    <w:p>
      <w:pPr>
        <w:spacing w:after="0"/>
        <w:ind w:firstLine="216"/>
        <w:jc w:val="both"/>
      </w:pPr>
      <w:r>
        <w:t xml:space="preserve">Few papers specify controller behaviour under faults. We identify four practices that should be standard: (i) </w:t>
      </w:r>
      <w:r>
        <w:rPr>
          <w:b/>
        </w:rPr>
        <w:t>ordered rules</w:t>
      </w:r>
      <w:r>
        <w:t xml:space="preserve"> in which sensor interlocks (failed probe, rain, saturated soil) dominate manual and cloud commands; (ii) </w:t>
      </w:r>
      <w:r>
        <w:rPr>
          <w:b/>
        </w:rPr>
        <w:t>hysteresis</w:t>
      </w:r>
      <w:r>
        <w:t xml:space="preserve"> to bound switching; (iii) </w:t>
      </w:r>
      <w:r>
        <w:rPr>
          <w:b/>
        </w:rPr>
        <w:t>hard run-time limits and cooldowns</w:t>
      </w:r>
      <w:r>
        <w:t xml:space="preserve"> that bound delivery under mis-calibration; and (iv) </w:t>
      </w:r>
      <w:r>
        <w:rPr>
          <w:b/>
        </w:rPr>
        <w:t>edge authority</w:t>
      </w:r>
      <w:r>
        <w:t>, so the node keeps controlling when connectivity is lost. Section XI shows one implementation.</w:t>
      </w:r>
    </w:p>
    <w:p>
      <w:pPr>
        <w:keepNext/>
        <w:spacing w:before="160" w:after="60"/>
      </w:pPr>
      <w:r>
        <w:rPr>
          <w:b/>
          <w:color w:val="1B3A6B"/>
          <w:sz w:val="19"/>
        </w:rPr>
        <w:t>VI. DEEP LEARNING FOR CROP DISEASE DIAGNOSIS</w:t>
      </w:r>
    </w:p>
    <w:p>
      <w:pPr>
        <w:keepNext/>
        <w:spacing w:before="100" w:after="40"/>
      </w:pPr>
      <w:r>
        <w:rPr>
          <w:b/>
          <w:color w:val="1B3A6B"/>
          <w:sz w:val="17"/>
        </w:rPr>
        <w:t>A. DATASETS</w:t>
      </w:r>
    </w:p>
    <w:p>
      <w:pPr>
        <w:spacing w:after="0"/>
        <w:ind w:firstLine="216"/>
        <w:jc w:val="both"/>
      </w:pPr>
      <w:r>
        <w:t>Table 4 summarises public datasets. PlantVillage [38] dominates the literature but contains single detached leaves photographed on uniform backgrounds. Field-condition datasets such as PlantDoc [39], iCassava [40], Plant Pathology 2020 [41] and PlantWild [42] are smaller per class but far closer to deployment conditions.</w:t>
      </w: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4. </w:t>
      </w:r>
      <w:r>
        <w:rPr>
          <w:sz w:val="16"/>
        </w:rPr>
        <w:t>Public plant-disease image datasets (counts as released or as in common mirrors).</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3506"/>
            <w:shd w:val="clear" w:color="auto" w:fill="1B3A6B"/>
          </w:tcPr>
          <w:p>
            <w:pPr>
              <w:keepNext/>
              <w:jc w:val="left"/>
            </w:pPr>
            <w:r>
              <w:rPr>
                <w:b/>
                <w:color w:val="FFFFFF"/>
                <w:sz w:val="14"/>
              </w:rPr>
              <w:t>Dataset</w:t>
            </w:r>
          </w:p>
        </w:tc>
        <w:tc>
          <w:tcPr>
            <w:tcW w:type="dxa" w:w="1237"/>
            <w:shd w:val="clear" w:color="auto" w:fill="1B3A6B"/>
          </w:tcPr>
          <w:p>
            <w:pPr>
              <w:keepNext/>
              <w:jc w:val="center"/>
            </w:pPr>
            <w:r>
              <w:rPr>
                <w:b/>
                <w:color w:val="FFFFFF"/>
                <w:sz w:val="14"/>
              </w:rPr>
              <w:t>Images</w:t>
            </w:r>
          </w:p>
        </w:tc>
        <w:tc>
          <w:tcPr>
            <w:tcW w:type="dxa" w:w="1134"/>
            <w:shd w:val="clear" w:color="auto" w:fill="1B3A6B"/>
          </w:tcPr>
          <w:p>
            <w:pPr>
              <w:keepNext/>
              <w:jc w:val="center"/>
            </w:pPr>
            <w:r>
              <w:rPr>
                <w:b/>
                <w:color w:val="FFFFFF"/>
                <w:sz w:val="14"/>
              </w:rPr>
              <w:t>Classes</w:t>
            </w:r>
          </w:p>
        </w:tc>
        <w:tc>
          <w:tcPr>
            <w:tcW w:type="dxa" w:w="2371"/>
            <w:shd w:val="clear" w:color="auto" w:fill="1B3A6B"/>
          </w:tcPr>
          <w:p>
            <w:pPr>
              <w:keepNext/>
              <w:jc w:val="center"/>
            </w:pPr>
            <w:r>
              <w:rPr>
                <w:b/>
                <w:color w:val="FFFFFF"/>
                <w:sz w:val="14"/>
              </w:rPr>
              <w:t>Conditions</w:t>
            </w:r>
          </w:p>
        </w:tc>
        <w:tc>
          <w:tcPr>
            <w:tcW w:type="dxa" w:w="2062"/>
            <w:shd w:val="clear" w:color="auto" w:fill="1B3A6B"/>
          </w:tcPr>
          <w:p>
            <w:pPr>
              <w:keepNext/>
              <w:jc w:val="center"/>
            </w:pPr>
            <w:r>
              <w:rPr>
                <w:b/>
                <w:color w:val="FFFFFF"/>
                <w:sz w:val="14"/>
              </w:rPr>
              <w:t>Typical use</w:t>
            </w:r>
          </w:p>
        </w:tc>
      </w:tr>
      <w:tr>
        <w:trPr>
          <w:cantSplit/>
        </w:trPr>
        <w:tc>
          <w:tcPr>
            <w:tcW w:type="dxa" w:w="3506"/>
          </w:tcPr>
          <w:p>
            <w:pPr>
              <w:keepNext/>
              <w:jc w:val="left"/>
            </w:pPr>
            <w:r>
              <w:rPr>
                <w:sz w:val="14"/>
              </w:rPr>
              <w:t>PlantVillage [38]</w:t>
            </w:r>
          </w:p>
        </w:tc>
        <w:tc>
          <w:tcPr>
            <w:tcW w:type="dxa" w:w="1237"/>
          </w:tcPr>
          <w:p>
            <w:pPr>
              <w:keepNext/>
              <w:jc w:val="center"/>
            </w:pPr>
            <w:r>
              <w:rPr>
                <w:sz w:val="14"/>
              </w:rPr>
              <w:t>54,305</w:t>
            </w:r>
          </w:p>
        </w:tc>
        <w:tc>
          <w:tcPr>
            <w:tcW w:type="dxa" w:w="1134"/>
          </w:tcPr>
          <w:p>
            <w:pPr>
              <w:keepNext/>
              <w:jc w:val="center"/>
            </w:pPr>
            <w:r>
              <w:rPr>
                <w:sz w:val="14"/>
              </w:rPr>
              <w:t>38</w:t>
            </w:r>
          </w:p>
        </w:tc>
        <w:tc>
          <w:tcPr>
            <w:tcW w:type="dxa" w:w="2371"/>
          </w:tcPr>
          <w:p>
            <w:pPr>
              <w:keepNext/>
              <w:jc w:val="center"/>
            </w:pPr>
            <w:r>
              <w:rPr>
                <w:sz w:val="14"/>
              </w:rPr>
              <w:t>Lab, plain background</w:t>
            </w:r>
          </w:p>
        </w:tc>
        <w:tc>
          <w:tcPr>
            <w:tcW w:type="dxa" w:w="2062"/>
          </w:tcPr>
          <w:p>
            <w:pPr>
              <w:keepNext/>
              <w:jc w:val="center"/>
            </w:pPr>
            <w:r>
              <w:rPr>
                <w:sz w:val="14"/>
              </w:rPr>
              <w:t>Training benchmark</w:t>
            </w:r>
          </w:p>
        </w:tc>
      </w:tr>
      <w:tr>
        <w:trPr>
          <w:cantSplit/>
        </w:trPr>
        <w:tc>
          <w:tcPr>
            <w:tcW w:type="dxa" w:w="3506"/>
            <w:shd w:val="clear" w:color="auto" w:fill="EDF1F6"/>
          </w:tcPr>
          <w:p>
            <w:pPr>
              <w:keepNext/>
              <w:jc w:val="left"/>
            </w:pPr>
            <w:r>
              <w:rPr>
                <w:sz w:val="14"/>
              </w:rPr>
              <w:t>PlantDoc [39]</w:t>
            </w:r>
          </w:p>
        </w:tc>
        <w:tc>
          <w:tcPr>
            <w:tcW w:type="dxa" w:w="1237"/>
            <w:shd w:val="clear" w:color="auto" w:fill="EDF1F6"/>
          </w:tcPr>
          <w:p>
            <w:pPr>
              <w:keepNext/>
              <w:jc w:val="center"/>
            </w:pPr>
            <w:r>
              <w:rPr>
                <w:sz w:val="14"/>
              </w:rPr>
              <w:t>2,598</w:t>
            </w:r>
          </w:p>
        </w:tc>
        <w:tc>
          <w:tcPr>
            <w:tcW w:type="dxa" w:w="1134"/>
            <w:shd w:val="clear" w:color="auto" w:fill="EDF1F6"/>
          </w:tcPr>
          <w:p>
            <w:pPr>
              <w:keepNext/>
              <w:jc w:val="center"/>
            </w:pPr>
            <w:r>
              <w:rPr>
                <w:sz w:val="14"/>
              </w:rPr>
              <w:t>27</w:t>
            </w:r>
          </w:p>
        </w:tc>
        <w:tc>
          <w:tcPr>
            <w:tcW w:type="dxa" w:w="2371"/>
            <w:shd w:val="clear" w:color="auto" w:fill="EDF1F6"/>
          </w:tcPr>
          <w:p>
            <w:pPr>
              <w:keepNext/>
              <w:jc w:val="center"/>
            </w:pPr>
            <w:r>
              <w:rPr>
                <w:sz w:val="14"/>
              </w:rPr>
              <w:t>Field, web-sourced</w:t>
            </w:r>
          </w:p>
        </w:tc>
        <w:tc>
          <w:tcPr>
            <w:tcW w:type="dxa" w:w="2062"/>
            <w:shd w:val="clear" w:color="auto" w:fill="EDF1F6"/>
          </w:tcPr>
          <w:p>
            <w:pPr>
              <w:keepNext/>
              <w:jc w:val="center"/>
            </w:pPr>
            <w:r>
              <w:rPr>
                <w:sz w:val="14"/>
              </w:rPr>
              <w:t>Cross-domain test</w:t>
            </w:r>
          </w:p>
        </w:tc>
      </w:tr>
      <w:tr>
        <w:trPr>
          <w:cantSplit/>
        </w:trPr>
        <w:tc>
          <w:tcPr>
            <w:tcW w:type="dxa" w:w="3506"/>
          </w:tcPr>
          <w:p>
            <w:pPr>
              <w:keepNext/>
              <w:jc w:val="left"/>
            </w:pPr>
            <w:r>
              <w:rPr>
                <w:sz w:val="14"/>
              </w:rPr>
              <w:t>iCassava / Cassava [40]</w:t>
            </w:r>
          </w:p>
        </w:tc>
        <w:tc>
          <w:tcPr>
            <w:tcW w:type="dxa" w:w="1237"/>
          </w:tcPr>
          <w:p>
            <w:pPr>
              <w:keepNext/>
              <w:jc w:val="center"/>
            </w:pPr>
            <w:r>
              <w:rPr>
                <w:sz w:val="14"/>
              </w:rPr>
              <w:t>~21k</w:t>
            </w:r>
          </w:p>
        </w:tc>
        <w:tc>
          <w:tcPr>
            <w:tcW w:type="dxa" w:w="1134"/>
          </w:tcPr>
          <w:p>
            <w:pPr>
              <w:keepNext/>
              <w:jc w:val="center"/>
            </w:pPr>
            <w:r>
              <w:rPr>
                <w:sz w:val="14"/>
              </w:rPr>
              <w:t>5</w:t>
            </w:r>
          </w:p>
        </w:tc>
        <w:tc>
          <w:tcPr>
            <w:tcW w:type="dxa" w:w="2371"/>
          </w:tcPr>
          <w:p>
            <w:pPr>
              <w:keepNext/>
              <w:jc w:val="center"/>
            </w:pPr>
            <w:r>
              <w:rPr>
                <w:sz w:val="14"/>
              </w:rPr>
              <w:t>Field, Uganda</w:t>
            </w:r>
          </w:p>
        </w:tc>
        <w:tc>
          <w:tcPr>
            <w:tcW w:type="dxa" w:w="2062"/>
          </w:tcPr>
          <w:p>
            <w:pPr>
              <w:keepNext/>
              <w:jc w:val="center"/>
            </w:pPr>
            <w:r>
              <w:rPr>
                <w:sz w:val="14"/>
              </w:rPr>
              <w:t>Field training</w:t>
            </w:r>
          </w:p>
        </w:tc>
      </w:tr>
      <w:tr>
        <w:trPr>
          <w:cantSplit/>
        </w:trPr>
        <w:tc>
          <w:tcPr>
            <w:tcW w:type="dxa" w:w="3506"/>
            <w:shd w:val="clear" w:color="auto" w:fill="EDF1F6"/>
          </w:tcPr>
          <w:p>
            <w:pPr>
              <w:keepNext/>
              <w:jc w:val="left"/>
            </w:pPr>
            <w:r>
              <w:rPr>
                <w:sz w:val="14"/>
              </w:rPr>
              <w:t>Plant Pathology 2020 [41]</w:t>
            </w:r>
          </w:p>
        </w:tc>
        <w:tc>
          <w:tcPr>
            <w:tcW w:type="dxa" w:w="1237"/>
            <w:shd w:val="clear" w:color="auto" w:fill="EDF1F6"/>
          </w:tcPr>
          <w:p>
            <w:pPr>
              <w:keepNext/>
              <w:jc w:val="center"/>
            </w:pPr>
            <w:r>
              <w:rPr>
                <w:sz w:val="14"/>
              </w:rPr>
              <w:t>3,651</w:t>
            </w:r>
          </w:p>
        </w:tc>
        <w:tc>
          <w:tcPr>
            <w:tcW w:type="dxa" w:w="1134"/>
            <w:shd w:val="clear" w:color="auto" w:fill="EDF1F6"/>
          </w:tcPr>
          <w:p>
            <w:pPr>
              <w:keepNext/>
              <w:jc w:val="center"/>
            </w:pPr>
            <w:r>
              <w:rPr>
                <w:sz w:val="14"/>
              </w:rPr>
              <w:t>4</w:t>
            </w:r>
          </w:p>
        </w:tc>
        <w:tc>
          <w:tcPr>
            <w:tcW w:type="dxa" w:w="2371"/>
            <w:shd w:val="clear" w:color="auto" w:fill="EDF1F6"/>
          </w:tcPr>
          <w:p>
            <w:pPr>
              <w:keepNext/>
              <w:jc w:val="center"/>
            </w:pPr>
            <w:r>
              <w:rPr>
                <w:sz w:val="14"/>
              </w:rPr>
              <w:t>Field, apple</w:t>
            </w:r>
          </w:p>
        </w:tc>
        <w:tc>
          <w:tcPr>
            <w:tcW w:type="dxa" w:w="2062"/>
            <w:shd w:val="clear" w:color="auto" w:fill="EDF1F6"/>
          </w:tcPr>
          <w:p>
            <w:pPr>
              <w:keepNext/>
              <w:jc w:val="center"/>
            </w:pPr>
            <w:r>
              <w:rPr>
                <w:sz w:val="14"/>
              </w:rPr>
              <w:t>Field benchmark</w:t>
            </w:r>
          </w:p>
        </w:tc>
      </w:tr>
      <w:tr>
        <w:trPr>
          <w:cantSplit/>
        </w:trPr>
        <w:tc>
          <w:tcPr>
            <w:tcW w:type="dxa" w:w="3506"/>
          </w:tcPr>
          <w:p>
            <w:pPr>
              <w:keepNext/>
              <w:jc w:val="left"/>
            </w:pPr>
            <w:r>
              <w:rPr>
                <w:sz w:val="14"/>
              </w:rPr>
              <w:t>PlantWild [42]</w:t>
            </w:r>
          </w:p>
        </w:tc>
        <w:tc>
          <w:tcPr>
            <w:tcW w:type="dxa" w:w="1237"/>
          </w:tcPr>
          <w:p>
            <w:pPr>
              <w:keepNext/>
              <w:jc w:val="center"/>
            </w:pPr>
            <w:r>
              <w:rPr>
                <w:sz w:val="14"/>
              </w:rPr>
              <w:t>30,030</w:t>
            </w:r>
          </w:p>
        </w:tc>
        <w:tc>
          <w:tcPr>
            <w:tcW w:type="dxa" w:w="1134"/>
          </w:tcPr>
          <w:p>
            <w:pPr>
              <w:keepNext/>
              <w:jc w:val="center"/>
            </w:pPr>
            <w:r>
              <w:rPr>
                <w:sz w:val="14"/>
              </w:rPr>
              <w:t>n/s</w:t>
            </w:r>
          </w:p>
        </w:tc>
        <w:tc>
          <w:tcPr>
            <w:tcW w:type="dxa" w:w="2371"/>
          </w:tcPr>
          <w:p>
            <w:pPr>
              <w:keepNext/>
              <w:jc w:val="center"/>
            </w:pPr>
            <w:r>
              <w:rPr>
                <w:sz w:val="14"/>
              </w:rPr>
              <w:t>In-the-wild</w:t>
            </w:r>
          </w:p>
        </w:tc>
        <w:tc>
          <w:tcPr>
            <w:tcW w:type="dxa" w:w="2062"/>
          </w:tcPr>
          <w:p>
            <w:pPr>
              <w:keepNext/>
              <w:jc w:val="center"/>
            </w:pPr>
            <w:r>
              <w:rPr>
                <w:sz w:val="14"/>
              </w:rPr>
              <w:t>Field training</w:t>
            </w:r>
          </w:p>
        </w:tc>
      </w:tr>
      <w:tr>
        <w:trPr>
          <w:cantSplit/>
        </w:trPr>
        <w:tc>
          <w:tcPr>
            <w:tcW w:type="dxa" w:w="3506"/>
            <w:shd w:val="clear" w:color="auto" w:fill="EDF1F6"/>
          </w:tcPr>
          <w:p>
            <w:pPr>
              <w:jc w:val="left"/>
            </w:pPr>
            <w:r>
              <w:rPr>
                <w:sz w:val="14"/>
              </w:rPr>
              <w:t>Rice leaf [43]</w:t>
            </w:r>
          </w:p>
        </w:tc>
        <w:tc>
          <w:tcPr>
            <w:tcW w:type="dxa" w:w="1237"/>
            <w:shd w:val="clear" w:color="auto" w:fill="EDF1F6"/>
          </w:tcPr>
          <w:p>
            <w:pPr>
              <w:jc w:val="center"/>
            </w:pPr>
            <w:r>
              <w:rPr>
                <w:sz w:val="14"/>
              </w:rPr>
              <w:t>5,932</w:t>
            </w:r>
          </w:p>
        </w:tc>
        <w:tc>
          <w:tcPr>
            <w:tcW w:type="dxa" w:w="1134"/>
            <w:shd w:val="clear" w:color="auto" w:fill="EDF1F6"/>
          </w:tcPr>
          <w:p>
            <w:pPr>
              <w:jc w:val="center"/>
            </w:pPr>
            <w:r>
              <w:rPr>
                <w:sz w:val="14"/>
              </w:rPr>
              <w:t>4</w:t>
            </w:r>
          </w:p>
        </w:tc>
        <w:tc>
          <w:tcPr>
            <w:tcW w:type="dxa" w:w="2371"/>
            <w:shd w:val="clear" w:color="auto" w:fill="EDF1F6"/>
          </w:tcPr>
          <w:p>
            <w:pPr>
              <w:jc w:val="center"/>
            </w:pPr>
            <w:r>
              <w:rPr>
                <w:sz w:val="14"/>
              </w:rPr>
              <w:t>Mixed</w:t>
            </w:r>
          </w:p>
        </w:tc>
        <w:tc>
          <w:tcPr>
            <w:tcW w:type="dxa" w:w="2062"/>
            <w:shd w:val="clear" w:color="auto" w:fill="EDF1F6"/>
          </w:tcPr>
          <w:p>
            <w:pPr>
              <w:jc w:val="center"/>
            </w:pPr>
            <w:r>
              <w:rPr>
                <w:sz w:val="14"/>
              </w:rPr>
              <w:t>Crop-specific</w:t>
            </w:r>
          </w:p>
        </w:tc>
      </w:tr>
    </w:tbl>
    <w:p>
      <w:pPr>
        <w:spacing w:after="120"/>
      </w:pPr>
    </w:p>
    <w:p>
      <w:pPr>
        <w:sectPr>
          <w:type w:val="continuous"/>
          <w:pgSz w:w="12240" w:h="15840"/>
          <w:pgMar w:top="1080" w:right="965" w:bottom="1152" w:left="965" w:header="504" w:footer="720" w:gutter="0"/>
          <w:docGrid w:linePitch="360"/>
          <w:cols w:num="1" w:space="360"/>
        </w:sectPr>
      </w:pPr>
    </w:p>
    <w:p>
      <w:pPr>
        <w:keepNext/>
        <w:spacing w:before="100" w:after="40"/>
      </w:pPr>
      <w:r>
        <w:rPr>
          <w:b/>
          <w:color w:val="1B3A6B"/>
          <w:sz w:val="17"/>
        </w:rPr>
        <w:t>B. MODEL FAMILIES</w:t>
      </w:r>
    </w:p>
    <w:p>
      <w:pPr>
        <w:spacing w:after="0"/>
        <w:ind w:firstLine="216"/>
        <w:jc w:val="both"/>
      </w:pPr>
      <w:r>
        <w:rPr>
          <w:b/>
        </w:rPr>
        <w:t>CNN transfer learning.</w:t>
      </w:r>
      <w:r>
        <w:t xml:space="preserve"> Mohanty et al. fine-tuned AlexNet and GoogLeNet on PlantVillage to 99.35 % [10]; Ferentinos reported 99.53 % with VGG on a 58-class corpus [44], [45]; Too et al. compared fine-tuned architectures and reached 99.75 % with DenseNet [46]; Sladojevic et al. [47] and Brahimi et al. [48] reported similar figures on smaller taxonomies. </w:t>
      </w:r>
      <w:r>
        <w:rPr>
          <w:b/>
        </w:rPr>
        <w:t>Efficient backbones</w:t>
      </w:r>
      <w:r>
        <w:t xml:space="preserve"> such as MobileNet [49], [50] and EfficientNet [51] trade a little accuracy for mobile deployment, as in the smartphone cassava diagnosis of Ramcharan et al. [52], [53]. </w:t>
      </w:r>
      <w:r>
        <w:rPr>
          <w:b/>
        </w:rPr>
        <w:t>Detectors</w:t>
      </w:r>
      <w:r>
        <w:t xml:space="preserve"> localise lesions in cluttered scenes: Fuentes et al. compared Faster R-CNN, R-FCN and SSD on tomato [54], and YOLO-family detectors [55], [56] target real-time use. </w:t>
      </w:r>
      <w:r>
        <w:rPr>
          <w:b/>
        </w:rPr>
        <w:t>Vision transformers</w:t>
      </w:r>
      <w:r>
        <w:t xml:space="preserve"> [57] now underpin the strongest cross-domain results [58]. </w:t>
      </w:r>
      <w:r>
        <w:rPr>
          <w:b/>
        </w:rPr>
        <w:t>Few-shot learning</w:t>
      </w:r>
      <w:r>
        <w:t xml:space="preserve"> addresses the scarcity of labelled field images [59], and explainability studies show what CNNs attend to when diagnosing [60], [61].</w:t>
      </w: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5. </w:t>
      </w:r>
      <w:r>
        <w:rPr>
          <w:sz w:val="16"/>
        </w:rPr>
        <w:t>Representative disease-diagnosis studies (values as reported by each source).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rPr>
        <w:tc>
          <w:tcPr>
            <w:tcW w:type="dxa" w:w="2553"/>
            <w:shd w:val="clear" w:color="auto" w:fill="1B3A6B"/>
          </w:tcPr>
          <w:p>
            <w:pPr>
              <w:keepNext/>
              <w:jc w:val="left"/>
            </w:pPr>
            <w:r>
              <w:rPr>
                <w:b/>
                <w:color w:val="FFFFFF"/>
                <w:sz w:val="14"/>
              </w:rPr>
              <w:t>Study</w:t>
            </w:r>
          </w:p>
        </w:tc>
        <w:tc>
          <w:tcPr>
            <w:tcW w:type="dxa" w:w="1866"/>
            <w:shd w:val="clear" w:color="auto" w:fill="1B3A6B"/>
          </w:tcPr>
          <w:p>
            <w:pPr>
              <w:keepNext/>
              <w:jc w:val="center"/>
            </w:pPr>
            <w:r>
              <w:rPr>
                <w:b/>
                <w:color w:val="FFFFFF"/>
                <w:sz w:val="14"/>
              </w:rPr>
              <w:t>Model</w:t>
            </w:r>
          </w:p>
        </w:tc>
        <w:tc>
          <w:tcPr>
            <w:tcW w:type="dxa" w:w="2062"/>
            <w:shd w:val="clear" w:color="auto" w:fill="1B3A6B"/>
          </w:tcPr>
          <w:p>
            <w:pPr>
              <w:keepNext/>
              <w:jc w:val="center"/>
            </w:pPr>
            <w:r>
              <w:rPr>
                <w:b/>
                <w:color w:val="FFFFFF"/>
                <w:sz w:val="14"/>
              </w:rPr>
              <w:t>Data</w:t>
            </w:r>
          </w:p>
        </w:tc>
        <w:tc>
          <w:tcPr>
            <w:tcW w:type="dxa" w:w="2651"/>
            <w:shd w:val="clear" w:color="auto" w:fill="1B3A6B"/>
          </w:tcPr>
          <w:p>
            <w:pPr>
              <w:keepNext/>
              <w:jc w:val="center"/>
            </w:pPr>
            <w:r>
              <w:rPr>
                <w:b/>
                <w:color w:val="FFFFFF"/>
                <w:sz w:val="14"/>
              </w:rPr>
              <w:t>Reported result</w:t>
            </w:r>
          </w:p>
        </w:tc>
        <w:tc>
          <w:tcPr>
            <w:tcW w:type="dxa" w:w="1178"/>
            <w:shd w:val="clear" w:color="auto" w:fill="1B3A6B"/>
          </w:tcPr>
          <w:p>
            <w:pPr>
              <w:keepNext/>
              <w:jc w:val="center"/>
            </w:pPr>
            <w:r>
              <w:rPr>
                <w:b/>
                <w:color w:val="FFFFFF"/>
                <w:sz w:val="14"/>
              </w:rPr>
              <w:t>Field?</w:t>
            </w:r>
          </w:p>
        </w:tc>
      </w:tr>
      <w:tr>
        <w:trPr>
          <w:cantSplit/>
        </w:trPr>
        <w:tc>
          <w:tcPr>
            <w:tcW w:type="dxa" w:w="2553"/>
          </w:tcPr>
          <w:p>
            <w:pPr>
              <w:keepNext/>
              <w:jc w:val="left"/>
            </w:pPr>
            <w:r>
              <w:rPr>
                <w:sz w:val="14"/>
              </w:rPr>
              <w:t>Mohanty [10]</w:t>
            </w:r>
          </w:p>
        </w:tc>
        <w:tc>
          <w:tcPr>
            <w:tcW w:type="dxa" w:w="1866"/>
          </w:tcPr>
          <w:p>
            <w:pPr>
              <w:keepNext/>
              <w:jc w:val="center"/>
            </w:pPr>
            <w:r>
              <w:rPr>
                <w:sz w:val="14"/>
              </w:rPr>
              <w:t>GoogLeNet</w:t>
            </w:r>
          </w:p>
        </w:tc>
        <w:tc>
          <w:tcPr>
            <w:tcW w:type="dxa" w:w="2062"/>
          </w:tcPr>
          <w:p>
            <w:pPr>
              <w:keepNext/>
              <w:jc w:val="center"/>
            </w:pPr>
            <w:r>
              <w:rPr>
                <w:sz w:val="14"/>
              </w:rPr>
              <w:t>PlantVillage</w:t>
            </w:r>
          </w:p>
        </w:tc>
        <w:tc>
          <w:tcPr>
            <w:tcW w:type="dxa" w:w="2651"/>
          </w:tcPr>
          <w:p>
            <w:pPr>
              <w:keepNext/>
              <w:jc w:val="center"/>
            </w:pPr>
            <w:r>
              <w:rPr>
                <w:sz w:val="14"/>
              </w:rPr>
              <w:t>99.35 %; 31.4 % external</w:t>
            </w:r>
          </w:p>
        </w:tc>
        <w:tc>
          <w:tcPr>
            <w:tcW w:type="dxa" w:w="1178"/>
          </w:tcPr>
          <w:p>
            <w:pPr>
              <w:keepNext/>
              <w:jc w:val="center"/>
            </w:pPr>
            <w:r>
              <w:rPr>
                <w:sz w:val="14"/>
              </w:rPr>
              <w:t>Ext. test</w:t>
            </w:r>
          </w:p>
        </w:tc>
      </w:tr>
      <w:tr>
        <w:trPr>
          <w:cantSplit/>
        </w:trPr>
        <w:tc>
          <w:tcPr>
            <w:tcW w:type="dxa" w:w="2553"/>
            <w:shd w:val="clear" w:color="auto" w:fill="EDF1F6"/>
          </w:tcPr>
          <w:p>
            <w:pPr>
              <w:keepNext/>
              <w:jc w:val="left"/>
            </w:pPr>
            <w:r>
              <w:rPr>
                <w:sz w:val="14"/>
              </w:rPr>
              <w:t>Sladojevic [47]</w:t>
            </w:r>
          </w:p>
        </w:tc>
        <w:tc>
          <w:tcPr>
            <w:tcW w:type="dxa" w:w="1866"/>
            <w:shd w:val="clear" w:color="auto" w:fill="EDF1F6"/>
          </w:tcPr>
          <w:p>
            <w:pPr>
              <w:keepNext/>
              <w:jc w:val="center"/>
            </w:pPr>
            <w:r>
              <w:rPr>
                <w:sz w:val="14"/>
              </w:rPr>
              <w:t>CaffeNet</w:t>
            </w:r>
          </w:p>
        </w:tc>
        <w:tc>
          <w:tcPr>
            <w:tcW w:type="dxa" w:w="2062"/>
            <w:shd w:val="clear" w:color="auto" w:fill="EDF1F6"/>
          </w:tcPr>
          <w:p>
            <w:pPr>
              <w:keepNext/>
              <w:jc w:val="center"/>
            </w:pPr>
            <w:r>
              <w:rPr>
                <w:sz w:val="14"/>
              </w:rPr>
              <w:t>Web images, 13 cl.</w:t>
            </w:r>
          </w:p>
        </w:tc>
        <w:tc>
          <w:tcPr>
            <w:tcW w:type="dxa" w:w="2651"/>
            <w:shd w:val="clear" w:color="auto" w:fill="EDF1F6"/>
          </w:tcPr>
          <w:p>
            <w:pPr>
              <w:keepNext/>
              <w:jc w:val="center"/>
            </w:pPr>
            <w:r>
              <w:rPr>
                <w:sz w:val="14"/>
              </w:rPr>
              <w:t>96.3 %</w:t>
            </w:r>
          </w:p>
        </w:tc>
        <w:tc>
          <w:tcPr>
            <w:tcW w:type="dxa" w:w="1178"/>
            <w:shd w:val="clear" w:color="auto" w:fill="EDF1F6"/>
          </w:tcPr>
          <w:p>
            <w:pPr>
              <w:keepNext/>
              <w:jc w:val="center"/>
            </w:pPr>
            <w:r>
              <w:rPr>
                <w:sz w:val="14"/>
              </w:rPr>
              <w:t>No</w:t>
            </w:r>
          </w:p>
        </w:tc>
      </w:tr>
      <w:tr>
        <w:trPr>
          <w:cantSplit/>
        </w:trPr>
        <w:tc>
          <w:tcPr>
            <w:tcW w:type="dxa" w:w="2553"/>
          </w:tcPr>
          <w:p>
            <w:pPr>
              <w:keepNext/>
              <w:jc w:val="left"/>
            </w:pPr>
            <w:r>
              <w:rPr>
                <w:sz w:val="14"/>
              </w:rPr>
              <w:t>Brahimi [48]</w:t>
            </w:r>
          </w:p>
        </w:tc>
        <w:tc>
          <w:tcPr>
            <w:tcW w:type="dxa" w:w="1866"/>
          </w:tcPr>
          <w:p>
            <w:pPr>
              <w:keepNext/>
              <w:jc w:val="center"/>
            </w:pPr>
            <w:r>
              <w:rPr>
                <w:sz w:val="14"/>
              </w:rPr>
              <w:t>GoogLeNet</w:t>
            </w:r>
          </w:p>
        </w:tc>
        <w:tc>
          <w:tcPr>
            <w:tcW w:type="dxa" w:w="2062"/>
          </w:tcPr>
          <w:p>
            <w:pPr>
              <w:keepNext/>
              <w:jc w:val="center"/>
            </w:pPr>
            <w:r>
              <w:rPr>
                <w:sz w:val="14"/>
              </w:rPr>
              <w:t>Tomato (PV)</w:t>
            </w:r>
          </w:p>
        </w:tc>
        <w:tc>
          <w:tcPr>
            <w:tcW w:type="dxa" w:w="2651"/>
          </w:tcPr>
          <w:p>
            <w:pPr>
              <w:keepNext/>
              <w:jc w:val="center"/>
            </w:pPr>
            <w:r>
              <w:rPr>
                <w:sz w:val="14"/>
              </w:rPr>
              <w:t>99.18 %</w:t>
            </w:r>
          </w:p>
        </w:tc>
        <w:tc>
          <w:tcPr>
            <w:tcW w:type="dxa" w:w="1178"/>
          </w:tcPr>
          <w:p>
            <w:pPr>
              <w:keepNext/>
              <w:jc w:val="center"/>
            </w:pPr>
            <w:r>
              <w:rPr>
                <w:sz w:val="14"/>
              </w:rPr>
              <w:t>No</w:t>
            </w:r>
          </w:p>
        </w:tc>
      </w:tr>
      <w:tr>
        <w:trPr>
          <w:cantSplit/>
        </w:trPr>
        <w:tc>
          <w:tcPr>
            <w:tcW w:type="dxa" w:w="2553"/>
            <w:shd w:val="clear" w:color="auto" w:fill="EDF1F6"/>
          </w:tcPr>
          <w:p>
            <w:pPr>
              <w:keepNext/>
              <w:jc w:val="left"/>
            </w:pPr>
            <w:r>
              <w:rPr>
                <w:sz w:val="14"/>
              </w:rPr>
              <w:t>Ferentinos [44]</w:t>
            </w:r>
          </w:p>
        </w:tc>
        <w:tc>
          <w:tcPr>
            <w:tcW w:type="dxa" w:w="1866"/>
            <w:shd w:val="clear" w:color="auto" w:fill="EDF1F6"/>
          </w:tcPr>
          <w:p>
            <w:pPr>
              <w:keepNext/>
              <w:jc w:val="center"/>
            </w:pPr>
            <w:r>
              <w:rPr>
                <w:sz w:val="14"/>
              </w:rPr>
              <w:t>VGG</w:t>
            </w:r>
          </w:p>
        </w:tc>
        <w:tc>
          <w:tcPr>
            <w:tcW w:type="dxa" w:w="2062"/>
            <w:shd w:val="clear" w:color="auto" w:fill="EDF1F6"/>
          </w:tcPr>
          <w:p>
            <w:pPr>
              <w:keepNext/>
              <w:jc w:val="center"/>
            </w:pPr>
            <w:r>
              <w:rPr>
                <w:sz w:val="14"/>
              </w:rPr>
              <w:t>58 classes</w:t>
            </w:r>
          </w:p>
        </w:tc>
        <w:tc>
          <w:tcPr>
            <w:tcW w:type="dxa" w:w="2651"/>
            <w:shd w:val="clear" w:color="auto" w:fill="EDF1F6"/>
          </w:tcPr>
          <w:p>
            <w:pPr>
              <w:keepNext/>
              <w:jc w:val="center"/>
            </w:pPr>
            <w:r>
              <w:rPr>
                <w:sz w:val="14"/>
              </w:rPr>
              <w:t>99.53 %</w:t>
            </w:r>
          </w:p>
        </w:tc>
        <w:tc>
          <w:tcPr>
            <w:tcW w:type="dxa" w:w="1178"/>
            <w:shd w:val="clear" w:color="auto" w:fill="EDF1F6"/>
          </w:tcPr>
          <w:p>
            <w:pPr>
              <w:keepNext/>
              <w:jc w:val="center"/>
            </w:pPr>
            <w:r>
              <w:rPr>
                <w:sz w:val="14"/>
              </w:rPr>
              <w:t>Partly</w:t>
            </w:r>
          </w:p>
        </w:tc>
      </w:tr>
      <w:tr>
        <w:trPr>
          <w:cantSplit/>
        </w:trPr>
        <w:tc>
          <w:tcPr>
            <w:tcW w:type="dxa" w:w="2553"/>
          </w:tcPr>
          <w:p>
            <w:pPr>
              <w:keepNext/>
              <w:jc w:val="left"/>
            </w:pPr>
            <w:r>
              <w:rPr>
                <w:sz w:val="14"/>
              </w:rPr>
              <w:t>Too [46]</w:t>
            </w:r>
          </w:p>
        </w:tc>
        <w:tc>
          <w:tcPr>
            <w:tcW w:type="dxa" w:w="1866"/>
          </w:tcPr>
          <w:p>
            <w:pPr>
              <w:keepNext/>
              <w:jc w:val="center"/>
            </w:pPr>
            <w:r>
              <w:rPr>
                <w:sz w:val="14"/>
              </w:rPr>
              <w:t>DenseNet-121</w:t>
            </w:r>
          </w:p>
        </w:tc>
        <w:tc>
          <w:tcPr>
            <w:tcW w:type="dxa" w:w="2062"/>
          </w:tcPr>
          <w:p>
            <w:pPr>
              <w:keepNext/>
              <w:jc w:val="center"/>
            </w:pPr>
            <w:r>
              <w:rPr>
                <w:sz w:val="14"/>
              </w:rPr>
              <w:t>PlantVillage</w:t>
            </w:r>
          </w:p>
        </w:tc>
        <w:tc>
          <w:tcPr>
            <w:tcW w:type="dxa" w:w="2651"/>
          </w:tcPr>
          <w:p>
            <w:pPr>
              <w:keepNext/>
              <w:jc w:val="center"/>
            </w:pPr>
            <w:r>
              <w:rPr>
                <w:sz w:val="14"/>
              </w:rPr>
              <w:t>99.75 %</w:t>
            </w:r>
          </w:p>
        </w:tc>
        <w:tc>
          <w:tcPr>
            <w:tcW w:type="dxa" w:w="1178"/>
          </w:tcPr>
          <w:p>
            <w:pPr>
              <w:keepNext/>
              <w:jc w:val="center"/>
            </w:pPr>
            <w:r>
              <w:rPr>
                <w:sz w:val="14"/>
              </w:rPr>
              <w:t>No</w:t>
            </w:r>
          </w:p>
        </w:tc>
      </w:tr>
      <w:tr>
        <w:trPr>
          <w:cantSplit/>
        </w:trPr>
        <w:tc>
          <w:tcPr>
            <w:tcW w:type="dxa" w:w="2553"/>
            <w:shd w:val="clear" w:color="auto" w:fill="EDF1F6"/>
          </w:tcPr>
          <w:p>
            <w:pPr>
              <w:keepNext/>
              <w:jc w:val="left"/>
            </w:pPr>
            <w:r>
              <w:rPr>
                <w:sz w:val="14"/>
              </w:rPr>
              <w:t>Ramcharan [52]</w:t>
            </w:r>
          </w:p>
        </w:tc>
        <w:tc>
          <w:tcPr>
            <w:tcW w:type="dxa" w:w="1866"/>
            <w:shd w:val="clear" w:color="auto" w:fill="EDF1F6"/>
          </w:tcPr>
          <w:p>
            <w:pPr>
              <w:keepNext/>
              <w:jc w:val="center"/>
            </w:pPr>
            <w:r>
              <w:rPr>
                <w:sz w:val="14"/>
              </w:rPr>
              <w:t>Inception v3</w:t>
            </w:r>
          </w:p>
        </w:tc>
        <w:tc>
          <w:tcPr>
            <w:tcW w:type="dxa" w:w="2062"/>
            <w:shd w:val="clear" w:color="auto" w:fill="EDF1F6"/>
          </w:tcPr>
          <w:p>
            <w:pPr>
              <w:keepNext/>
              <w:jc w:val="center"/>
            </w:pPr>
            <w:r>
              <w:rPr>
                <w:sz w:val="14"/>
              </w:rPr>
              <w:t>Cassava field</w:t>
            </w:r>
          </w:p>
        </w:tc>
        <w:tc>
          <w:tcPr>
            <w:tcW w:type="dxa" w:w="2651"/>
            <w:shd w:val="clear" w:color="auto" w:fill="EDF1F6"/>
          </w:tcPr>
          <w:p>
            <w:pPr>
              <w:keepNext/>
              <w:jc w:val="center"/>
            </w:pPr>
            <w:r>
              <w:rPr>
                <w:sz w:val="14"/>
              </w:rPr>
              <w:t>93 %</w:t>
            </w:r>
          </w:p>
        </w:tc>
        <w:tc>
          <w:tcPr>
            <w:tcW w:type="dxa" w:w="1178"/>
            <w:shd w:val="clear" w:color="auto" w:fill="EDF1F6"/>
          </w:tcPr>
          <w:p>
            <w:pPr>
              <w:keepNext/>
              <w:jc w:val="center"/>
            </w:pPr>
            <w:r>
              <w:rPr>
                <w:sz w:val="14"/>
              </w:rPr>
              <w:t>Yes</w:t>
            </w:r>
          </w:p>
        </w:tc>
      </w:tr>
      <w:tr>
        <w:trPr>
          <w:cantSplit/>
        </w:trPr>
        <w:tc>
          <w:tcPr>
            <w:tcW w:type="dxa" w:w="2553"/>
          </w:tcPr>
          <w:p>
            <w:pPr>
              <w:keepNext/>
              <w:jc w:val="left"/>
            </w:pPr>
            <w:r>
              <w:rPr>
                <w:sz w:val="14"/>
              </w:rPr>
              <w:t>Fuentes [54]</w:t>
            </w:r>
          </w:p>
        </w:tc>
        <w:tc>
          <w:tcPr>
            <w:tcW w:type="dxa" w:w="1866"/>
          </w:tcPr>
          <w:p>
            <w:pPr>
              <w:keepNext/>
              <w:jc w:val="center"/>
            </w:pPr>
            <w:r>
              <w:rPr>
                <w:sz w:val="14"/>
              </w:rPr>
              <w:t>R-FCN + ResNet</w:t>
            </w:r>
          </w:p>
        </w:tc>
        <w:tc>
          <w:tcPr>
            <w:tcW w:type="dxa" w:w="2062"/>
          </w:tcPr>
          <w:p>
            <w:pPr>
              <w:keepNext/>
              <w:jc w:val="center"/>
            </w:pPr>
            <w:r>
              <w:rPr>
                <w:sz w:val="14"/>
              </w:rPr>
              <w:t>Tomato field</w:t>
            </w:r>
          </w:p>
        </w:tc>
        <w:tc>
          <w:tcPr>
            <w:tcW w:type="dxa" w:w="2651"/>
          </w:tcPr>
          <w:p>
            <w:pPr>
              <w:keepNext/>
              <w:jc w:val="center"/>
            </w:pPr>
            <w:r>
              <w:rPr>
                <w:sz w:val="14"/>
              </w:rPr>
              <w:t>mAP 85.98 %</w:t>
            </w:r>
          </w:p>
        </w:tc>
        <w:tc>
          <w:tcPr>
            <w:tcW w:type="dxa" w:w="1178"/>
          </w:tcPr>
          <w:p>
            <w:pPr>
              <w:keepNext/>
              <w:jc w:val="center"/>
            </w:pPr>
            <w:r>
              <w:rPr>
                <w:sz w:val="14"/>
              </w:rPr>
              <w:t>Yes</w:t>
            </w:r>
          </w:p>
        </w:tc>
      </w:tr>
      <w:tr>
        <w:trPr>
          <w:cantSplit/>
        </w:trPr>
        <w:tc>
          <w:tcPr>
            <w:tcW w:type="dxa" w:w="2553"/>
            <w:shd w:val="clear" w:color="auto" w:fill="EDF1F6"/>
          </w:tcPr>
          <w:p>
            <w:pPr>
              <w:keepNext/>
              <w:jc w:val="left"/>
            </w:pPr>
            <w:r>
              <w:rPr>
                <w:sz w:val="14"/>
              </w:rPr>
              <w:t>Salman [58]</w:t>
            </w:r>
          </w:p>
        </w:tc>
        <w:tc>
          <w:tcPr>
            <w:tcW w:type="dxa" w:w="1866"/>
            <w:shd w:val="clear" w:color="auto" w:fill="EDF1F6"/>
          </w:tcPr>
          <w:p>
            <w:pPr>
              <w:keepNext/>
              <w:jc w:val="center"/>
            </w:pPr>
            <w:r>
              <w:rPr>
                <w:sz w:val="14"/>
              </w:rPr>
              <w:t>ViT-based</w:t>
            </w:r>
          </w:p>
        </w:tc>
        <w:tc>
          <w:tcPr>
            <w:tcW w:type="dxa" w:w="2062"/>
            <w:shd w:val="clear" w:color="auto" w:fill="EDF1F6"/>
          </w:tcPr>
          <w:p>
            <w:pPr>
              <w:keepNext/>
              <w:jc w:val="center"/>
            </w:pPr>
            <w:r>
              <w:rPr>
                <w:sz w:val="14"/>
              </w:rPr>
              <w:t>PV → PlantDoc</w:t>
            </w:r>
          </w:p>
        </w:tc>
        <w:tc>
          <w:tcPr>
            <w:tcW w:type="dxa" w:w="2651"/>
            <w:shd w:val="clear" w:color="auto" w:fill="EDF1F6"/>
          </w:tcPr>
          <w:p>
            <w:pPr>
              <w:keepNext/>
              <w:jc w:val="center"/>
            </w:pPr>
            <w:r>
              <w:rPr>
                <w:sz w:val="14"/>
              </w:rPr>
              <w:t>68 % cross-domain</w:t>
            </w:r>
          </w:p>
        </w:tc>
        <w:tc>
          <w:tcPr>
            <w:tcW w:type="dxa" w:w="1178"/>
            <w:shd w:val="clear" w:color="auto" w:fill="EDF1F6"/>
          </w:tcPr>
          <w:p>
            <w:pPr>
              <w:keepNext/>
              <w:jc w:val="center"/>
            </w:pPr>
            <w:r>
              <w:rPr>
                <w:sz w:val="14"/>
              </w:rPr>
              <w:t>Yes</w:t>
            </w:r>
          </w:p>
        </w:tc>
      </w:tr>
      <w:tr>
        <w:trPr>
          <w:cantSplit/>
        </w:trPr>
        <w:tc>
          <w:tcPr>
            <w:tcW w:type="dxa" w:w="2553"/>
          </w:tcPr>
          <w:p>
            <w:pPr>
              <w:keepNext/>
              <w:jc w:val="left"/>
            </w:pPr>
            <w:r>
              <w:rPr>
                <w:sz w:val="14"/>
              </w:rPr>
              <w:t>Samanta [62]</w:t>
            </w:r>
          </w:p>
        </w:tc>
        <w:tc>
          <w:tcPr>
            <w:tcW w:type="dxa" w:w="1866"/>
          </w:tcPr>
          <w:p>
            <w:pPr>
              <w:keepNext/>
              <w:jc w:val="center"/>
            </w:pPr>
            <w:r>
              <w:rPr>
                <w:sz w:val="14"/>
              </w:rPr>
              <w:t>Compact CNN</w:t>
            </w:r>
          </w:p>
        </w:tc>
        <w:tc>
          <w:tcPr>
            <w:tcW w:type="dxa" w:w="2062"/>
          </w:tcPr>
          <w:p>
            <w:pPr>
              <w:keepNext/>
              <w:jc w:val="center"/>
            </w:pPr>
            <w:r>
              <w:rPr>
                <w:sz w:val="14"/>
              </w:rPr>
              <w:t>ESP32-CAM</w:t>
            </w:r>
          </w:p>
        </w:tc>
        <w:tc>
          <w:tcPr>
            <w:tcW w:type="dxa" w:w="2651"/>
          </w:tcPr>
          <w:p>
            <w:pPr>
              <w:keepNext/>
              <w:jc w:val="center"/>
            </w:pPr>
            <w:r>
              <w:rPr>
                <w:sz w:val="14"/>
              </w:rPr>
              <w:t>92 %</w:t>
            </w:r>
          </w:p>
        </w:tc>
        <w:tc>
          <w:tcPr>
            <w:tcW w:type="dxa" w:w="1178"/>
          </w:tcPr>
          <w:p>
            <w:pPr>
              <w:keepNext/>
              <w:jc w:val="center"/>
            </w:pPr>
            <w:r>
              <w:rPr>
                <w:sz w:val="14"/>
              </w:rPr>
              <w:t>No</w:t>
            </w:r>
          </w:p>
        </w:tc>
      </w:tr>
      <w:tr>
        <w:trPr>
          <w:cantSplit/>
        </w:trPr>
        <w:tc>
          <w:tcPr>
            <w:tcW w:type="dxa" w:w="2553"/>
            <w:shd w:val="clear" w:color="auto" w:fill="EDF1F6"/>
          </w:tcPr>
          <w:p>
            <w:pPr>
              <w:keepNext/>
              <w:jc w:val="left"/>
            </w:pPr>
            <w:r>
              <w:rPr>
                <w:sz w:val="14"/>
              </w:rPr>
              <w:t>Aqasizade [63]</w:t>
            </w:r>
          </w:p>
        </w:tc>
        <w:tc>
          <w:tcPr>
            <w:tcW w:type="dxa" w:w="1866"/>
            <w:shd w:val="clear" w:color="auto" w:fill="EDF1F6"/>
          </w:tcPr>
          <w:p>
            <w:pPr>
              <w:keepNext/>
              <w:jc w:val="center"/>
            </w:pPr>
            <w:r>
              <w:rPr>
                <w:sz w:val="14"/>
              </w:rPr>
              <w:t>Quantised CNN</w:t>
            </w:r>
          </w:p>
        </w:tc>
        <w:tc>
          <w:tcPr>
            <w:tcW w:type="dxa" w:w="2062"/>
            <w:shd w:val="clear" w:color="auto" w:fill="EDF1F6"/>
          </w:tcPr>
          <w:p>
            <w:pPr>
              <w:keepNext/>
              <w:jc w:val="center"/>
            </w:pPr>
            <w:r>
              <w:rPr>
                <w:sz w:val="14"/>
              </w:rPr>
              <w:t>ESP32-S3</w:t>
            </w:r>
          </w:p>
        </w:tc>
        <w:tc>
          <w:tcPr>
            <w:tcW w:type="dxa" w:w="2651"/>
            <w:shd w:val="clear" w:color="auto" w:fill="EDF1F6"/>
          </w:tcPr>
          <w:p>
            <w:pPr>
              <w:keepNext/>
              <w:jc w:val="center"/>
            </w:pPr>
            <w:r>
              <w:rPr>
                <w:sz w:val="14"/>
              </w:rPr>
              <w:t>94.6 %, F1 0.94</w:t>
            </w:r>
          </w:p>
        </w:tc>
        <w:tc>
          <w:tcPr>
            <w:tcW w:type="dxa" w:w="1178"/>
            <w:shd w:val="clear" w:color="auto" w:fill="EDF1F6"/>
          </w:tcPr>
          <w:p>
            <w:pPr>
              <w:keepNext/>
              <w:jc w:val="center"/>
            </w:pPr>
            <w:r>
              <w:rPr>
                <w:sz w:val="14"/>
              </w:rPr>
              <w:t>7-day</w:t>
            </w:r>
          </w:p>
        </w:tc>
      </w:tr>
      <w:tr>
        <w:trPr>
          <w:cantSplit/>
        </w:trPr>
        <w:tc>
          <w:tcPr>
            <w:tcW w:type="dxa" w:w="2553"/>
          </w:tcPr>
          <w:p>
            <w:pPr>
              <w:jc w:val="left"/>
            </w:pPr>
            <w:r>
              <w:rPr>
                <w:sz w:val="14"/>
              </w:rPr>
              <w:t>Nyakuri [64]</w:t>
            </w:r>
          </w:p>
        </w:tc>
        <w:tc>
          <w:tcPr>
            <w:tcW w:type="dxa" w:w="1866"/>
          </w:tcPr>
          <w:p>
            <w:pPr>
              <w:jc w:val="center"/>
            </w:pPr>
            <w:r>
              <w:rPr>
                <w:sz w:val="14"/>
              </w:rPr>
              <w:t>CNN</w:t>
            </w:r>
          </w:p>
        </w:tc>
        <w:tc>
          <w:tcPr>
            <w:tcW w:type="dxa" w:w="2062"/>
          </w:tcPr>
          <w:p>
            <w:pPr>
              <w:jc w:val="center"/>
            </w:pPr>
            <w:r>
              <w:rPr>
                <w:sz w:val="14"/>
              </w:rPr>
              <w:t>Raspberry Pi 5</w:t>
            </w:r>
          </w:p>
        </w:tc>
        <w:tc>
          <w:tcPr>
            <w:tcW w:type="dxa" w:w="2651"/>
          </w:tcPr>
          <w:p>
            <w:pPr>
              <w:jc w:val="center"/>
            </w:pPr>
            <w:r>
              <w:rPr>
                <w:sz w:val="14"/>
              </w:rPr>
              <w:t>98.6 %, 16 ms</w:t>
            </w:r>
          </w:p>
        </w:tc>
        <w:tc>
          <w:tcPr>
            <w:tcW w:type="dxa" w:w="1178"/>
          </w:tcPr>
          <w:p>
            <w:pPr>
              <w:jc w:val="center"/>
            </w:pPr>
            <w:r>
              <w:rPr>
                <w:sz w:val="14"/>
              </w:rPr>
              <w:t>n/s</w:t>
            </w:r>
          </w:p>
        </w:tc>
      </w:tr>
    </w:tbl>
    <w:p>
      <w:pPr>
        <w:spacing w:after="120"/>
      </w:pPr>
    </w:p>
    <w:p>
      <w:pPr>
        <w:sectPr>
          <w:type w:val="continuous"/>
          <w:pgSz w:w="12240" w:h="15840"/>
          <w:pgMar w:top="1080" w:right="965" w:bottom="1152" w:left="965" w:header="504" w:footer="720" w:gutter="0"/>
          <w:docGrid w:linePitch="360"/>
          <w:cols w:num="1" w:space="360"/>
        </w:sectPr>
      </w:pPr>
    </w:p>
    <w:p>
      <w:pPr>
        <w:keepNext/>
        <w:spacing w:before="160" w:after="60"/>
      </w:pPr>
      <w:r>
        <w:rPr>
          <w:b/>
          <w:color w:val="1B3A6B"/>
          <w:sz w:val="19"/>
        </w:rPr>
        <w:t>VII. DOMAIN SHIFT AND EVALUATION PITFALLS</w:t>
      </w:r>
    </w:p>
    <w:p>
      <w:pPr>
        <w:keepNext/>
        <w:spacing w:before="100" w:after="40"/>
      </w:pPr>
      <w:r>
        <w:rPr>
          <w:b/>
          <w:color w:val="1B3A6B"/>
          <w:sz w:val="17"/>
        </w:rPr>
        <w:t>A. THE LABORATORY-TO-FIELD GAP</w:t>
      </w:r>
    </w:p>
    <w:p>
      <w:pPr>
        <w:spacing w:after="0"/>
        <w:ind w:firstLine="216"/>
        <w:jc w:val="both"/>
      </w:pPr>
      <w:r>
        <w:t>The most important result in this literature is negative. Mohanty et al. themselves observed accuracy falling from 99.35 % to 31.4 % when their PlantVillage-trained network was applied to images from other sources [10]. On PlantDoc, the cross-domain state of the art for a PlantVillage-trained model is about 68 %, against 48 % for ViT-Base, 43 % for EfficientNet and 41 % for InceptionV3 [58] (Fig. 2). Barbedo attributes the gap to background clutter, illumination, capture variability and co-occurring symptoms absent from laboratory images [65], [66]; Picon et al. showed that training on images captured in the wild with mobile devices substantially improves field performance [67]. We define the gap on the same weights as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1103726" cy="187223"/>
                  <wp:docPr id="3" name="Picture 3"/>
                  <wp:cNvGraphicFramePr>
                    <a:graphicFrameLocks noChangeAspect="1"/>
                  </wp:cNvGraphicFramePr>
                  <a:graphic>
                    <a:graphicData uri="http://schemas.openxmlformats.org/drawingml/2006/picture">
                      <pic:pic>
                        <pic:nvPicPr>
                          <pic:cNvPr id="0" name="6611707313219842868.png"/>
                          <pic:cNvPicPr/>
                        </pic:nvPicPr>
                        <pic:blipFill>
                          <a:blip r:embed="rId13"/>
                          <a:stretch>
                            <a:fillRect/>
                          </a:stretch>
                        </pic:blipFill>
                        <pic:spPr>
                          <a:xfrm>
                            <a:off x="0" y="0"/>
                            <a:ext cx="1103726" cy="187223"/>
                          </a:xfrm>
                          <a:prstGeom prst="rect"/>
                        </pic:spPr>
                      </pic:pic>
                    </a:graphicData>
                  </a:graphic>
                </wp:inline>
              </w:drawing>
            </w:r>
          </w:p>
        </w:tc>
        <w:tc>
          <w:tcPr>
            <w:tcW w:type="dxa" w:w="648"/>
          </w:tcPr>
          <w:p>
            <w:pPr>
              <w:jc w:val="right"/>
            </w:pPr>
            <w:r>
              <w:t>(2)</w:t>
            </w:r>
          </w:p>
        </w:tc>
      </w:tr>
    </w:tbl>
    <w:p>
      <w:pPr>
        <w:spacing w:after="0"/>
        <w:ind w:firstLine="216"/>
        <w:jc w:val="both"/>
      </w:pPr>
      <w:r>
        <w:t>and recommend reporting it with both operands, never as a ratio. The phenomenon is an instance of general distribution shift [68]–[71] and of shortcut learning on backgrounds [72].</w:t>
      </w:r>
    </w:p>
    <w:p>
      <w:pPr>
        <w:keepNext/>
        <w:spacing w:before="120"/>
        <w:jc w:val="center"/>
      </w:pPr>
      <w:r>
        <w:drawing>
          <wp:inline xmlns:a="http://schemas.openxmlformats.org/drawingml/2006/main" xmlns:pic="http://schemas.openxmlformats.org/drawingml/2006/picture">
            <wp:extent cx="3154680" cy="2491594"/>
            <wp:docPr id="4" name="Picture 4"/>
            <wp:cNvGraphicFramePr>
              <a:graphicFrameLocks noChangeAspect="1"/>
            </wp:cNvGraphicFramePr>
            <a:graphic>
              <a:graphicData uri="http://schemas.openxmlformats.org/drawingml/2006/picture">
                <pic:pic>
                  <pic:nvPicPr>
                    <pic:cNvPr id="0" name="fig_gap.png"/>
                    <pic:cNvPicPr/>
                  </pic:nvPicPr>
                  <pic:blipFill>
                    <a:blip r:embed="rId14"/>
                    <a:stretch>
                      <a:fillRect/>
                    </a:stretch>
                  </pic:blipFill>
                  <pic:spPr>
                    <a:xfrm>
                      <a:off x="0" y="0"/>
                      <a:ext cx="3154680" cy="2491594"/>
                    </a:xfrm>
                    <a:prstGeom prst="rect"/>
                  </pic:spPr>
                </pic:pic>
              </a:graphicData>
            </a:graphic>
          </wp:inline>
        </w:drawing>
      </w:r>
    </w:p>
    <w:p>
      <w:pPr>
        <w:spacing w:after="160"/>
        <w:jc w:val="both"/>
      </w:pPr>
      <w:r>
        <w:rPr>
          <w:b/>
          <w:color w:val="1B3A6B"/>
          <w:sz w:val="16"/>
        </w:rPr>
        <w:t xml:space="preserve">FIGURE 2. </w:t>
      </w:r>
      <w:r>
        <w:rPr>
          <w:sz w:val="16"/>
        </w:rPr>
        <w:t>Published laboratory versus field/cross-domain accuracy [10], [58]. The two rightmost bars are the AgriSense case study of Section XI; its field value is not yet measured.</w:t>
      </w:r>
    </w:p>
    <w:p>
      <w:pPr>
        <w:keepNext/>
        <w:spacing w:before="100" w:after="40"/>
      </w:pPr>
      <w:r>
        <w:rPr>
          <w:b/>
          <w:color w:val="1B3A6B"/>
          <w:sz w:val="17"/>
        </w:rPr>
        <w:t>B. DATA LEAKAGE</w:t>
      </w:r>
    </w:p>
    <w:p>
      <w:pPr>
        <w:spacing w:after="0"/>
        <w:ind w:firstLine="216"/>
        <w:jc w:val="both"/>
      </w:pPr>
      <w:r>
        <w:t>Laboratory corpora contain several photographs of the same leaf. A random split places these near-duplicates in both training and test partitions, inflating accuracy without improving generalisation; leakage of this kind is now recognised as a leading cause of irreproducible machine-learning results [73]. Perceptual hashing [74] offers a cheap remedy: images whose 64-bit hashes differ in at most τ bits,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748893" cy="164043"/>
                  <wp:docPr id="5" name="Picture 5"/>
                  <wp:cNvGraphicFramePr>
                    <a:graphicFrameLocks noChangeAspect="1"/>
                  </wp:cNvGraphicFramePr>
                  <a:graphic>
                    <a:graphicData uri="http://schemas.openxmlformats.org/drawingml/2006/picture">
                      <pic:pic>
                        <pic:nvPicPr>
                          <pic:cNvPr id="0" name="7546426365965883488.png"/>
                          <pic:cNvPicPr/>
                        </pic:nvPicPr>
                        <pic:blipFill>
                          <a:blip r:embed="rId15"/>
                          <a:stretch>
                            <a:fillRect/>
                          </a:stretch>
                        </pic:blipFill>
                        <pic:spPr>
                          <a:xfrm>
                            <a:off x="0" y="0"/>
                            <a:ext cx="748893" cy="164043"/>
                          </a:xfrm>
                          <a:prstGeom prst="rect"/>
                        </pic:spPr>
                      </pic:pic>
                    </a:graphicData>
                  </a:graphic>
                </wp:inline>
              </w:drawing>
            </w:r>
          </w:p>
        </w:tc>
        <w:tc>
          <w:tcPr>
            <w:tcW w:type="dxa" w:w="648"/>
          </w:tcPr>
          <w:p>
            <w:pPr>
              <w:jc w:val="right"/>
            </w:pPr>
            <w:r>
              <w:t>(3)</w:t>
            </w:r>
          </w:p>
        </w:tc>
      </w:tr>
    </w:tbl>
    <w:p>
      <w:pPr>
        <w:spacing w:after="0"/>
        <w:ind w:firstLine="216"/>
        <w:jc w:val="both"/>
      </w:pPr>
      <w:r>
        <w:t>are grouped, and each group is assigned to a single partition.</w:t>
      </w:r>
    </w:p>
    <w:p>
      <w:pPr>
        <w:keepNext/>
        <w:spacing w:before="100" w:after="40"/>
      </w:pPr>
      <w:r>
        <w:rPr>
          <w:b/>
          <w:color w:val="1B3A6B"/>
          <w:sz w:val="17"/>
        </w:rPr>
        <w:t>C. RECOMMENDATIONS</w:t>
      </w:r>
    </w:p>
    <w:p>
      <w:pPr>
        <w:spacing w:after="20"/>
        <w:ind w:left="288" w:hanging="202"/>
        <w:jc w:val="both"/>
      </w:pPr>
      <w:r>
        <w:t xml:space="preserve">•  </w:t>
      </w:r>
      <w:r>
        <w:t xml:space="preserve">Report at least one </w:t>
      </w:r>
      <w:r>
        <w:rPr>
          <w:b/>
        </w:rPr>
        <w:t>cross-domain or field test set</w:t>
      </w:r>
      <w:r>
        <w:t xml:space="preserve"> never used for training or model selection.</w:t>
      </w:r>
    </w:p>
    <w:p>
      <w:pPr>
        <w:spacing w:after="20"/>
        <w:ind w:left="288" w:hanging="202"/>
        <w:jc w:val="both"/>
      </w:pPr>
      <w:r>
        <w:t xml:space="preserve">•  </w:t>
      </w:r>
      <w:r>
        <w:t xml:space="preserve">Use </w:t>
      </w:r>
      <w:r>
        <w:rPr>
          <w:b/>
        </w:rPr>
        <w:t>duplicate-group-aware splits</w:t>
      </w:r>
      <w:r>
        <w:t xml:space="preserve"> and state the de-duplication method and threshold.</w:t>
      </w:r>
    </w:p>
    <w:p>
      <w:pPr>
        <w:spacing w:after="20"/>
        <w:ind w:left="288" w:hanging="202"/>
        <w:jc w:val="both"/>
      </w:pPr>
      <w:r>
        <w:t xml:space="preserve">•  </w:t>
      </w:r>
      <w:r>
        <w:t xml:space="preserve">Report </w:t>
      </w:r>
      <w:r>
        <w:rPr>
          <w:b/>
        </w:rPr>
        <w:t>macro-F1</w:t>
      </w:r>
      <w:r>
        <w:t xml:space="preserve"> alongside accuracy, because disease taxonomies are imbalanced.</w:t>
      </w:r>
    </w:p>
    <w:p>
      <w:pPr>
        <w:spacing w:after="20"/>
        <w:ind w:left="288" w:hanging="202"/>
        <w:jc w:val="both"/>
      </w:pPr>
      <w:r>
        <w:t xml:space="preserve">•  </w:t>
      </w:r>
      <w:r>
        <w:t xml:space="preserve">Report </w:t>
      </w:r>
      <w:r>
        <w:rPr>
          <w:b/>
        </w:rPr>
        <w:t>variation across seeds</w:t>
      </w:r>
      <w:r>
        <w:t xml:space="preserve"> and test differences with paired statistics [75].</w:t>
      </w:r>
    </w:p>
    <w:p>
      <w:pPr>
        <w:spacing w:after="20"/>
        <w:ind w:left="288" w:hanging="202"/>
        <w:jc w:val="both"/>
      </w:pPr>
      <w:r>
        <w:t xml:space="preserve">•  </w:t>
      </w:r>
      <w:r>
        <w:t xml:space="preserve">Treat field accuracy above ~90 % from a laboratory-trained model as a </w:t>
      </w:r>
      <w:r>
        <w:rPr>
          <w:b/>
        </w:rPr>
        <w:t>red flag for leakage</w:t>
      </w:r>
      <w:r>
        <w:t>.</w:t>
      </w:r>
    </w:p>
    <w:p>
      <w:pPr>
        <w:keepNext/>
        <w:spacing w:before="160" w:after="60"/>
      </w:pPr>
      <w:r>
        <w:rPr>
          <w:b/>
          <w:color w:val="1B3A6B"/>
          <w:sz w:val="19"/>
        </w:rPr>
        <w:t>VIII. EDGE AI AND TINYML</w:t>
      </w:r>
    </w:p>
    <w:p>
      <w:pPr>
        <w:keepNext/>
        <w:spacing w:before="100" w:after="40"/>
      </w:pPr>
      <w:r>
        <w:rPr>
          <w:b/>
          <w:color w:val="1B3A6B"/>
          <w:sz w:val="17"/>
        </w:rPr>
        <w:t>A. WHY THE EDGE</w:t>
      </w:r>
    </w:p>
    <w:p>
      <w:pPr>
        <w:spacing w:after="0"/>
        <w:ind w:firstLine="216"/>
        <w:jc w:val="both"/>
      </w:pPr>
      <w:r>
        <w:t>Running inference on or near the sensor removes dependence on connectivity, reduces bandwidth and latency, and keeps images local [29], [30]. TinyML pushes this to microcontrollers with hundreds of kilobytes of SRAM [13], [76], [77]. Key enablers are integer quantization [78], [79], interpreters such as TensorFlow Lite Micro [80], memory-aware architecture search (MCUNet [14]) and patch-based inference that cuts peak activation memory [81]. MLPerf Tiny standardises benchmarking [82].</w:t>
      </w:r>
    </w:p>
    <w:p>
      <w:pPr>
        <w:keepNext/>
        <w:spacing w:before="100" w:after="40"/>
      </w:pPr>
      <w:r>
        <w:rPr>
          <w:b/>
          <w:color w:val="1B3A6B"/>
          <w:sz w:val="17"/>
        </w:rPr>
        <w:t>B. THE ESP32 FEASIBILITY CONTRADICTION</w:t>
      </w:r>
    </w:p>
    <w:p>
      <w:pPr>
        <w:spacing w:after="0"/>
        <w:ind w:firstLine="216"/>
        <w:jc w:val="both"/>
      </w:pPr>
      <w:r>
        <w:t xml:space="preserve">Published results disagree on whether disease classification fits ESP32-class parts. Nyakuri et al. report that ESP32-CAM, Raspberry Pi Pico and Arduino Nano 33 BLE Sense could not run their model and selected a Raspberry Pi 5 (98.6 %, 16 ms, about US$80) [64]; Samanta et al. run a classifier on ESP32-CAM at 92 % [62]; and Aqasizade et al. deploy a quantised model on ESP32-S3 at 94.6 % accuracy and 0.94 macro-F1 with a seven-day field deployment [63]. These are not contradictory once the binding constraint is made explicit. For an input of side </w:t>
      </w:r>
      <w:r>
        <w:rPr>
          <w:i/>
        </w:rPr>
        <w:t>r</w:t>
      </w:r>
      <w:r>
        <w:t xml:space="preserve">, </w:t>
      </w:r>
      <w:r>
        <w:rPr>
          <w:i/>
        </w:rPr>
        <w:t>c</w:t>
      </w:r>
      <w:r>
        <w:t xml:space="preserve"> channels and </w:t>
      </w:r>
      <w:r>
        <w:rPr>
          <w:i/>
        </w:rPr>
        <w:t>b</w:t>
      </w:r>
      <w:r>
        <w:t xml:space="preserve"> bytes per element, the input activation alone needs</w:t>
      </w:r>
    </w:p>
    <w:tbl>
      <w:tblPr>
        <w:tblW w:type="auto" w:w="0"/>
        <w:jc w:val="center"/>
        <w:tblLayout w:type="fixed"/>
        <w:tblLook w:firstColumn="1" w:firstRow="1" w:lastColumn="0" w:lastRow="0" w:noHBand="0" w:noVBand="1" w:val="04A0"/>
      </w:tblPr>
      <w:tblGrid>
        <w:gridCol w:w="5155"/>
        <w:gridCol w:w="5155"/>
      </w:tblGrid>
      <w:tr>
        <w:tc>
          <w:tcPr>
            <w:tcW w:type="dxa" w:w="4320"/>
          </w:tcPr>
          <w:p>
            <w:pPr>
              <w:spacing w:before="60" w:after="60"/>
              <w:jc w:val="center"/>
            </w:pPr>
            <w:r>
              <w:drawing>
                <wp:inline xmlns:a="http://schemas.openxmlformats.org/drawingml/2006/main" xmlns:pic="http://schemas.openxmlformats.org/drawingml/2006/picture">
                  <wp:extent cx="718581" cy="172959"/>
                  <wp:docPr id="6" name="Picture 6"/>
                  <wp:cNvGraphicFramePr>
                    <a:graphicFrameLocks noChangeAspect="1"/>
                  </wp:cNvGraphicFramePr>
                  <a:graphic>
                    <a:graphicData uri="http://schemas.openxmlformats.org/drawingml/2006/picture">
                      <pic:pic>
                        <pic:nvPicPr>
                          <pic:cNvPr id="0" name="2594115937039699167.png"/>
                          <pic:cNvPicPr/>
                        </pic:nvPicPr>
                        <pic:blipFill>
                          <a:blip r:embed="rId16"/>
                          <a:stretch>
                            <a:fillRect/>
                          </a:stretch>
                        </pic:blipFill>
                        <pic:spPr>
                          <a:xfrm>
                            <a:off x="0" y="0"/>
                            <a:ext cx="718581" cy="172959"/>
                          </a:xfrm>
                          <a:prstGeom prst="rect"/>
                        </pic:spPr>
                      </pic:pic>
                    </a:graphicData>
                  </a:graphic>
                </wp:inline>
              </w:drawing>
            </w:r>
          </w:p>
        </w:tc>
        <w:tc>
          <w:tcPr>
            <w:tcW w:type="dxa" w:w="648"/>
          </w:tcPr>
          <w:p>
            <w:pPr>
              <w:jc w:val="right"/>
            </w:pPr>
            <w:r>
              <w:t>(4)</w:t>
            </w:r>
          </w:p>
        </w:tc>
      </w:tr>
    </w:tbl>
    <w:p>
      <w:pPr>
        <w:spacing w:after="0"/>
        <w:ind w:firstLine="216"/>
        <w:jc w:val="both"/>
      </w:pPr>
      <w:r>
        <w:t>which at 224×224×3 in FP32 is 588 KiB, already above the 520 KiB SRAM of the base ESP32 [83]. Feasibility is therefore a surface over class count, resolution, precision and chip (with or without PSRAM), not a yes/no property of a board (Fig. 3). We recommend that edge papers report all four together with peak RAM, flash, latency and energy per inference.</w:t>
      </w:r>
    </w:p>
    <w:p>
      <w:pPr>
        <w:keepNext/>
        <w:spacing w:before="120"/>
        <w:jc w:val="center"/>
      </w:pPr>
      <w:r>
        <w:drawing>
          <wp:inline xmlns:a="http://schemas.openxmlformats.org/drawingml/2006/main" xmlns:pic="http://schemas.openxmlformats.org/drawingml/2006/picture">
            <wp:extent cx="3154680" cy="2270566"/>
            <wp:docPr id="7" name="Picture 7"/>
            <wp:cNvGraphicFramePr>
              <a:graphicFrameLocks noChangeAspect="1"/>
            </wp:cNvGraphicFramePr>
            <a:graphic>
              <a:graphicData uri="http://schemas.openxmlformats.org/drawingml/2006/picture">
                <pic:pic>
                  <pic:nvPicPr>
                    <pic:cNvPr id="0" name="fig_memory.png"/>
                    <pic:cNvPicPr/>
                  </pic:nvPicPr>
                  <pic:blipFill>
                    <a:blip r:embed="rId17"/>
                    <a:stretch>
                      <a:fillRect/>
                    </a:stretch>
                  </pic:blipFill>
                  <pic:spPr>
                    <a:xfrm>
                      <a:off x="0" y="0"/>
                      <a:ext cx="3154680" cy="2270566"/>
                    </a:xfrm>
                    <a:prstGeom prst="rect"/>
                  </pic:spPr>
                </pic:pic>
              </a:graphicData>
            </a:graphic>
          </wp:inline>
        </w:drawing>
      </w:r>
    </w:p>
    <w:p>
      <w:pPr>
        <w:spacing w:after="160"/>
        <w:jc w:val="both"/>
      </w:pPr>
      <w:r>
        <w:rPr>
          <w:b/>
          <w:color w:val="1B3A6B"/>
          <w:sz w:val="16"/>
        </w:rPr>
        <w:t xml:space="preserve">FIGURE 3. </w:t>
      </w:r>
      <w:r>
        <w:rPr>
          <w:sz w:val="16"/>
        </w:rPr>
        <w:t>Footprint of a 1.57 M-parameter YOLO11n-cls classifier versus ESP32-family memory (case study of Section XI).</w:t>
      </w:r>
    </w:p>
    <w:p>
      <w:pPr>
        <w:keepNext/>
        <w:spacing w:before="160" w:after="60"/>
      </w:pPr>
      <w:r>
        <w:rPr>
          <w:b/>
          <w:color w:val="1B3A6B"/>
          <w:sz w:val="19"/>
        </w:rPr>
        <w:t>IX. LARGE LANGUAGE MODELS FOR AGRICULTURAL ADVISORY</w:t>
      </w:r>
    </w:p>
    <w:p>
      <w:pPr>
        <w:spacing w:after="0"/>
        <w:ind w:firstLine="216"/>
        <w:jc w:val="both"/>
      </w:pPr>
      <w:r>
        <w:t>LLMs can translate agronomic knowledge into conversational, localised advice. Tzachor et al. tested GPT-based models for cassava extension advice in Nigeria, found useful but sometimes inaccurate output, and proposed a design process with human experts in the loop [11]. Silva et al. evaluated GPT-4 on agriculture examinations [84]. Balaguer et al. compared retrieval-augmented generation (RAG) [85] with fine-tuning on agricultural data and found that fine-tuning improved accuracy by over six percentage points, with RAG adding about five more [86]. Li et al. survey language, vision, multimodal and reinforcement-learning foundation models for agriculture [12].</w:t>
      </w:r>
    </w:p>
    <w:p>
      <w:pPr>
        <w:spacing w:after="0"/>
        <w:ind w:firstLine="216"/>
        <w:jc w:val="both"/>
      </w:pPr>
      <w:r>
        <w:t xml:space="preserve">Three design patterns recur in deployed systems: </w:t>
      </w:r>
      <w:r>
        <w:rPr>
          <w:b/>
        </w:rPr>
        <w:t>grounding</w:t>
      </w:r>
      <w:r>
        <w:t xml:space="preserve"> the model in live measurements (sensor telemetry, location, crop stage) so that advice is specific; </w:t>
      </w:r>
      <w:r>
        <w:rPr>
          <w:b/>
        </w:rPr>
        <w:t>schema-constrained output</w:t>
      </w:r>
      <w:r>
        <w:t xml:space="preserve"> so that diagnoses can be parsed, validated and displayed consistently; and </w:t>
      </w:r>
      <w:r>
        <w:rPr>
          <w:b/>
        </w:rPr>
        <w:t>human oversight</w:t>
      </w:r>
      <w:r>
        <w:t xml:space="preserve"> for high-stakes recommendations such as pesticide use. Open problems include hallucinated treatments, regional regulatory differences, low-resource languages, offline operation, and evaluation: few agricultural LLM systems report accuracy against expert-validated answers.</w:t>
      </w:r>
    </w:p>
    <w:p>
      <w:pPr>
        <w:keepNext/>
        <w:spacing w:before="160" w:after="60"/>
      </w:pPr>
      <w:r>
        <w:rPr>
          <w:b/>
          <w:color w:val="1B3A6B"/>
          <w:sz w:val="19"/>
        </w:rPr>
        <w:t>X. SECURITY, PRIVACY AND MULTI-TENANCY</w:t>
      </w:r>
    </w:p>
    <w:p>
      <w:pPr>
        <w:spacing w:after="0"/>
        <w:ind w:firstLine="216"/>
        <w:jc w:val="both"/>
      </w:pPr>
      <w:r>
        <w:t>Smart farms expose physical actuators and commercially sensitive data. Gupta et al. review threats across the smart-farming stack, from device tampering and wireless attacks to data-integrity and privacy risks [22]; Ferrag et al. survey security for green IoT-based agriculture including blockchain-based approaches [87]. Practical baseline controls are: per-device credentials and pairing that requires physical possession; token-authenticated APIs; row-level data isolation between tenants; keeping third-party API keys server-side; and, for actuators, safety interlocks on the device that no remote command can override.</w:t>
      </w:r>
    </w:p>
    <w:p>
      <w:pPr>
        <w:keepNext/>
        <w:spacing w:before="160" w:after="60"/>
      </w:pPr>
      <w:r>
        <w:rPr>
          <w:b/>
          <w:color w:val="1B3A6B"/>
          <w:sz w:val="19"/>
        </w:rPr>
        <w:t>XI. CASE STUDY: AGRISENSE AI REFERENCE IMPLEMENTATION</w:t>
      </w:r>
    </w:p>
    <w:p>
      <w:pPr>
        <w:spacing w:after="0"/>
        <w:ind w:firstLine="216"/>
        <w:jc w:val="both"/>
      </w:pPr>
      <w:r>
        <w:t>To ground the survey's recommendations we summarise AgriSense AI, an open implementation by the authors that integrates the five branches (Fig. 4).</w:t>
      </w:r>
    </w:p>
    <w:p>
      <w:pPr>
        <w:sectPr>
          <w:type w:val="continuous"/>
          <w:pgSz w:w="12240" w:h="15840"/>
          <w:pgMar w:top="1080" w:right="965" w:bottom="1152" w:left="965" w:header="504" w:footer="720" w:gutter="0"/>
          <w:docGrid w:linePitch="360"/>
          <w:cols w:num="2" w:space="360"/>
        </w:sectPr>
      </w:pPr>
    </w:p>
    <w:p>
      <w:pPr>
        <w:keepNext/>
        <w:spacing w:before="120"/>
        <w:jc w:val="center"/>
      </w:pPr>
      <w:r>
        <w:drawing>
          <wp:inline xmlns:a="http://schemas.openxmlformats.org/drawingml/2006/main" xmlns:pic="http://schemas.openxmlformats.org/drawingml/2006/picture">
            <wp:extent cx="6547104" cy="2722152"/>
            <wp:docPr id="8" name="Picture 8"/>
            <wp:cNvGraphicFramePr>
              <a:graphicFrameLocks noChangeAspect="1"/>
            </wp:cNvGraphicFramePr>
            <a:graphic>
              <a:graphicData uri="http://schemas.openxmlformats.org/drawingml/2006/picture">
                <pic:pic>
                  <pic:nvPicPr>
                    <pic:cNvPr id="0" name="fig_architecture.png"/>
                    <pic:cNvPicPr/>
                  </pic:nvPicPr>
                  <pic:blipFill>
                    <a:blip r:embed="rId18"/>
                    <a:stretch>
                      <a:fillRect/>
                    </a:stretch>
                  </pic:blipFill>
                  <pic:spPr>
                    <a:xfrm>
                      <a:off x="0" y="0"/>
                      <a:ext cx="6547104" cy="2722152"/>
                    </a:xfrm>
                    <a:prstGeom prst="rect"/>
                  </pic:spPr>
                </pic:pic>
              </a:graphicData>
            </a:graphic>
          </wp:inline>
        </w:drawing>
      </w:r>
    </w:p>
    <w:p>
      <w:pPr>
        <w:spacing w:after="160"/>
        <w:jc w:val="both"/>
      </w:pPr>
      <w:r>
        <w:rPr>
          <w:b/>
          <w:color w:val="1B3A6B"/>
          <w:sz w:val="16"/>
        </w:rPr>
        <w:t xml:space="preserve">FIGURE 4. </w:t>
      </w:r>
      <w:r>
        <w:rPr>
          <w:sz w:val="16"/>
        </w:rPr>
        <w:t>AgriSense AI three-tier architecture: ESP32 sensor node and ESP32-CAM, managed PostgreSQL with row-level security, FastAPI backend, web and mobile clients.</w:t>
      </w:r>
    </w:p>
    <w:p>
      <w:pPr>
        <w:sectPr>
          <w:type w:val="continuous"/>
          <w:pgSz w:w="12240" w:h="15840"/>
          <w:pgMar w:top="1080" w:right="965" w:bottom="1152" w:left="965" w:header="504" w:footer="720" w:gutter="0"/>
          <w:docGrid w:linePitch="360"/>
          <w:cols w:num="1" w:space="360"/>
        </w:sectPr>
      </w:pPr>
    </w:p>
    <w:p>
      <w:pPr>
        <w:sectPr>
          <w:type w:val="continuous"/>
          <w:pgSz w:w="12240" w:h="15840"/>
          <w:pgMar w:top="1080" w:right="965" w:bottom="1152" w:left="965" w:header="504" w:footer="720" w:gutter="0"/>
          <w:docGrid w:linePitch="360"/>
          <w:cols w:num="2" w:space="360"/>
        </w:sectPr>
      </w:pPr>
    </w:p>
    <w:p>
      <w:pPr>
        <w:keepNext/>
        <w:spacing w:before="120" w:after="60"/>
        <w:jc w:val="center"/>
      </w:pPr>
      <w:r>
        <w:rPr>
          <w:b/>
          <w:color w:val="1B3A6B"/>
          <w:sz w:val="16"/>
        </w:rPr>
        <w:t xml:space="preserve">TABLE 6. </w:t>
      </w:r>
      <w:r>
        <w:rPr>
          <w:sz w:val="16"/>
        </w:rPr>
        <w:t>Mapping survey findings to the AgriSense implementation.</w:t>
      </w:r>
    </w:p>
    <w:tbl>
      <w:tblPr>
        <w:tblStyle w:val="TableGrid"/>
        <w:tblW w:type="auto" w:w="0"/>
        <w:jc w:val="center"/>
        <w:tblLook w:firstColumn="1" w:firstRow="1" w:lastColumn="0" w:lastRow="0" w:noHBand="0" w:noVBand="1" w:val="04A0"/>
      </w:tblPr>
      <w:tblGrid>
        <w:gridCol w:w="3437"/>
        <w:gridCol w:w="3437"/>
        <w:gridCol w:w="3437"/>
      </w:tblGrid>
      <w:tr>
        <w:trPr>
          <w:cantSplit/>
        </w:trPr>
        <w:tc>
          <w:tcPr>
            <w:tcW w:type="dxa" w:w="2532"/>
            <w:shd w:val="clear" w:color="auto" w:fill="1B3A6B"/>
          </w:tcPr>
          <w:p>
            <w:pPr>
              <w:keepNext/>
              <w:jc w:val="left"/>
            </w:pPr>
            <w:r>
              <w:rPr>
                <w:b/>
                <w:color w:val="FFFFFF"/>
                <w:sz w:val="14"/>
              </w:rPr>
              <w:t>Survey finding</w:t>
            </w:r>
          </w:p>
        </w:tc>
        <w:tc>
          <w:tcPr>
            <w:tcW w:type="dxa" w:w="5427"/>
            <w:shd w:val="clear" w:color="auto" w:fill="1B3A6B"/>
          </w:tcPr>
          <w:p>
            <w:pPr>
              <w:keepNext/>
              <w:jc w:val="center"/>
            </w:pPr>
            <w:r>
              <w:rPr>
                <w:b/>
                <w:color w:val="FFFFFF"/>
                <w:sz w:val="14"/>
              </w:rPr>
              <w:t>AgriSense design response</w:t>
            </w:r>
          </w:p>
        </w:tc>
        <w:tc>
          <w:tcPr>
            <w:tcW w:type="dxa" w:w="2351"/>
            <w:shd w:val="clear" w:color="auto" w:fill="1B3A6B"/>
          </w:tcPr>
          <w:p>
            <w:pPr>
              <w:keepNext/>
              <w:jc w:val="center"/>
            </w:pPr>
            <w:r>
              <w:rPr>
                <w:b/>
                <w:color w:val="FFFFFF"/>
                <w:sz w:val="14"/>
              </w:rPr>
              <w:t>Status</w:t>
            </w:r>
          </w:p>
        </w:tc>
      </w:tr>
      <w:tr>
        <w:trPr>
          <w:cantSplit/>
        </w:trPr>
        <w:tc>
          <w:tcPr>
            <w:tcW w:type="dxa" w:w="2532"/>
          </w:tcPr>
          <w:p>
            <w:pPr>
              <w:keepNext/>
              <w:jc w:val="left"/>
            </w:pPr>
            <w:r>
              <w:rPr>
                <w:sz w:val="14"/>
              </w:rPr>
              <w:t>Cloud-dependent control</w:t>
            </w:r>
          </w:p>
        </w:tc>
        <w:tc>
          <w:tcPr>
            <w:tcW w:type="dxa" w:w="5427"/>
          </w:tcPr>
          <w:p>
            <w:pPr>
              <w:keepNext/>
              <w:jc w:val="center"/>
            </w:pPr>
            <w:r>
              <w:rPr>
                <w:sz w:val="14"/>
              </w:rPr>
              <w:t>Ordered on-node rules; cloud only queues requests</w:t>
            </w:r>
          </w:p>
        </w:tc>
        <w:tc>
          <w:tcPr>
            <w:tcW w:type="dxa" w:w="2351"/>
          </w:tcPr>
          <w:p>
            <w:pPr>
              <w:keepNext/>
              <w:jc w:val="center"/>
            </w:pPr>
            <w:r>
              <w:rPr>
                <w:sz w:val="14"/>
              </w:rPr>
              <w:t>Implemented</w:t>
            </w:r>
          </w:p>
        </w:tc>
      </w:tr>
      <w:tr>
        <w:trPr>
          <w:cantSplit/>
        </w:trPr>
        <w:tc>
          <w:tcPr>
            <w:tcW w:type="dxa" w:w="2532"/>
            <w:shd w:val="clear" w:color="auto" w:fill="EDF1F6"/>
          </w:tcPr>
          <w:p>
            <w:pPr>
              <w:keepNext/>
              <w:jc w:val="left"/>
            </w:pPr>
            <w:r>
              <w:rPr>
                <w:sz w:val="14"/>
              </w:rPr>
              <w:t>Fail-unsafe probes</w:t>
            </w:r>
          </w:p>
        </w:tc>
        <w:tc>
          <w:tcPr>
            <w:tcW w:type="dxa" w:w="5427"/>
            <w:shd w:val="clear" w:color="auto" w:fill="EDF1F6"/>
          </w:tcPr>
          <w:p>
            <w:pPr>
              <w:keepNext/>
              <w:jc w:val="center"/>
            </w:pPr>
            <w:r>
              <w:rPr>
                <w:sz w:val="14"/>
              </w:rPr>
              <w:t>ADC &lt; 10 ⇒ probe failed ⇒ pump off; 11-case boot self-test</w:t>
            </w:r>
          </w:p>
        </w:tc>
        <w:tc>
          <w:tcPr>
            <w:tcW w:type="dxa" w:w="2351"/>
            <w:shd w:val="clear" w:color="auto" w:fill="EDF1F6"/>
          </w:tcPr>
          <w:p>
            <w:pPr>
              <w:keepNext/>
              <w:jc w:val="center"/>
            </w:pPr>
            <w:r>
              <w:rPr>
                <w:sz w:val="14"/>
              </w:rPr>
              <w:t>Implemented</w:t>
            </w:r>
          </w:p>
        </w:tc>
      </w:tr>
      <w:tr>
        <w:trPr>
          <w:cantSplit/>
        </w:trPr>
        <w:tc>
          <w:tcPr>
            <w:tcW w:type="dxa" w:w="2532"/>
          </w:tcPr>
          <w:p>
            <w:pPr>
              <w:keepNext/>
              <w:jc w:val="left"/>
            </w:pPr>
            <w:r>
              <w:rPr>
                <w:sz w:val="14"/>
              </w:rPr>
              <w:t>Actuator chatter</w:t>
            </w:r>
          </w:p>
        </w:tc>
        <w:tc>
          <w:tcPr>
            <w:tcW w:type="dxa" w:w="5427"/>
          </w:tcPr>
          <w:p>
            <w:pPr>
              <w:keepNext/>
              <w:jc w:val="center"/>
            </w:pPr>
            <w:r>
              <w:rPr>
                <w:sz w:val="14"/>
              </w:rPr>
              <w:t>30/70 % hysteresis, 15 min cap, 30 min cooldown</w:t>
            </w:r>
          </w:p>
        </w:tc>
        <w:tc>
          <w:tcPr>
            <w:tcW w:type="dxa" w:w="2351"/>
          </w:tcPr>
          <w:p>
            <w:pPr>
              <w:keepNext/>
              <w:jc w:val="center"/>
            </w:pPr>
            <w:r>
              <w:rPr>
                <w:sz w:val="14"/>
              </w:rPr>
              <w:t>Implemented, simulated</w:t>
            </w:r>
          </w:p>
        </w:tc>
      </w:tr>
      <w:tr>
        <w:trPr>
          <w:cantSplit/>
        </w:trPr>
        <w:tc>
          <w:tcPr>
            <w:tcW w:type="dxa" w:w="2532"/>
            <w:shd w:val="clear" w:color="auto" w:fill="EDF1F6"/>
          </w:tcPr>
          <w:p>
            <w:pPr>
              <w:keepNext/>
              <w:jc w:val="left"/>
            </w:pPr>
            <w:r>
              <w:rPr>
                <w:sz w:val="14"/>
              </w:rPr>
              <w:t>Unmetered savings</w:t>
            </w:r>
          </w:p>
        </w:tc>
        <w:tc>
          <w:tcPr>
            <w:tcW w:type="dxa" w:w="5427"/>
            <w:shd w:val="clear" w:color="auto" w:fill="EDF1F6"/>
          </w:tcPr>
          <w:p>
            <w:pPr>
              <w:keepNext/>
              <w:jc w:val="center"/>
            </w:pPr>
            <w:r>
              <w:rPr>
                <w:sz w:val="14"/>
              </w:rPr>
              <w:t>Timer mode as control arm; flow meter required</w:t>
            </w:r>
          </w:p>
        </w:tc>
        <w:tc>
          <w:tcPr>
            <w:tcW w:type="dxa" w:w="2351"/>
            <w:shd w:val="clear" w:color="auto" w:fill="EDF1F6"/>
          </w:tcPr>
          <w:p>
            <w:pPr>
              <w:keepNext/>
              <w:jc w:val="center"/>
            </w:pPr>
            <w:r>
              <w:rPr>
                <w:sz w:val="14"/>
              </w:rPr>
              <w:t>Pending</w:t>
            </w:r>
          </w:p>
        </w:tc>
      </w:tr>
      <w:tr>
        <w:trPr>
          <w:cantSplit/>
        </w:trPr>
        <w:tc>
          <w:tcPr>
            <w:tcW w:type="dxa" w:w="2532"/>
          </w:tcPr>
          <w:p>
            <w:pPr>
              <w:keepNext/>
              <w:jc w:val="left"/>
            </w:pPr>
            <w:r>
              <w:rPr>
                <w:sz w:val="14"/>
              </w:rPr>
              <w:t>Lab-only accuracy</w:t>
            </w:r>
          </w:p>
        </w:tc>
        <w:tc>
          <w:tcPr>
            <w:tcW w:type="dxa" w:w="5427"/>
          </w:tcPr>
          <w:p>
            <w:pPr>
              <w:keepNext/>
              <w:jc w:val="center"/>
            </w:pPr>
            <w:r>
              <w:rPr>
                <w:sz w:val="14"/>
              </w:rPr>
              <w:t>PlantDoc quarantined for evaluation only</w:t>
            </w:r>
          </w:p>
        </w:tc>
        <w:tc>
          <w:tcPr>
            <w:tcW w:type="dxa" w:w="2351"/>
          </w:tcPr>
          <w:p>
            <w:pPr>
              <w:keepNext/>
              <w:jc w:val="center"/>
            </w:pPr>
            <w:r>
              <w:rPr>
                <w:sz w:val="14"/>
              </w:rPr>
              <w:t>Pipeline built; eval pending</w:t>
            </w:r>
          </w:p>
        </w:tc>
      </w:tr>
      <w:tr>
        <w:trPr>
          <w:cantSplit/>
        </w:trPr>
        <w:tc>
          <w:tcPr>
            <w:tcW w:type="dxa" w:w="2532"/>
            <w:shd w:val="clear" w:color="auto" w:fill="EDF1F6"/>
          </w:tcPr>
          <w:p>
            <w:pPr>
              <w:keepNext/>
              <w:jc w:val="left"/>
            </w:pPr>
            <w:r>
              <w:rPr>
                <w:sz w:val="14"/>
              </w:rPr>
              <w:t>Near-duplicate leakage</w:t>
            </w:r>
          </w:p>
        </w:tc>
        <w:tc>
          <w:tcPr>
            <w:tcW w:type="dxa" w:w="5427"/>
            <w:shd w:val="clear" w:color="auto" w:fill="EDF1F6"/>
          </w:tcPr>
          <w:p>
            <w:pPr>
              <w:keepNext/>
              <w:jc w:val="center"/>
            </w:pPr>
            <w:r>
              <w:rPr>
                <w:sz w:val="14"/>
              </w:rPr>
              <w:t>SHA-256 + pHash (τ = 5) groups; group-aware 80/10/10 split</w:t>
            </w:r>
          </w:p>
        </w:tc>
        <w:tc>
          <w:tcPr>
            <w:tcW w:type="dxa" w:w="2351"/>
            <w:shd w:val="clear" w:color="auto" w:fill="EDF1F6"/>
          </w:tcPr>
          <w:p>
            <w:pPr>
              <w:keepNext/>
              <w:jc w:val="center"/>
            </w:pPr>
            <w:r>
              <w:rPr>
                <w:sz w:val="14"/>
              </w:rPr>
              <w:t>Implemented</w:t>
            </w:r>
          </w:p>
        </w:tc>
      </w:tr>
      <w:tr>
        <w:trPr>
          <w:cantSplit/>
        </w:trPr>
        <w:tc>
          <w:tcPr>
            <w:tcW w:type="dxa" w:w="2532"/>
          </w:tcPr>
          <w:p>
            <w:pPr>
              <w:keepNext/>
              <w:jc w:val="left"/>
            </w:pPr>
            <w:r>
              <w:rPr>
                <w:sz w:val="14"/>
              </w:rPr>
              <w:t>Edge feasibility</w:t>
            </w:r>
          </w:p>
        </w:tc>
        <w:tc>
          <w:tcPr>
            <w:tcW w:type="dxa" w:w="5427"/>
          </w:tcPr>
          <w:p>
            <w:pPr>
              <w:keepNext/>
              <w:jc w:val="center"/>
            </w:pPr>
            <w:r>
              <w:rPr>
                <w:sz w:val="14"/>
              </w:rPr>
              <w:t>Memory bound: 588 KiB input &gt; 520 KiB SRAM</w:t>
            </w:r>
          </w:p>
        </w:tc>
        <w:tc>
          <w:tcPr>
            <w:tcW w:type="dxa" w:w="2351"/>
          </w:tcPr>
          <w:p>
            <w:pPr>
              <w:keepNext/>
              <w:jc w:val="center"/>
            </w:pPr>
            <w:r>
              <w:rPr>
                <w:sz w:val="14"/>
              </w:rPr>
              <w:t>Analysed; server inference</w:t>
            </w:r>
          </w:p>
        </w:tc>
      </w:tr>
      <w:tr>
        <w:trPr>
          <w:cantSplit/>
        </w:trPr>
        <w:tc>
          <w:tcPr>
            <w:tcW w:type="dxa" w:w="2532"/>
            <w:shd w:val="clear" w:color="auto" w:fill="EDF1F6"/>
          </w:tcPr>
          <w:p>
            <w:pPr>
              <w:keepNext/>
              <w:jc w:val="left"/>
            </w:pPr>
            <w:r>
              <w:rPr>
                <w:sz w:val="14"/>
              </w:rPr>
              <w:t>Ungrounded LLM advice</w:t>
            </w:r>
          </w:p>
        </w:tc>
        <w:tc>
          <w:tcPr>
            <w:tcW w:type="dxa" w:w="5427"/>
            <w:shd w:val="clear" w:color="auto" w:fill="EDF1F6"/>
          </w:tcPr>
          <w:p>
            <w:pPr>
              <w:keepNext/>
              <w:jc w:val="center"/>
            </w:pPr>
            <w:r>
              <w:rPr>
                <w:sz w:val="14"/>
              </w:rPr>
              <w:t>Live telemetry in system prompt; JSON schema for diagnosis</w:t>
            </w:r>
          </w:p>
        </w:tc>
        <w:tc>
          <w:tcPr>
            <w:tcW w:type="dxa" w:w="2351"/>
            <w:shd w:val="clear" w:color="auto" w:fill="EDF1F6"/>
          </w:tcPr>
          <w:p>
            <w:pPr>
              <w:keepNext/>
              <w:jc w:val="center"/>
            </w:pPr>
            <w:r>
              <w:rPr>
                <w:sz w:val="14"/>
              </w:rPr>
              <w:t>Implemented</w:t>
            </w:r>
          </w:p>
        </w:tc>
      </w:tr>
      <w:tr>
        <w:trPr>
          <w:cantSplit/>
        </w:trPr>
        <w:tc>
          <w:tcPr>
            <w:tcW w:type="dxa" w:w="2532"/>
          </w:tcPr>
          <w:p>
            <w:pPr>
              <w:jc w:val="left"/>
            </w:pPr>
            <w:r>
              <w:rPr>
                <w:sz w:val="14"/>
              </w:rPr>
              <w:t>Tenant isolation</w:t>
            </w:r>
          </w:p>
        </w:tc>
        <w:tc>
          <w:tcPr>
            <w:tcW w:type="dxa" w:w="5427"/>
          </w:tcPr>
          <w:p>
            <w:pPr>
              <w:jc w:val="center"/>
            </w:pPr>
            <w:r>
              <w:rPr>
                <w:sz w:val="14"/>
              </w:rPr>
              <w:t>Row-level security, ≤ 4 devices per account, keys server-side</w:t>
            </w:r>
          </w:p>
        </w:tc>
        <w:tc>
          <w:tcPr>
            <w:tcW w:type="dxa" w:w="2351"/>
          </w:tcPr>
          <w:p>
            <w:pPr>
              <w:jc w:val="center"/>
            </w:pPr>
            <w:r>
              <w:rPr>
                <w:sz w:val="14"/>
              </w:rPr>
              <w:t>Implemented</w:t>
            </w:r>
          </w:p>
        </w:tc>
      </w:tr>
    </w:tbl>
    <w:p>
      <w:pPr>
        <w:spacing w:after="120"/>
      </w:pPr>
    </w:p>
    <w:p>
      <w:pPr>
        <w:sectPr>
          <w:type w:val="continuous"/>
          <w:pgSz w:w="12240" w:h="15840"/>
          <w:pgMar w:top="1080" w:right="965" w:bottom="1152" w:left="965" w:header="504" w:footer="720" w:gutter="0"/>
          <w:docGrid w:linePitch="360"/>
          <w:cols w:num="1" w:space="360"/>
        </w:sectPr>
      </w:pPr>
    </w:p>
    <w:p>
      <w:pPr>
        <w:spacing w:after="0"/>
        <w:ind w:firstLine="216"/>
        <w:jc w:val="both"/>
      </w:pPr>
      <w:r>
        <w:t>Its baseline YOLO11n-cls classifier reaches 99.32 % top-1 on 10,861 PlantVillage validation images across 38 classes and runs in about 6 ms per image on one laptop CPU thread, but was trained on a random split and has not yet been field-tested, so by this survey's own criteria it is a laboratory upper bound. The case illustrates that the gaps identified above are practical engineering choices that can be designed for from the start.</w:t>
      </w:r>
    </w:p>
    <w:p>
      <w:pPr>
        <w:keepNext/>
        <w:spacing w:before="160" w:after="60"/>
      </w:pPr>
      <w:r>
        <w:rPr>
          <w:b/>
          <w:color w:val="1B3A6B"/>
          <w:sz w:val="19"/>
        </w:rPr>
        <w:t>XII. OPEN CHALLENGES AND FUTURE DIRECTIONS</w:t>
      </w:r>
    </w:p>
    <w:p>
      <w:pPr>
        <w:spacing w:after="20"/>
        <w:ind w:left="288" w:hanging="202"/>
        <w:jc w:val="both"/>
      </w:pPr>
      <w:r>
        <w:t xml:space="preserve">1)  </w:t>
      </w:r>
      <w:r>
        <w:rPr>
          <w:b/>
        </w:rPr>
        <w:t>Field-first evaluation.</w:t>
      </w:r>
      <w:r>
        <w:t xml:space="preserve"> Benchmarks built from images captured by deployed low-cost cameras, with standard cross-domain protocols and leakage-free splits.</w:t>
      </w:r>
    </w:p>
    <w:p>
      <w:pPr>
        <w:spacing w:after="20"/>
        <w:ind w:left="288" w:hanging="202"/>
        <w:jc w:val="both"/>
      </w:pPr>
      <w:r>
        <w:t xml:space="preserve">2)  </w:t>
      </w:r>
      <w:r>
        <w:rPr>
          <w:b/>
        </w:rPr>
        <w:t>Metered, controlled irrigation trials.</w:t>
      </w:r>
      <w:r>
        <w:t xml:space="preserve"> Season-long, flow-metered comparisons on identical hardware, reporting volumes, moisture statistics and yield.</w:t>
      </w:r>
    </w:p>
    <w:p>
      <w:pPr>
        <w:spacing w:after="20"/>
        <w:ind w:left="288" w:hanging="202"/>
        <w:jc w:val="both"/>
      </w:pPr>
      <w:r>
        <w:t xml:space="preserve">3)  </w:t>
      </w:r>
      <w:r>
        <w:rPr>
          <w:b/>
        </w:rPr>
        <w:t>Feasibility surfaces for edge models.</w:t>
      </w:r>
      <w:r>
        <w:t xml:space="preserve"> Systematic sweeps over chip, precision, resolution and class count with energy measurements, and hierarchical (species-then-disease) models to reduce per-model class count.</w:t>
      </w:r>
    </w:p>
    <w:p>
      <w:pPr>
        <w:spacing w:after="20"/>
        <w:ind w:left="288" w:hanging="202"/>
        <w:jc w:val="both"/>
      </w:pPr>
      <w:r>
        <w:t xml:space="preserve">4)  </w:t>
      </w:r>
      <w:r>
        <w:rPr>
          <w:b/>
        </w:rPr>
        <w:t>Sensor–vision fusion.</w:t>
      </w:r>
      <w:r>
        <w:t xml:space="preserve"> Using microclimate data (humidity, leaf wetness, temperature) as priors for disease risk, with calibrated uncertainty.</w:t>
      </w:r>
    </w:p>
    <w:p>
      <w:pPr>
        <w:spacing w:after="20"/>
        <w:ind w:left="288" w:hanging="202"/>
        <w:jc w:val="both"/>
      </w:pPr>
      <w:r>
        <w:t xml:space="preserve">5)  </w:t>
      </w:r>
      <w:r>
        <w:rPr>
          <w:b/>
        </w:rPr>
        <w:t>Trustworthy agricultural LLMs.</w:t>
      </w:r>
      <w:r>
        <w:t xml:space="preserve"> Retrieval over vetted extension material, expert-validated test sets, multilingual and offline small models, and provenance for every recommendation.</w:t>
      </w:r>
    </w:p>
    <w:p>
      <w:pPr>
        <w:spacing w:after="20"/>
        <w:ind w:left="288" w:hanging="202"/>
        <w:jc w:val="both"/>
      </w:pPr>
      <w:r>
        <w:t xml:space="preserve">6)  </w:t>
      </w:r>
      <w:r>
        <w:rPr>
          <w:b/>
        </w:rPr>
        <w:t>Fail-safe autonomy.</w:t>
      </w:r>
      <w:r>
        <w:t xml:space="preserve"> Formal or test-based verification of actuator logic, and actuator-state feedback so that cloud and node never disagree silently.</w:t>
      </w:r>
    </w:p>
    <w:p>
      <w:pPr>
        <w:spacing w:after="20"/>
        <w:ind w:left="288" w:hanging="202"/>
        <w:jc w:val="both"/>
      </w:pPr>
      <w:r>
        <w:t xml:space="preserve">7)  </w:t>
      </w:r>
      <w:r>
        <w:rPr>
          <w:b/>
        </w:rPr>
        <w:t>Cost and accessibility.</w:t>
      </w:r>
      <w:r>
        <w:t xml:space="preserve"> Reporting bill-of-materials cost, power autonomy (e.g., solar) and maintenance burden, which determine smallholder adoption.</w:t>
      </w:r>
    </w:p>
    <w:p>
      <w:pPr>
        <w:keepNext/>
        <w:spacing w:before="160" w:after="60"/>
      </w:pPr>
      <w:r>
        <w:rPr>
          <w:b/>
          <w:color w:val="1B3A6B"/>
          <w:sz w:val="19"/>
        </w:rPr>
        <w:t>XIII. CONCLUSION</w:t>
      </w:r>
    </w:p>
    <w:p>
      <w:pPr>
        <w:spacing w:after="0"/>
        <w:ind w:firstLine="216"/>
        <w:jc w:val="both"/>
      </w:pPr>
      <w:r>
        <w:t>This survey reviewed IoT sensing, irrigation control, crop-disease diagnosis, edge AI and LLM advisory as one system rather than separate fields. Across all five branches the dominant gap is not a missing algorithm but missing evidence under deployment conditions: irrigation savings without metered controls, disease accuracy without field tests or leakage control, and edge feasibility without the parameters that determine it. Closing these gaps calls for field-first benchmarks, fail-safe control designs, memory-aware edge models and grounded, evaluated agricultural LLMs. We hope the taxonomy, comparisons and recommendations here help future work report results that transfer from the paper to the farm.</w:t>
      </w:r>
    </w:p>
    <w:p>
      <w:pPr>
        <w:keepNext/>
        <w:spacing w:before="160" w:after="60"/>
      </w:pPr>
      <w:r>
        <w:rPr>
          <w:b/>
          <w:color w:val="1B3A6B"/>
          <w:sz w:val="19"/>
        </w:rPr>
        <w:t>ACKNOWLEDGMENT</w:t>
      </w:r>
    </w:p>
    <w:p>
      <w:pPr>
        <w:spacing w:after="0"/>
        <w:ind w:firstLine="216"/>
        <w:jc w:val="both"/>
      </w:pPr>
      <w:r>
        <w:t>The authors thank [Guide Name] and the Department of Emerging Technologies, S. B. Jain Institute of Technology, Management and Research, Nagpur, for support and the creators of the open datasets and tools discussed in this survey.</w:t>
      </w:r>
    </w:p>
    <w:p>
      <w:pPr>
        <w:keepNext/>
        <w:spacing w:before="160" w:after="60"/>
      </w:pPr>
      <w:r>
        <w:rPr>
          <w:b/>
          <w:color w:val="1B3A6B"/>
          <w:sz w:val="19"/>
        </w:rPr>
        <w:t>REFERENCES</w:t>
      </w:r>
    </w:p>
    <w:p>
      <w:pPr>
        <w:spacing w:after="20"/>
        <w:ind w:left="432" w:hanging="432"/>
      </w:pPr>
      <w:r>
        <w:rPr>
          <w:sz w:val="15"/>
        </w:rPr>
        <w:t>[1]</w:t>
        <w:tab/>
      </w:r>
      <w:r>
        <w:rPr>
          <w:i w:val="0"/>
          <w:sz w:val="15"/>
        </w:rPr>
        <w:t xml:space="preserve">Food, and Agriculture Organization of the United Nations, </w:t>
      </w:r>
      <w:r>
        <w:rPr>
          <w:i w:val="0"/>
          <w:sz w:val="15"/>
        </w:rPr>
        <w:t xml:space="preserve">“AQUASTAT: FAO's Global Information System on Water and Agriculture,” </w:t>
      </w:r>
      <w:r>
        <w:rPr>
          <w:i w:val="0"/>
          <w:sz w:val="15"/>
        </w:rPr>
        <w:t>2024</w:t>
      </w:r>
      <w:r>
        <w:rPr>
          <w:i w:val="0"/>
          <w:sz w:val="15"/>
        </w:rPr>
        <w:t>. [Online]. Available: https://www.fao.org/aquastat/</w:t>
      </w:r>
      <w:r>
        <w:rPr>
          <w:i w:val="0"/>
          <w:sz w:val="15"/>
        </w:rPr>
        <w:t>.</w:t>
      </w:r>
    </w:p>
    <w:p>
      <w:pPr>
        <w:spacing w:after="20"/>
        <w:ind w:left="432" w:hanging="432"/>
      </w:pPr>
      <w:r>
        <w:rPr>
          <w:sz w:val="15"/>
        </w:rPr>
        <w:t>[2]</w:t>
        <w:tab/>
      </w:r>
      <w:r>
        <w:rPr>
          <w:i w:val="0"/>
          <w:sz w:val="15"/>
        </w:rPr>
        <w:t xml:space="preserve">S. Savary, L. Willocquet, S. J. Pethybridge, P. Esker, N. McRoberts, and A. Nelson, </w:t>
      </w:r>
      <w:r>
        <w:rPr>
          <w:i w:val="0"/>
          <w:sz w:val="15"/>
        </w:rPr>
        <w:t xml:space="preserve">“The Global Burden of Pathogens and Pests on Major Food Crops,” </w:t>
      </w:r>
      <w:r>
        <w:rPr>
          <w:i/>
          <w:sz w:val="15"/>
        </w:rPr>
        <w:t>Nature Ecology &amp; Evolution</w:t>
      </w:r>
      <w:r>
        <w:rPr>
          <w:i w:val="0"/>
          <w:sz w:val="15"/>
        </w:rPr>
        <w:t>, vol. 3, no. 3, pp. 430–439, 2019</w:t>
      </w:r>
      <w:r>
        <w:rPr>
          <w:i w:val="0"/>
          <w:sz w:val="15"/>
        </w:rPr>
        <w:t>, doi: 10.1038/s41559-018-0793-y</w:t>
      </w:r>
      <w:r>
        <w:rPr>
          <w:i w:val="0"/>
          <w:sz w:val="15"/>
        </w:rPr>
        <w:t>.</w:t>
      </w:r>
    </w:p>
    <w:p>
      <w:pPr>
        <w:spacing w:after="20"/>
        <w:ind w:left="432" w:hanging="432"/>
      </w:pPr>
      <w:r>
        <w:rPr>
          <w:sz w:val="15"/>
        </w:rPr>
        <w:t>[3]</w:t>
        <w:tab/>
      </w:r>
      <w:r>
        <w:rPr>
          <w:i w:val="0"/>
          <w:sz w:val="15"/>
        </w:rPr>
        <w:t xml:space="preserve">R. N. Strange, and P. R. Scott, </w:t>
      </w:r>
      <w:r>
        <w:rPr>
          <w:i w:val="0"/>
          <w:sz w:val="15"/>
        </w:rPr>
        <w:t xml:space="preserve">“Plant Disease: A Threat to Global Food Security,” </w:t>
      </w:r>
      <w:r>
        <w:rPr>
          <w:i/>
          <w:sz w:val="15"/>
        </w:rPr>
        <w:t>Annual Review of Phytopathology</w:t>
      </w:r>
      <w:r>
        <w:rPr>
          <w:i w:val="0"/>
          <w:sz w:val="15"/>
        </w:rPr>
        <w:t>, vol. 43, pp. 83–116, 2005</w:t>
      </w:r>
      <w:r>
        <w:rPr>
          <w:i w:val="0"/>
          <w:sz w:val="15"/>
        </w:rPr>
        <w:t>, doi: 10.1146/annurev.phyto.43.113004.133839</w:t>
      </w:r>
      <w:r>
        <w:rPr>
          <w:i w:val="0"/>
          <w:sz w:val="15"/>
        </w:rPr>
        <w:t>.</w:t>
      </w:r>
    </w:p>
    <w:p>
      <w:pPr>
        <w:spacing w:after="20"/>
        <w:ind w:left="432" w:hanging="432"/>
      </w:pPr>
      <w:r>
        <w:rPr>
          <w:sz w:val="15"/>
        </w:rPr>
        <w:t>[4]</w:t>
        <w:tab/>
      </w:r>
      <w:r>
        <w:rPr>
          <w:i w:val="0"/>
          <w:sz w:val="15"/>
        </w:rPr>
        <w:t xml:space="preserve">S. Wolfert, L. Ge, C. Verdouw, and M. Bogaardt, </w:t>
      </w:r>
      <w:r>
        <w:rPr>
          <w:i w:val="0"/>
          <w:sz w:val="15"/>
        </w:rPr>
        <w:t xml:space="preserve">“Big Data in Smart Farming – A Review,” </w:t>
      </w:r>
      <w:r>
        <w:rPr>
          <w:i/>
          <w:sz w:val="15"/>
        </w:rPr>
        <w:t>Agricultural Systems</w:t>
      </w:r>
      <w:r>
        <w:rPr>
          <w:i w:val="0"/>
          <w:sz w:val="15"/>
        </w:rPr>
        <w:t>, vol. 153, pp. 69–80, 2017</w:t>
      </w:r>
      <w:r>
        <w:rPr>
          <w:i w:val="0"/>
          <w:sz w:val="15"/>
        </w:rPr>
        <w:t>, doi: 10.1016/j.agsy.2017.01.023</w:t>
      </w:r>
      <w:r>
        <w:rPr>
          <w:i w:val="0"/>
          <w:sz w:val="15"/>
        </w:rPr>
        <w:t>.</w:t>
      </w:r>
    </w:p>
    <w:p>
      <w:pPr>
        <w:spacing w:after="20"/>
        <w:ind w:left="432" w:hanging="432"/>
      </w:pPr>
      <w:r>
        <w:rPr>
          <w:sz w:val="15"/>
        </w:rPr>
        <w:t>[5]</w:t>
        <w:tab/>
      </w:r>
      <w:r>
        <w:rPr>
          <w:i w:val="0"/>
          <w:sz w:val="15"/>
        </w:rPr>
        <w:t xml:space="preserve">A. Tzounis, N. Katsoulas, T. Bartzanas, and C. Kittas, </w:t>
      </w:r>
      <w:r>
        <w:rPr>
          <w:i w:val="0"/>
          <w:sz w:val="15"/>
        </w:rPr>
        <w:t xml:space="preserve">“Internet of Things in Agriculture, Recent Advances and Future Challenges,” </w:t>
      </w:r>
      <w:r>
        <w:rPr>
          <w:i/>
          <w:sz w:val="15"/>
        </w:rPr>
        <w:t>Biosystems Engineering</w:t>
      </w:r>
      <w:r>
        <w:rPr>
          <w:i w:val="0"/>
          <w:sz w:val="15"/>
        </w:rPr>
        <w:t>, vol. 164, pp. 31–48, 2017</w:t>
      </w:r>
      <w:r>
        <w:rPr>
          <w:i w:val="0"/>
          <w:sz w:val="15"/>
        </w:rPr>
        <w:t>, doi: 10.1016/j.biosystemseng.2017.09.007</w:t>
      </w:r>
      <w:r>
        <w:rPr>
          <w:i w:val="0"/>
          <w:sz w:val="15"/>
        </w:rPr>
        <w:t>.</w:t>
      </w:r>
    </w:p>
    <w:p>
      <w:pPr>
        <w:spacing w:after="20"/>
        <w:ind w:left="432" w:hanging="432"/>
      </w:pPr>
      <w:r>
        <w:rPr>
          <w:sz w:val="15"/>
        </w:rPr>
        <w:t>[6]</w:t>
        <w:tab/>
      </w:r>
      <w:r>
        <w:rPr>
          <w:i w:val="0"/>
          <w:sz w:val="15"/>
        </w:rPr>
        <w:t xml:space="preserve">O. Elijah, T. A. Rahman, I. Orikumhi, C. Y. Leow, and M. H. D. N. Hindia, </w:t>
      </w:r>
      <w:r>
        <w:rPr>
          <w:i w:val="0"/>
          <w:sz w:val="15"/>
        </w:rPr>
        <w:t xml:space="preserve">“An Overview of Internet of Things (IoT) and Data Analytics in Agriculture: Benefits and Challenges,” </w:t>
      </w:r>
      <w:r>
        <w:rPr>
          <w:i/>
          <w:sz w:val="15"/>
        </w:rPr>
        <w:t>IEEE Internet of Things Journal</w:t>
      </w:r>
      <w:r>
        <w:rPr>
          <w:i w:val="0"/>
          <w:sz w:val="15"/>
        </w:rPr>
        <w:t>, vol. 5, no. 5, pp. 3758–3773, 2018</w:t>
      </w:r>
      <w:r>
        <w:rPr>
          <w:i w:val="0"/>
          <w:sz w:val="15"/>
        </w:rPr>
        <w:t>, doi: 10.1109/JIOT.2018.2844296</w:t>
      </w:r>
      <w:r>
        <w:rPr>
          <w:i w:val="0"/>
          <w:sz w:val="15"/>
        </w:rPr>
        <w:t>.</w:t>
      </w:r>
    </w:p>
    <w:p>
      <w:pPr>
        <w:spacing w:after="20"/>
        <w:ind w:left="432" w:hanging="432"/>
      </w:pPr>
      <w:r>
        <w:rPr>
          <w:sz w:val="15"/>
        </w:rPr>
        <w:t>[7]</w:t>
        <w:tab/>
      </w:r>
      <w:r>
        <w:rPr>
          <w:i w:val="0"/>
          <w:sz w:val="15"/>
        </w:rPr>
        <w:t xml:space="preserve">M. Ayaz, M. Ammad-Uddin, Z. Sharif, A. Mansour, and E. M. Aggoune, </w:t>
      </w:r>
      <w:r>
        <w:rPr>
          <w:i w:val="0"/>
          <w:sz w:val="15"/>
        </w:rPr>
        <w:t xml:space="preserve">“Internet-of-Things (IoT)-Based Smart Agriculture: Toward Making the Fields Talk,” </w:t>
      </w:r>
      <w:r>
        <w:rPr>
          <w:i/>
          <w:sz w:val="15"/>
        </w:rPr>
        <w:t>IEEE Access</w:t>
      </w:r>
      <w:r>
        <w:rPr>
          <w:i w:val="0"/>
          <w:sz w:val="15"/>
        </w:rPr>
        <w:t>, vol. 7, pp. 129551–129583, 2019</w:t>
      </w:r>
      <w:r>
        <w:rPr>
          <w:i w:val="0"/>
          <w:sz w:val="15"/>
        </w:rPr>
        <w:t>, doi: 10.1109/ACCESS.2019.2932609</w:t>
      </w:r>
      <w:r>
        <w:rPr>
          <w:i w:val="0"/>
          <w:sz w:val="15"/>
        </w:rPr>
        <w:t>.</w:t>
      </w:r>
    </w:p>
    <w:p>
      <w:pPr>
        <w:spacing w:after="20"/>
        <w:ind w:left="432" w:hanging="432"/>
      </w:pPr>
      <w:r>
        <w:rPr>
          <w:sz w:val="15"/>
        </w:rPr>
        <w:t>[8]</w:t>
        <w:tab/>
      </w:r>
      <w:r>
        <w:rPr>
          <w:i w:val="0"/>
          <w:sz w:val="15"/>
        </w:rPr>
        <w:t xml:space="preserve">M. S. Farooq, S. Riaz, A. Abid, K. Abid, and M. A. Naeem, </w:t>
      </w:r>
      <w:r>
        <w:rPr>
          <w:i w:val="0"/>
          <w:sz w:val="15"/>
        </w:rPr>
        <w:t xml:space="preserve">“A Survey on the Role of IoT in Agriculture for the Implementation of Smart Farming,” </w:t>
      </w:r>
      <w:r>
        <w:rPr>
          <w:i/>
          <w:sz w:val="15"/>
        </w:rPr>
        <w:t>IEEE Access</w:t>
      </w:r>
      <w:r>
        <w:rPr>
          <w:i w:val="0"/>
          <w:sz w:val="15"/>
        </w:rPr>
        <w:t>, vol. 7, pp. 156237–156271, 2019</w:t>
      </w:r>
      <w:r>
        <w:rPr>
          <w:i w:val="0"/>
          <w:sz w:val="15"/>
        </w:rPr>
        <w:t>, doi: 10.1109/ACCESS.2019.2949703</w:t>
      </w:r>
      <w:r>
        <w:rPr>
          <w:i w:val="0"/>
          <w:sz w:val="15"/>
        </w:rPr>
        <w:t>.</w:t>
      </w:r>
    </w:p>
    <w:p>
      <w:pPr>
        <w:spacing w:after="20"/>
        <w:ind w:left="432" w:hanging="432"/>
      </w:pPr>
      <w:r>
        <w:rPr>
          <w:sz w:val="15"/>
        </w:rPr>
        <w:t>[9]</w:t>
        <w:tab/>
      </w:r>
      <w:r>
        <w:rPr>
          <w:i w:val="0"/>
          <w:sz w:val="15"/>
        </w:rPr>
        <w:t xml:space="preserve">A. Kamilaris, and F. X. Prenafeta-Boldú, </w:t>
      </w:r>
      <w:r>
        <w:rPr>
          <w:i w:val="0"/>
          <w:sz w:val="15"/>
        </w:rPr>
        <w:t xml:space="preserve">“Deep Learning in Agriculture: A Survey,” </w:t>
      </w:r>
      <w:r>
        <w:rPr>
          <w:i/>
          <w:sz w:val="15"/>
        </w:rPr>
        <w:t>Computers and Electronics in Agriculture</w:t>
      </w:r>
      <w:r>
        <w:rPr>
          <w:i w:val="0"/>
          <w:sz w:val="15"/>
        </w:rPr>
        <w:t>, vol. 147, pp. 70–90, 2018</w:t>
      </w:r>
      <w:r>
        <w:rPr>
          <w:i w:val="0"/>
          <w:sz w:val="15"/>
        </w:rPr>
        <w:t>, doi: 10.1016/j.compag.2018.02.016</w:t>
      </w:r>
      <w:r>
        <w:rPr>
          <w:i w:val="0"/>
          <w:sz w:val="15"/>
        </w:rPr>
        <w:t>.</w:t>
      </w:r>
    </w:p>
    <w:p>
      <w:pPr>
        <w:spacing w:after="20"/>
        <w:ind w:left="432" w:hanging="432"/>
      </w:pPr>
      <w:r>
        <w:rPr>
          <w:sz w:val="15"/>
        </w:rPr>
        <w:t>[10]</w:t>
        <w:tab/>
      </w:r>
      <w:r>
        <w:rPr>
          <w:i w:val="0"/>
          <w:sz w:val="15"/>
        </w:rPr>
        <w:t xml:space="preserve">S. P. Mohanty, D. P. Hughes, and M. Salathé, </w:t>
      </w:r>
      <w:r>
        <w:rPr>
          <w:i w:val="0"/>
          <w:sz w:val="15"/>
        </w:rPr>
        <w:t xml:space="preserve">“Using Deep Learning for Image-Based Plant Disease Detection,” </w:t>
      </w:r>
      <w:r>
        <w:rPr>
          <w:i/>
          <w:sz w:val="15"/>
        </w:rPr>
        <w:t>Frontiers in Plant Science</w:t>
      </w:r>
      <w:r>
        <w:rPr>
          <w:i w:val="0"/>
          <w:sz w:val="15"/>
        </w:rPr>
        <w:t>, vol. 7, Art. no. 1419, 2016</w:t>
      </w:r>
      <w:r>
        <w:rPr>
          <w:i w:val="0"/>
          <w:sz w:val="15"/>
        </w:rPr>
        <w:t>, doi: 10.3389/fpls.2016.01419</w:t>
      </w:r>
      <w:r>
        <w:rPr>
          <w:i w:val="0"/>
          <w:sz w:val="15"/>
        </w:rPr>
        <w:t>.</w:t>
      </w:r>
    </w:p>
    <w:p>
      <w:pPr>
        <w:spacing w:after="20"/>
        <w:ind w:left="432" w:hanging="432"/>
      </w:pPr>
      <w:r>
        <w:rPr>
          <w:sz w:val="15"/>
        </w:rPr>
        <w:t>[11]</w:t>
        <w:tab/>
      </w:r>
      <w:r>
        <w:rPr>
          <w:i w:val="0"/>
          <w:sz w:val="15"/>
        </w:rPr>
        <w:t xml:space="preserve">A. Tzachor et al., </w:t>
      </w:r>
      <w:r>
        <w:rPr>
          <w:i w:val="0"/>
          <w:sz w:val="15"/>
        </w:rPr>
        <w:t xml:space="preserve">“Large Language Models and Agricultural Extension Services,” </w:t>
      </w:r>
      <w:r>
        <w:rPr>
          <w:i/>
          <w:sz w:val="15"/>
        </w:rPr>
        <w:t>Nature Food</w:t>
      </w:r>
      <w:r>
        <w:rPr>
          <w:i w:val="0"/>
          <w:sz w:val="15"/>
        </w:rPr>
        <w:t>, vol. 4, pp. 941–948, 2023</w:t>
      </w:r>
      <w:r>
        <w:rPr>
          <w:i w:val="0"/>
          <w:sz w:val="15"/>
        </w:rPr>
        <w:t>, doi: 10.1038/s43016-023-00867-x</w:t>
      </w:r>
      <w:r>
        <w:rPr>
          <w:i w:val="0"/>
          <w:sz w:val="15"/>
        </w:rPr>
        <w:t>.</w:t>
      </w:r>
    </w:p>
    <w:p>
      <w:pPr>
        <w:spacing w:after="20"/>
        <w:ind w:left="432" w:hanging="432"/>
      </w:pPr>
      <w:r>
        <w:rPr>
          <w:sz w:val="15"/>
        </w:rPr>
        <w:t>[12]</w:t>
        <w:tab/>
      </w:r>
      <w:r>
        <w:rPr>
          <w:i w:val="0"/>
          <w:sz w:val="15"/>
        </w:rPr>
        <w:t xml:space="preserve">J. Li et al., </w:t>
      </w:r>
      <w:r>
        <w:rPr>
          <w:i w:val="0"/>
          <w:sz w:val="15"/>
        </w:rPr>
        <w:t xml:space="preserve">“Foundation Models in Smart Agriculture: Basics, Opportunities, and Challenges,” </w:t>
      </w:r>
      <w:r>
        <w:rPr>
          <w:i/>
          <w:sz w:val="15"/>
        </w:rPr>
        <w:t>Computers and Electronics in Agriculture</w:t>
      </w:r>
      <w:r>
        <w:rPr>
          <w:i w:val="0"/>
          <w:sz w:val="15"/>
        </w:rPr>
        <w:t>, vol. 222, Art. no. 109032, 2024</w:t>
      </w:r>
      <w:r>
        <w:rPr>
          <w:i w:val="0"/>
          <w:sz w:val="15"/>
        </w:rPr>
        <w:t>, doi: 10.1016/j.compag.2024.109032</w:t>
      </w:r>
      <w:r>
        <w:rPr>
          <w:i w:val="0"/>
          <w:sz w:val="15"/>
        </w:rPr>
        <w:t>.</w:t>
      </w:r>
    </w:p>
    <w:p>
      <w:pPr>
        <w:spacing w:after="20"/>
        <w:ind w:left="432" w:hanging="432"/>
      </w:pPr>
      <w:r>
        <w:rPr>
          <w:sz w:val="15"/>
        </w:rPr>
        <w:t>[13]</w:t>
        <w:tab/>
      </w:r>
      <w:r>
        <w:rPr>
          <w:i w:val="0"/>
          <w:sz w:val="15"/>
        </w:rPr>
        <w:t xml:space="preserve">P. Warden, and D. Situnayake, </w:t>
      </w:r>
      <w:r>
        <w:rPr>
          <w:i/>
          <w:sz w:val="15"/>
        </w:rPr>
        <w:t>TinyML: Machine Learning with TensorFlow Lite on Arduino and Ultra-Low-Power Microcontrollers</w:t>
      </w:r>
      <w:r>
        <w:rPr>
          <w:i w:val="0"/>
          <w:sz w:val="15"/>
        </w:rPr>
        <w:t>. O'Reilly Media, 2019</w:t>
      </w:r>
      <w:r>
        <w:rPr>
          <w:i w:val="0"/>
          <w:sz w:val="15"/>
        </w:rPr>
        <w:t>.</w:t>
      </w:r>
    </w:p>
    <w:p>
      <w:pPr>
        <w:spacing w:after="20"/>
        <w:ind w:left="432" w:hanging="432"/>
      </w:pPr>
      <w:r>
        <w:rPr>
          <w:sz w:val="15"/>
        </w:rPr>
        <w:t>[14]</w:t>
        <w:tab/>
      </w:r>
      <w:r>
        <w:rPr>
          <w:i w:val="0"/>
          <w:sz w:val="15"/>
        </w:rPr>
        <w:t xml:space="preserve">J. Lin, W. Chen, Y. Lin, J. Cohn, C. Gan, and S. Han, </w:t>
      </w:r>
      <w:r>
        <w:rPr>
          <w:i w:val="0"/>
          <w:sz w:val="15"/>
        </w:rPr>
        <w:t xml:space="preserve">“MCUNet: Tiny Deep Learning on IoT Devices,” in </w:t>
      </w:r>
      <w:r>
        <w:rPr>
          <w:i/>
          <w:sz w:val="15"/>
        </w:rPr>
        <w:t>Advances in Neural Information Processing Systems (NeurIPS)</w:t>
      </w:r>
      <w:r>
        <w:rPr>
          <w:i w:val="0"/>
          <w:sz w:val="15"/>
        </w:rPr>
        <w:t>, 2020</w:t>
      </w:r>
      <w:r>
        <w:rPr>
          <w:i w:val="0"/>
          <w:sz w:val="15"/>
        </w:rPr>
        <w:t>.</w:t>
      </w:r>
    </w:p>
    <w:p>
      <w:pPr>
        <w:spacing w:after="20"/>
        <w:ind w:left="432" w:hanging="432"/>
      </w:pPr>
      <w:r>
        <w:rPr>
          <w:sz w:val="15"/>
        </w:rPr>
        <w:t>[15]</w:t>
        <w:tab/>
      </w:r>
      <w:r>
        <w:rPr>
          <w:i w:val="0"/>
          <w:sz w:val="15"/>
        </w:rPr>
        <w:t xml:space="preserve">O. Friha, M. A. Ferrag, L. Shu, L. Maglaras, and X. Wang, </w:t>
      </w:r>
      <w:r>
        <w:rPr>
          <w:i w:val="0"/>
          <w:sz w:val="15"/>
        </w:rPr>
        <w:t xml:space="preserve">“Internet of Things for the Future of Smart Agriculture: A Comprehensive Survey of Emerging Technologies,” </w:t>
      </w:r>
      <w:r>
        <w:rPr>
          <w:i/>
          <w:sz w:val="15"/>
        </w:rPr>
        <w:t>IEEE/CAA Journal of Automatica Sinica</w:t>
      </w:r>
      <w:r>
        <w:rPr>
          <w:i w:val="0"/>
          <w:sz w:val="15"/>
        </w:rPr>
        <w:t>, vol. 8, no. 4, pp. 718–752, 2021</w:t>
      </w:r>
      <w:r>
        <w:rPr>
          <w:i w:val="0"/>
          <w:sz w:val="15"/>
        </w:rPr>
        <w:t>, doi: 10.1109/JAS.2021.1003925</w:t>
      </w:r>
      <w:r>
        <w:rPr>
          <w:i w:val="0"/>
          <w:sz w:val="15"/>
        </w:rPr>
        <w:t>.</w:t>
      </w:r>
    </w:p>
    <w:p>
      <w:pPr>
        <w:spacing w:after="20"/>
        <w:ind w:left="432" w:hanging="432"/>
      </w:pPr>
      <w:r>
        <w:rPr>
          <w:sz w:val="15"/>
        </w:rPr>
        <w:t>[16]</w:t>
        <w:tab/>
      </w:r>
      <w:r>
        <w:rPr>
          <w:i w:val="0"/>
          <w:sz w:val="15"/>
        </w:rPr>
        <w:t xml:space="preserve">J. M. Talavera et al., </w:t>
      </w:r>
      <w:r>
        <w:rPr>
          <w:i w:val="0"/>
          <w:sz w:val="15"/>
        </w:rPr>
        <w:t xml:space="preserve">“Review of IoT Applications in Agro-Industrial and Environmental Fields,” </w:t>
      </w:r>
      <w:r>
        <w:rPr>
          <w:i/>
          <w:sz w:val="15"/>
        </w:rPr>
        <w:t>Computers and Electronics in Agriculture</w:t>
      </w:r>
      <w:r>
        <w:rPr>
          <w:i w:val="0"/>
          <w:sz w:val="15"/>
        </w:rPr>
        <w:t>, vol. 142, pp. 283–297, 2017</w:t>
      </w:r>
      <w:r>
        <w:rPr>
          <w:i w:val="0"/>
          <w:sz w:val="15"/>
        </w:rPr>
        <w:t>, doi: 10.1016/j.compag.2017.09.015</w:t>
      </w:r>
      <w:r>
        <w:rPr>
          <w:i w:val="0"/>
          <w:sz w:val="15"/>
        </w:rPr>
        <w:t>.</w:t>
      </w:r>
    </w:p>
    <w:p>
      <w:pPr>
        <w:spacing w:after="20"/>
        <w:ind w:left="432" w:hanging="432"/>
      </w:pPr>
      <w:r>
        <w:rPr>
          <w:sz w:val="15"/>
        </w:rPr>
        <w:t>[17]</w:t>
        <w:tab/>
      </w:r>
      <w:r>
        <w:rPr>
          <w:i w:val="0"/>
          <w:sz w:val="15"/>
        </w:rPr>
        <w:t xml:space="preserve">L. Li, S. Zhang, and B. Wang, </w:t>
      </w:r>
      <w:r>
        <w:rPr>
          <w:i w:val="0"/>
          <w:sz w:val="15"/>
        </w:rPr>
        <w:t xml:space="preserve">“Plant Disease Detection and Classification by Deep Learning – A Review,” </w:t>
      </w:r>
      <w:r>
        <w:rPr>
          <w:i/>
          <w:sz w:val="15"/>
        </w:rPr>
        <w:t>IEEE Access</w:t>
      </w:r>
      <w:r>
        <w:rPr>
          <w:i w:val="0"/>
          <w:sz w:val="15"/>
        </w:rPr>
        <w:t>, vol. 9, pp. 56683–56698, 2021</w:t>
      </w:r>
      <w:r>
        <w:rPr>
          <w:i w:val="0"/>
          <w:sz w:val="15"/>
        </w:rPr>
        <w:t>, doi: 10.1109/ACCESS.2021.3069646</w:t>
      </w:r>
      <w:r>
        <w:rPr>
          <w:i w:val="0"/>
          <w:sz w:val="15"/>
        </w:rPr>
        <w:t>.</w:t>
      </w:r>
    </w:p>
    <w:p>
      <w:pPr>
        <w:spacing w:after="20"/>
        <w:ind w:left="432" w:hanging="432"/>
      </w:pPr>
      <w:r>
        <w:rPr>
          <w:sz w:val="15"/>
        </w:rPr>
        <w:t>[18]</w:t>
        <w:tab/>
      </w:r>
      <w:r>
        <w:rPr>
          <w:i w:val="0"/>
          <w:sz w:val="15"/>
        </w:rPr>
        <w:t xml:space="preserve">J. Liu, and X. Wang, </w:t>
      </w:r>
      <w:r>
        <w:rPr>
          <w:i w:val="0"/>
          <w:sz w:val="15"/>
        </w:rPr>
        <w:t xml:space="preserve">“Plant Diseases and Pests Detection Based on Deep Learning: A Review,” </w:t>
      </w:r>
      <w:r>
        <w:rPr>
          <w:i/>
          <w:sz w:val="15"/>
        </w:rPr>
        <w:t>Plant Methods</w:t>
      </w:r>
      <w:r>
        <w:rPr>
          <w:i w:val="0"/>
          <w:sz w:val="15"/>
        </w:rPr>
        <w:t>, vol. 17, Art. no. 22, 2021</w:t>
      </w:r>
      <w:r>
        <w:rPr>
          <w:i w:val="0"/>
          <w:sz w:val="15"/>
        </w:rPr>
        <w:t>, doi: 10.1186/s13007-021-00722-9</w:t>
      </w:r>
      <w:r>
        <w:rPr>
          <w:i w:val="0"/>
          <w:sz w:val="15"/>
        </w:rPr>
        <w:t>.</w:t>
      </w:r>
    </w:p>
    <w:p>
      <w:pPr>
        <w:spacing w:after="20"/>
        <w:ind w:left="432" w:hanging="432"/>
      </w:pPr>
      <w:r>
        <w:rPr>
          <w:sz w:val="15"/>
        </w:rPr>
        <w:t>[19]</w:t>
        <w:tab/>
      </w:r>
      <w:r>
        <w:rPr>
          <w:i w:val="0"/>
          <w:sz w:val="15"/>
        </w:rPr>
        <w:t xml:space="preserve">P. S. Thakur, P. Khanna, T. Sheorey, and A. Ojha, </w:t>
      </w:r>
      <w:r>
        <w:rPr>
          <w:i w:val="0"/>
          <w:sz w:val="15"/>
        </w:rPr>
        <w:t xml:space="preserve">“Trends in Vision-Based Machine Learning Techniques for Plant Disease Identification: A Systematic Review,” </w:t>
      </w:r>
      <w:r>
        <w:rPr>
          <w:i/>
          <w:sz w:val="15"/>
        </w:rPr>
        <w:t>Expert Systems with Applications</w:t>
      </w:r>
      <w:r>
        <w:rPr>
          <w:i w:val="0"/>
          <w:sz w:val="15"/>
        </w:rPr>
        <w:t>, vol. 208, Art. no. 118117, 2022</w:t>
      </w:r>
      <w:r>
        <w:rPr>
          <w:i w:val="0"/>
          <w:sz w:val="15"/>
        </w:rPr>
        <w:t>, doi: 10.1016/j.eswa.2022.118117</w:t>
      </w:r>
      <w:r>
        <w:rPr>
          <w:i w:val="0"/>
          <w:sz w:val="15"/>
        </w:rPr>
        <w:t>.</w:t>
      </w:r>
    </w:p>
    <w:p>
      <w:pPr>
        <w:spacing w:after="20"/>
        <w:ind w:left="432" w:hanging="432"/>
      </w:pPr>
      <w:r>
        <w:rPr>
          <w:sz w:val="15"/>
        </w:rPr>
        <w:t>[20]</w:t>
        <w:tab/>
      </w:r>
      <w:r>
        <w:rPr>
          <w:i w:val="0"/>
          <w:sz w:val="15"/>
        </w:rPr>
        <w:t xml:space="preserve">K. G. Liakos, P. Busato, D. Moshou, S. Pearson, and D. Bochtis, </w:t>
      </w:r>
      <w:r>
        <w:rPr>
          <w:i w:val="0"/>
          <w:sz w:val="15"/>
        </w:rPr>
        <w:t xml:space="preserve">“Machine Learning in Agriculture: A Review,” </w:t>
      </w:r>
      <w:r>
        <w:rPr>
          <w:i/>
          <w:sz w:val="15"/>
        </w:rPr>
        <w:t>Sensors</w:t>
      </w:r>
      <w:r>
        <w:rPr>
          <w:i w:val="0"/>
          <w:sz w:val="15"/>
        </w:rPr>
        <w:t>, vol. 18, no. 8, Art. no. 2674, 2018</w:t>
      </w:r>
      <w:r>
        <w:rPr>
          <w:i w:val="0"/>
          <w:sz w:val="15"/>
        </w:rPr>
        <w:t>, doi: 10.3390/s18082674</w:t>
      </w:r>
      <w:r>
        <w:rPr>
          <w:i w:val="0"/>
          <w:sz w:val="15"/>
        </w:rPr>
        <w:t>.</w:t>
      </w:r>
    </w:p>
    <w:p>
      <w:pPr>
        <w:spacing w:after="20"/>
        <w:ind w:left="432" w:hanging="432"/>
      </w:pPr>
      <w:r>
        <w:rPr>
          <w:sz w:val="15"/>
        </w:rPr>
        <w:t>[21]</w:t>
        <w:tab/>
      </w:r>
      <w:r>
        <w:rPr>
          <w:i w:val="0"/>
          <w:sz w:val="15"/>
        </w:rPr>
        <w:t xml:space="preserve">L. García, L. Parra, J. M. Jimenez, J. Lloret, and P. Lorenz, </w:t>
      </w:r>
      <w:r>
        <w:rPr>
          <w:i w:val="0"/>
          <w:sz w:val="15"/>
        </w:rPr>
        <w:t xml:space="preserve">“IoT-Based Smart Irrigation Systems: An Overview on the Recent Trends on Sensors and IoT Systems for Irrigation in Precision Agriculture,” </w:t>
      </w:r>
      <w:r>
        <w:rPr>
          <w:i/>
          <w:sz w:val="15"/>
        </w:rPr>
        <w:t>Sensors</w:t>
      </w:r>
      <w:r>
        <w:rPr>
          <w:i w:val="0"/>
          <w:sz w:val="15"/>
        </w:rPr>
        <w:t>, vol. 20, no. 4, Art. no. 1042, 2020</w:t>
      </w:r>
      <w:r>
        <w:rPr>
          <w:i w:val="0"/>
          <w:sz w:val="15"/>
        </w:rPr>
        <w:t>, doi: 10.3390/s20041042</w:t>
      </w:r>
      <w:r>
        <w:rPr>
          <w:i w:val="0"/>
          <w:sz w:val="15"/>
        </w:rPr>
        <w:t>.</w:t>
      </w:r>
    </w:p>
    <w:p>
      <w:pPr>
        <w:spacing w:after="20"/>
        <w:ind w:left="432" w:hanging="432"/>
      </w:pPr>
      <w:r>
        <w:rPr>
          <w:sz w:val="15"/>
        </w:rPr>
        <w:t>[22]</w:t>
        <w:tab/>
      </w:r>
      <w:r>
        <w:rPr>
          <w:i w:val="0"/>
          <w:sz w:val="15"/>
        </w:rPr>
        <w:t xml:space="preserve">M. Gupta, M. Abdelsalam, S. Khorsandroo, and S. Mittal, </w:t>
      </w:r>
      <w:r>
        <w:rPr>
          <w:i w:val="0"/>
          <w:sz w:val="15"/>
        </w:rPr>
        <w:t xml:space="preserve">“Security and Privacy in Smart Farming: Challenges and Opportunities,” </w:t>
      </w:r>
      <w:r>
        <w:rPr>
          <w:i/>
          <w:sz w:val="15"/>
        </w:rPr>
        <w:t>IEEE Access</w:t>
      </w:r>
      <w:r>
        <w:rPr>
          <w:i w:val="0"/>
          <w:sz w:val="15"/>
        </w:rPr>
        <w:t>, vol. 8, pp. 34564–34584, 2020</w:t>
      </w:r>
      <w:r>
        <w:rPr>
          <w:i w:val="0"/>
          <w:sz w:val="15"/>
        </w:rPr>
        <w:t>, doi: 10.1109/ACCESS.2020.2975142</w:t>
      </w:r>
      <w:r>
        <w:rPr>
          <w:i w:val="0"/>
          <w:sz w:val="15"/>
        </w:rPr>
        <w:t>.</w:t>
      </w:r>
    </w:p>
    <w:p>
      <w:pPr>
        <w:spacing w:after="20"/>
        <w:ind w:left="432" w:hanging="432"/>
      </w:pPr>
      <w:r>
        <w:rPr>
          <w:sz w:val="15"/>
        </w:rPr>
        <w:t>[23]</w:t>
        <w:tab/>
      </w:r>
      <w:r>
        <w:rPr>
          <w:i w:val="0"/>
          <w:sz w:val="15"/>
        </w:rPr>
        <w:t xml:space="preserve">P. Placidi, L. Gasperini, A. Grassi, M. Cecconi, and A. Scorzoni, </w:t>
      </w:r>
      <w:r>
        <w:rPr>
          <w:i w:val="0"/>
          <w:sz w:val="15"/>
        </w:rPr>
        <w:t xml:space="preserve">“Characterization of Low-Cost Capacitive Soil Moisture Sensors for IoT Networks,” </w:t>
      </w:r>
      <w:r>
        <w:rPr>
          <w:i/>
          <w:sz w:val="15"/>
        </w:rPr>
        <w:t>Sensors</w:t>
      </w:r>
      <w:r>
        <w:rPr>
          <w:i w:val="0"/>
          <w:sz w:val="15"/>
        </w:rPr>
        <w:t>, vol. 20, no. 12, Art. no. 3585, 2020</w:t>
      </w:r>
      <w:r>
        <w:rPr>
          <w:i w:val="0"/>
          <w:sz w:val="15"/>
        </w:rPr>
        <w:t>, doi: 10.3390/s20123585</w:t>
      </w:r>
      <w:r>
        <w:rPr>
          <w:i w:val="0"/>
          <w:sz w:val="15"/>
        </w:rPr>
        <w:t>.</w:t>
      </w:r>
    </w:p>
    <w:p>
      <w:pPr>
        <w:spacing w:after="20"/>
        <w:ind w:left="432" w:hanging="432"/>
      </w:pPr>
      <w:r>
        <w:rPr>
          <w:sz w:val="15"/>
        </w:rPr>
        <w:t>[24]</w:t>
        <w:tab/>
      </w:r>
      <w:r>
        <w:rPr>
          <w:i w:val="0"/>
          <w:sz w:val="15"/>
        </w:rPr>
        <w:t xml:space="preserve">R. G. Allen, L. S. Pereira, D. Raes, and M. Smith, </w:t>
      </w:r>
      <w:r>
        <w:rPr>
          <w:i/>
          <w:sz w:val="15"/>
        </w:rPr>
        <w:t>Crop Evapotranspiration: Guidelines for Computing Crop Water Requirements</w:t>
      </w:r>
      <w:r>
        <w:rPr>
          <w:i w:val="0"/>
          <w:sz w:val="15"/>
        </w:rPr>
        <w:t xml:space="preserve"> (FAO Irrigation and Drainage Paper 56). Rome, Italy: FAO, 1998</w:t>
      </w:r>
      <w:r>
        <w:rPr>
          <w:i w:val="0"/>
          <w:sz w:val="15"/>
        </w:rPr>
        <w:t>.</w:t>
      </w:r>
    </w:p>
    <w:p>
      <w:pPr>
        <w:spacing w:after="20"/>
        <w:ind w:left="432" w:hanging="432"/>
      </w:pPr>
      <w:r>
        <w:rPr>
          <w:sz w:val="15"/>
        </w:rPr>
        <w:t>[25]</w:t>
        <w:tab/>
      </w:r>
      <w:r>
        <w:rPr>
          <w:i w:val="0"/>
          <w:sz w:val="15"/>
        </w:rPr>
        <w:t xml:space="preserve">A. Augustin, J. Yi, T. Clausen, and W. M. Townsley, </w:t>
      </w:r>
      <w:r>
        <w:rPr>
          <w:i w:val="0"/>
          <w:sz w:val="15"/>
        </w:rPr>
        <w:t xml:space="preserve">“A Study of LoRa: Long Range &amp; Low Power Networks for the Internet of Things,” </w:t>
      </w:r>
      <w:r>
        <w:rPr>
          <w:i/>
          <w:sz w:val="15"/>
        </w:rPr>
        <w:t>Sensors</w:t>
      </w:r>
      <w:r>
        <w:rPr>
          <w:i w:val="0"/>
          <w:sz w:val="15"/>
        </w:rPr>
        <w:t>, vol. 16, no. 9, Art. no. 1466, 2016</w:t>
      </w:r>
      <w:r>
        <w:rPr>
          <w:i w:val="0"/>
          <w:sz w:val="15"/>
        </w:rPr>
        <w:t>, doi: 10.3390/s16091466</w:t>
      </w:r>
      <w:r>
        <w:rPr>
          <w:i w:val="0"/>
          <w:sz w:val="15"/>
        </w:rPr>
        <w:t>.</w:t>
      </w:r>
    </w:p>
    <w:p>
      <w:pPr>
        <w:spacing w:after="20"/>
        <w:ind w:left="432" w:hanging="432"/>
      </w:pPr>
      <w:r>
        <w:rPr>
          <w:sz w:val="15"/>
        </w:rPr>
        <w:t>[26]</w:t>
        <w:tab/>
      </w:r>
      <w:r>
        <w:rPr>
          <w:i w:val="0"/>
          <w:sz w:val="15"/>
        </w:rPr>
        <w:t xml:space="preserve">ThingsBoard, </w:t>
      </w:r>
      <w:r>
        <w:rPr>
          <w:i w:val="0"/>
          <w:sz w:val="15"/>
        </w:rPr>
        <w:t xml:space="preserve">“ThingsBoard Open-Source IoT Platform,” </w:t>
      </w:r>
      <w:r>
        <w:rPr>
          <w:i w:val="0"/>
          <w:sz w:val="15"/>
        </w:rPr>
        <w:t>2026</w:t>
      </w:r>
      <w:r>
        <w:rPr>
          <w:i w:val="0"/>
          <w:sz w:val="15"/>
        </w:rPr>
        <w:t>. [Online]. Available: https://thingsboard.io/</w:t>
      </w:r>
      <w:r>
        <w:rPr>
          <w:i w:val="0"/>
          <w:sz w:val="15"/>
        </w:rPr>
        <w:t>.</w:t>
      </w:r>
    </w:p>
    <w:p>
      <w:pPr>
        <w:spacing w:after="20"/>
        <w:ind w:left="432" w:hanging="432"/>
      </w:pPr>
      <w:r>
        <w:rPr>
          <w:sz w:val="15"/>
        </w:rPr>
        <w:t>[27]</w:t>
        <w:tab/>
      </w:r>
      <w:r>
        <w:rPr>
          <w:i w:val="0"/>
          <w:sz w:val="15"/>
        </w:rPr>
        <w:t xml:space="preserve">OpenRemote, </w:t>
      </w:r>
      <w:r>
        <w:rPr>
          <w:i w:val="0"/>
          <w:sz w:val="15"/>
        </w:rPr>
        <w:t xml:space="preserve">“OpenRemote Open-Source IoT Platform,” </w:t>
      </w:r>
      <w:r>
        <w:rPr>
          <w:i w:val="0"/>
          <w:sz w:val="15"/>
        </w:rPr>
        <w:t>2026</w:t>
      </w:r>
      <w:r>
        <w:rPr>
          <w:i w:val="0"/>
          <w:sz w:val="15"/>
        </w:rPr>
        <w:t>. [Online]. Available: https://openremote.io/</w:t>
      </w:r>
      <w:r>
        <w:rPr>
          <w:i w:val="0"/>
          <w:sz w:val="15"/>
        </w:rPr>
        <w:t>.</w:t>
      </w:r>
    </w:p>
    <w:p>
      <w:pPr>
        <w:spacing w:after="20"/>
        <w:ind w:left="432" w:hanging="432"/>
      </w:pPr>
      <w:r>
        <w:rPr>
          <w:sz w:val="15"/>
        </w:rPr>
        <w:t>[28]</w:t>
        <w:tab/>
      </w:r>
      <w:r>
        <w:rPr>
          <w:i w:val="0"/>
          <w:sz w:val="15"/>
        </w:rPr>
        <w:t xml:space="preserve">Supabase, </w:t>
      </w:r>
      <w:r>
        <w:rPr>
          <w:i w:val="0"/>
          <w:sz w:val="15"/>
        </w:rPr>
        <w:t xml:space="preserve">“Supabase: The Postgres Development Platform,” </w:t>
      </w:r>
      <w:r>
        <w:rPr>
          <w:i w:val="0"/>
          <w:sz w:val="15"/>
        </w:rPr>
        <w:t>2026</w:t>
      </w:r>
      <w:r>
        <w:rPr>
          <w:i w:val="0"/>
          <w:sz w:val="15"/>
        </w:rPr>
        <w:t>. [Online]. Available: https://supabase.com/docs</w:t>
      </w:r>
      <w:r>
        <w:rPr>
          <w:i w:val="0"/>
          <w:sz w:val="15"/>
        </w:rPr>
        <w:t>.</w:t>
      </w:r>
    </w:p>
    <w:p>
      <w:pPr>
        <w:spacing w:after="20"/>
        <w:ind w:left="432" w:hanging="432"/>
      </w:pPr>
      <w:r>
        <w:rPr>
          <w:sz w:val="15"/>
        </w:rPr>
        <w:t>[29]</w:t>
        <w:tab/>
      </w:r>
      <w:r>
        <w:rPr>
          <w:i w:val="0"/>
          <w:sz w:val="15"/>
        </w:rPr>
        <w:t xml:space="preserve">W. Shi, J. Cao, Q. Zhang, Y. Li, and L. Xu, </w:t>
      </w:r>
      <w:r>
        <w:rPr>
          <w:i w:val="0"/>
          <w:sz w:val="15"/>
        </w:rPr>
        <w:t xml:space="preserve">“Edge Computing: Vision and Challenges,” </w:t>
      </w:r>
      <w:r>
        <w:rPr>
          <w:i/>
          <w:sz w:val="15"/>
        </w:rPr>
        <w:t>IEEE Internet of Things Journal</w:t>
      </w:r>
      <w:r>
        <w:rPr>
          <w:i w:val="0"/>
          <w:sz w:val="15"/>
        </w:rPr>
        <w:t>, vol. 3, no. 5, pp. 637–646, 2016</w:t>
      </w:r>
      <w:r>
        <w:rPr>
          <w:i w:val="0"/>
          <w:sz w:val="15"/>
        </w:rPr>
        <w:t>, doi: 10.1109/JIOT.2016.2579198</w:t>
      </w:r>
      <w:r>
        <w:rPr>
          <w:i w:val="0"/>
          <w:sz w:val="15"/>
        </w:rPr>
        <w:t>.</w:t>
      </w:r>
    </w:p>
    <w:p>
      <w:pPr>
        <w:spacing w:after="20"/>
        <w:ind w:left="432" w:hanging="432"/>
      </w:pPr>
      <w:r>
        <w:rPr>
          <w:sz w:val="15"/>
        </w:rPr>
        <w:t>[30]</w:t>
        <w:tab/>
      </w:r>
      <w:r>
        <w:rPr>
          <w:i w:val="0"/>
          <w:sz w:val="15"/>
        </w:rPr>
        <w:t xml:space="preserve">M. Satyanarayanan, </w:t>
      </w:r>
      <w:r>
        <w:rPr>
          <w:i w:val="0"/>
          <w:sz w:val="15"/>
        </w:rPr>
        <w:t xml:space="preserve">“The Emergence of Edge Computing,” </w:t>
      </w:r>
      <w:r>
        <w:rPr>
          <w:i/>
          <w:sz w:val="15"/>
        </w:rPr>
        <w:t>Computer</w:t>
      </w:r>
      <w:r>
        <w:rPr>
          <w:i w:val="0"/>
          <w:sz w:val="15"/>
        </w:rPr>
        <w:t>, vol. 50, no. 1, pp. 30–39, 2017</w:t>
      </w:r>
      <w:r>
        <w:rPr>
          <w:i w:val="0"/>
          <w:sz w:val="15"/>
        </w:rPr>
        <w:t>, doi: 10.1109/MC.2017.9</w:t>
      </w:r>
      <w:r>
        <w:rPr>
          <w:i w:val="0"/>
          <w:sz w:val="15"/>
        </w:rPr>
        <w:t>.</w:t>
      </w:r>
    </w:p>
    <w:p>
      <w:pPr>
        <w:spacing w:after="20"/>
        <w:ind w:left="432" w:hanging="432"/>
      </w:pPr>
      <w:r>
        <w:rPr>
          <w:sz w:val="15"/>
        </w:rPr>
        <w:t>[31]</w:t>
        <w:tab/>
      </w:r>
      <w:r>
        <w:rPr>
          <w:i w:val="0"/>
          <w:sz w:val="15"/>
        </w:rPr>
        <w:t xml:space="preserve">H. Navarro-Hellín, J. Martínez-del-Rincón, R. Domingo-Miguel, F. Soto-Valles, and R. Torres-S\'anchez, </w:t>
      </w:r>
      <w:r>
        <w:rPr>
          <w:i w:val="0"/>
          <w:sz w:val="15"/>
        </w:rPr>
        <w:t xml:space="preserve">“A Decision Support System for Managing Irrigation in Agriculture,” </w:t>
      </w:r>
      <w:r>
        <w:rPr>
          <w:i/>
          <w:sz w:val="15"/>
        </w:rPr>
        <w:t>Computers and Electronics in Agriculture</w:t>
      </w:r>
      <w:r>
        <w:rPr>
          <w:i w:val="0"/>
          <w:sz w:val="15"/>
        </w:rPr>
        <w:t>, vol. 124, pp. 121–131, 2016</w:t>
      </w:r>
      <w:r>
        <w:rPr>
          <w:i w:val="0"/>
          <w:sz w:val="15"/>
        </w:rPr>
        <w:t>, doi: 10.1016/j.compag.2016.04.003</w:t>
      </w:r>
      <w:r>
        <w:rPr>
          <w:i w:val="0"/>
          <w:sz w:val="15"/>
        </w:rPr>
        <w:t>.</w:t>
      </w:r>
    </w:p>
    <w:p>
      <w:pPr>
        <w:spacing w:after="20"/>
        <w:ind w:left="432" w:hanging="432"/>
      </w:pPr>
      <w:r>
        <w:rPr>
          <w:sz w:val="15"/>
        </w:rPr>
        <w:t>[32]</w:t>
        <w:tab/>
      </w:r>
      <w:r>
        <w:rPr>
          <w:i w:val="0"/>
          <w:sz w:val="15"/>
        </w:rPr>
        <w:t xml:space="preserve">A. Goap, D. Sharma, A. K. Shukla, and C. Rama Krishna, </w:t>
      </w:r>
      <w:r>
        <w:rPr>
          <w:i w:val="0"/>
          <w:sz w:val="15"/>
        </w:rPr>
        <w:t xml:space="preserve">“An IoT Based Smart Irrigation Management System Using Machine Learning and Open Source Technologies,” </w:t>
      </w:r>
      <w:r>
        <w:rPr>
          <w:i/>
          <w:sz w:val="15"/>
        </w:rPr>
        <w:t>Computers and Electronics in Agriculture</w:t>
      </w:r>
      <w:r>
        <w:rPr>
          <w:i w:val="0"/>
          <w:sz w:val="15"/>
        </w:rPr>
        <w:t>, vol. 155, pp. 41–49, 2018</w:t>
      </w:r>
      <w:r>
        <w:rPr>
          <w:i w:val="0"/>
          <w:sz w:val="15"/>
        </w:rPr>
        <w:t>, doi: 10.1016/j.compag.2018.09.040</w:t>
      </w:r>
      <w:r>
        <w:rPr>
          <w:i w:val="0"/>
          <w:sz w:val="15"/>
        </w:rPr>
        <w:t>.</w:t>
      </w:r>
    </w:p>
    <w:p>
      <w:pPr>
        <w:spacing w:after="20"/>
        <w:ind w:left="432" w:hanging="432"/>
      </w:pPr>
      <w:r>
        <w:rPr>
          <w:sz w:val="15"/>
        </w:rPr>
        <w:t>[33]</w:t>
        <w:tab/>
      </w:r>
      <w:r>
        <w:rPr>
          <w:i w:val="0"/>
          <w:sz w:val="15"/>
        </w:rPr>
        <w:t xml:space="preserve">C. Kamienski et al., </w:t>
      </w:r>
      <w:r>
        <w:rPr>
          <w:i w:val="0"/>
          <w:sz w:val="15"/>
        </w:rPr>
        <w:t xml:space="preserve">“Smart Water Management Platform: IoT-Based Precision Irrigation for Agriculture,” </w:t>
      </w:r>
      <w:r>
        <w:rPr>
          <w:i/>
          <w:sz w:val="15"/>
        </w:rPr>
        <w:t>Sensors</w:t>
      </w:r>
      <w:r>
        <w:rPr>
          <w:i w:val="0"/>
          <w:sz w:val="15"/>
        </w:rPr>
        <w:t>, vol. 19, no. 2, Art. no. 276, 2019</w:t>
      </w:r>
      <w:r>
        <w:rPr>
          <w:i w:val="0"/>
          <w:sz w:val="15"/>
        </w:rPr>
        <w:t>, doi: 10.3390/s19020276</w:t>
      </w:r>
      <w:r>
        <w:rPr>
          <w:i w:val="0"/>
          <w:sz w:val="15"/>
        </w:rPr>
        <w:t>.</w:t>
      </w:r>
    </w:p>
    <w:p>
      <w:pPr>
        <w:spacing w:after="20"/>
        <w:ind w:left="432" w:hanging="432"/>
      </w:pPr>
      <w:r>
        <w:rPr>
          <w:sz w:val="15"/>
        </w:rPr>
        <w:t>[34]</w:t>
        <w:tab/>
      </w:r>
      <w:r>
        <w:rPr>
          <w:i w:val="0"/>
          <w:sz w:val="15"/>
        </w:rPr>
        <w:t xml:space="preserve">J. Gutiérrez, J. F. Villa-Medina, A. Nieto-Garibay, and M. Porta-G\'andara, </w:t>
      </w:r>
      <w:r>
        <w:rPr>
          <w:i w:val="0"/>
          <w:sz w:val="15"/>
        </w:rPr>
        <w:t xml:space="preserve">“Automated Irrigation System Using a Wireless Sensor Network and GPRS Module,” </w:t>
      </w:r>
      <w:r>
        <w:rPr>
          <w:i/>
          <w:sz w:val="15"/>
        </w:rPr>
        <w:t>IEEE Transactions on Instrumentation and Measurement</w:t>
      </w:r>
      <w:r>
        <w:rPr>
          <w:i w:val="0"/>
          <w:sz w:val="15"/>
        </w:rPr>
        <w:t>, vol. 63, no. 1, pp. 166–176, 2014</w:t>
      </w:r>
      <w:r>
        <w:rPr>
          <w:i w:val="0"/>
          <w:sz w:val="15"/>
        </w:rPr>
        <w:t>, doi: 10.1109/TIM.2013.2276487</w:t>
      </w:r>
      <w:r>
        <w:rPr>
          <w:i w:val="0"/>
          <w:sz w:val="15"/>
        </w:rPr>
        <w:t>.</w:t>
      </w:r>
    </w:p>
    <w:p>
      <w:pPr>
        <w:spacing w:after="20"/>
        <w:ind w:left="432" w:hanging="432"/>
      </w:pPr>
      <w:r>
        <w:rPr>
          <w:sz w:val="15"/>
        </w:rPr>
        <w:t>[35]</w:t>
        <w:tab/>
      </w:r>
      <w:r>
        <w:rPr>
          <w:i w:val="0"/>
          <w:sz w:val="15"/>
        </w:rPr>
        <w:t xml:space="preserve">D. Vallejo-Gómez, M. Osorio, and C. A. Hincapié, </w:t>
      </w:r>
      <w:r>
        <w:rPr>
          <w:i w:val="0"/>
          <w:sz w:val="15"/>
        </w:rPr>
        <w:t xml:space="preserve">“Smart Irrigation Systems in Agriculture: A Systematic Review,” </w:t>
      </w:r>
      <w:r>
        <w:rPr>
          <w:i/>
          <w:sz w:val="15"/>
        </w:rPr>
        <w:t>Agronomy</w:t>
      </w:r>
      <w:r>
        <w:rPr>
          <w:i w:val="0"/>
          <w:sz w:val="15"/>
        </w:rPr>
        <w:t>, vol. 13, no. 2, Art. no. 342, 2023</w:t>
      </w:r>
      <w:r>
        <w:rPr>
          <w:i w:val="0"/>
          <w:sz w:val="15"/>
        </w:rPr>
        <w:t>, doi: 10.3390/agronomy13020342</w:t>
      </w:r>
      <w:r>
        <w:rPr>
          <w:i w:val="0"/>
          <w:sz w:val="15"/>
        </w:rPr>
        <w:t>.</w:t>
      </w:r>
    </w:p>
    <w:p>
      <w:pPr>
        <w:spacing w:after="20"/>
        <w:ind w:left="432" w:hanging="432"/>
      </w:pPr>
      <w:r>
        <w:rPr>
          <w:sz w:val="15"/>
        </w:rPr>
        <w:t>[36]</w:t>
        <w:tab/>
      </w:r>
      <w:r>
        <w:rPr>
          <w:i w:val="0"/>
          <w:sz w:val="15"/>
        </w:rPr>
        <w:t xml:space="preserve">K. Usman, and A. Zubairu, </w:t>
      </w:r>
      <w:r>
        <w:rPr>
          <w:i w:val="0"/>
          <w:sz w:val="15"/>
        </w:rPr>
        <w:t xml:space="preserve">“The Use of AI in IoT-Based Smart Irrigation,” </w:t>
      </w:r>
      <w:r>
        <w:rPr>
          <w:i/>
          <w:sz w:val="15"/>
        </w:rPr>
        <w:t>CEDTECH International Journal of Natural and Applied Sciences</w:t>
      </w:r>
      <w:r>
        <w:rPr>
          <w:i w:val="0"/>
          <w:sz w:val="15"/>
        </w:rPr>
        <w:t>, vol. 7, no. 1, pp. 57–72, 2026</w:t>
      </w:r>
      <w:r>
        <w:rPr>
          <w:i w:val="0"/>
          <w:sz w:val="15"/>
        </w:rPr>
        <w:t>, doi: 10.5281/zenodo.20611846</w:t>
      </w:r>
      <w:r>
        <w:rPr>
          <w:i w:val="0"/>
          <w:sz w:val="15"/>
        </w:rPr>
        <w:t>.</w:t>
      </w:r>
    </w:p>
    <w:p>
      <w:pPr>
        <w:spacing w:after="20"/>
        <w:ind w:left="432" w:hanging="432"/>
      </w:pPr>
      <w:r>
        <w:rPr>
          <w:sz w:val="15"/>
        </w:rPr>
        <w:t>[37]</w:t>
        <w:tab/>
      </w:r>
      <w:r>
        <w:rPr>
          <w:i w:val="0"/>
          <w:sz w:val="15"/>
        </w:rPr>
        <w:t xml:space="preserve">Z. E. Mohamed, M. K. Afify, M. M. Badr, and O. A. Omar, </w:t>
      </w:r>
      <w:r>
        <w:rPr>
          <w:i w:val="0"/>
          <w:sz w:val="15"/>
        </w:rPr>
        <w:t xml:space="preserve">“IoT-Driven Smart Irrigation System to Improve Water Use Efficiency,” </w:t>
      </w:r>
      <w:r>
        <w:rPr>
          <w:i/>
          <w:sz w:val="15"/>
        </w:rPr>
        <w:t>Scientific Reports</w:t>
      </w:r>
      <w:r>
        <w:rPr>
          <w:i w:val="0"/>
          <w:sz w:val="15"/>
        </w:rPr>
        <w:t>, vol. 16, Art. no. 2609, 2026</w:t>
      </w:r>
      <w:r>
        <w:rPr>
          <w:i w:val="0"/>
          <w:sz w:val="15"/>
        </w:rPr>
        <w:t>, doi: 10.1038/s41598-025-33826-6</w:t>
      </w:r>
      <w:r>
        <w:rPr>
          <w:i w:val="0"/>
          <w:sz w:val="15"/>
        </w:rPr>
        <w:t>.</w:t>
      </w:r>
    </w:p>
    <w:p>
      <w:pPr>
        <w:spacing w:after="20"/>
        <w:ind w:left="432" w:hanging="432"/>
      </w:pPr>
      <w:r>
        <w:rPr>
          <w:sz w:val="15"/>
        </w:rPr>
        <w:t>[38]</w:t>
        <w:tab/>
      </w:r>
      <w:r>
        <w:rPr>
          <w:i w:val="0"/>
          <w:sz w:val="15"/>
        </w:rPr>
        <w:t xml:space="preserve">D. P. Hughes, and M. Salathé, </w:t>
      </w:r>
      <w:r>
        <w:rPr>
          <w:i w:val="0"/>
          <w:sz w:val="15"/>
        </w:rPr>
        <w:t xml:space="preserve">“An Open Access Repository of Images on Plant Health to Enable the Development of Mobile Disease Diagnostics,” </w:t>
      </w:r>
      <w:r>
        <w:rPr>
          <w:i/>
          <w:sz w:val="15"/>
        </w:rPr>
        <w:t>arXiv preprint arXiv:1511.08060</w:t>
      </w:r>
      <w:r>
        <w:rPr>
          <w:i w:val="0"/>
          <w:sz w:val="15"/>
        </w:rPr>
        <w:t>, 2015</w:t>
      </w:r>
      <w:r>
        <w:rPr>
          <w:i w:val="0"/>
          <w:sz w:val="15"/>
        </w:rPr>
        <w:t>.</w:t>
      </w:r>
    </w:p>
    <w:p>
      <w:pPr>
        <w:spacing w:after="20"/>
        <w:ind w:left="432" w:hanging="432"/>
      </w:pPr>
      <w:r>
        <w:rPr>
          <w:sz w:val="15"/>
        </w:rPr>
        <w:t>[39]</w:t>
        <w:tab/>
      </w:r>
      <w:r>
        <w:rPr>
          <w:i w:val="0"/>
          <w:sz w:val="15"/>
        </w:rPr>
        <w:t xml:space="preserve">D. Singh, N. Jain, P. Jain, P. Kayal, S. Kumawat, and N. Batra, </w:t>
      </w:r>
      <w:r>
        <w:rPr>
          <w:i w:val="0"/>
          <w:sz w:val="15"/>
        </w:rPr>
        <w:t xml:space="preserve">“PlantDoc: A Dataset for Visual Plant Disease Detection,” in </w:t>
      </w:r>
      <w:r>
        <w:rPr>
          <w:i/>
          <w:sz w:val="15"/>
        </w:rPr>
        <w:t>Proc. 7th ACM IKDD CoDS and 25th COMAD</w:t>
      </w:r>
      <w:r>
        <w:rPr>
          <w:i w:val="0"/>
          <w:sz w:val="15"/>
        </w:rPr>
        <w:t>, 2020, pp. 249–253</w:t>
      </w:r>
      <w:r>
        <w:rPr>
          <w:i w:val="0"/>
          <w:sz w:val="15"/>
        </w:rPr>
        <w:t>, doi: 10.1145/3371158.3371196</w:t>
      </w:r>
      <w:r>
        <w:rPr>
          <w:i w:val="0"/>
          <w:sz w:val="15"/>
        </w:rPr>
        <w:t>.</w:t>
      </w:r>
    </w:p>
    <w:p>
      <w:pPr>
        <w:spacing w:after="20"/>
        <w:ind w:left="432" w:hanging="432"/>
      </w:pPr>
      <w:r>
        <w:rPr>
          <w:sz w:val="15"/>
        </w:rPr>
        <w:t>[40]</w:t>
        <w:tab/>
      </w:r>
      <w:r>
        <w:rPr>
          <w:i w:val="0"/>
          <w:sz w:val="15"/>
        </w:rPr>
        <w:t xml:space="preserve">E. Mwebaze, T. Gebru, A. Frome, S. Nsumba, and J. Tusubira, </w:t>
      </w:r>
      <w:r>
        <w:rPr>
          <w:i w:val="0"/>
          <w:sz w:val="15"/>
        </w:rPr>
        <w:t xml:space="preserve">“iCassava 2019 Fine-Grained Visual Categorization Challenge,” </w:t>
      </w:r>
      <w:r>
        <w:rPr>
          <w:i/>
          <w:sz w:val="15"/>
        </w:rPr>
        <w:t>arXiv preprint arXiv:1908.02900</w:t>
      </w:r>
      <w:r>
        <w:rPr>
          <w:i w:val="0"/>
          <w:sz w:val="15"/>
        </w:rPr>
        <w:t>, 2019</w:t>
      </w:r>
      <w:r>
        <w:rPr>
          <w:i w:val="0"/>
          <w:sz w:val="15"/>
        </w:rPr>
        <w:t>.</w:t>
      </w:r>
    </w:p>
    <w:p>
      <w:pPr>
        <w:spacing w:after="20"/>
        <w:ind w:left="432" w:hanging="432"/>
      </w:pPr>
      <w:r>
        <w:rPr>
          <w:sz w:val="15"/>
        </w:rPr>
        <w:t>[41]</w:t>
        <w:tab/>
      </w:r>
      <w:r>
        <w:rPr>
          <w:i w:val="0"/>
          <w:sz w:val="15"/>
        </w:rPr>
        <w:t xml:space="preserve">R. Thapa, K. Zhang, N. Snavely, S. Belongie, and A. Khan, </w:t>
      </w:r>
      <w:r>
        <w:rPr>
          <w:i w:val="0"/>
          <w:sz w:val="15"/>
        </w:rPr>
        <w:t xml:space="preserve">“The Plant Pathology Challenge 2020 Data Set to Classify Foliar Disease of Apples,” </w:t>
      </w:r>
      <w:r>
        <w:rPr>
          <w:i/>
          <w:sz w:val="15"/>
        </w:rPr>
        <w:t>Applications in Plant Sciences</w:t>
      </w:r>
      <w:r>
        <w:rPr>
          <w:i w:val="0"/>
          <w:sz w:val="15"/>
        </w:rPr>
        <w:t>, vol. 8, no. 9, Art. no. e11390, 2020</w:t>
      </w:r>
      <w:r>
        <w:rPr>
          <w:i w:val="0"/>
          <w:sz w:val="15"/>
        </w:rPr>
        <w:t>, doi: 10.1002/aps3.11390</w:t>
      </w:r>
      <w:r>
        <w:rPr>
          <w:i w:val="0"/>
          <w:sz w:val="15"/>
        </w:rPr>
        <w:t>.</w:t>
      </w:r>
    </w:p>
    <w:p>
      <w:pPr>
        <w:spacing w:after="20"/>
        <w:ind w:left="432" w:hanging="432"/>
      </w:pPr>
      <w:r>
        <w:rPr>
          <w:sz w:val="15"/>
        </w:rPr>
        <w:t>[42]</w:t>
        <w:tab/>
      </w:r>
      <w:r>
        <w:rPr>
          <w:i w:val="0"/>
          <w:sz w:val="15"/>
        </w:rPr>
        <w:t xml:space="preserve">T. Wei et al., </w:t>
      </w:r>
      <w:r>
        <w:rPr>
          <w:i w:val="0"/>
          <w:sz w:val="15"/>
        </w:rPr>
        <w:t xml:space="preserve">“PlantWild: An In-the-Wild Plant Disease Recognition Dataset,” </w:t>
      </w:r>
      <w:r>
        <w:rPr>
          <w:i w:val="0"/>
          <w:sz w:val="15"/>
        </w:rPr>
        <w:t>2024</w:t>
      </w:r>
      <w:r>
        <w:rPr>
          <w:i w:val="0"/>
          <w:sz w:val="15"/>
        </w:rPr>
        <w:t>. [Online]. Available: https://huggingface.co/datasets/uqtwei2/PlantWild</w:t>
      </w:r>
      <w:r>
        <w:rPr>
          <w:i w:val="0"/>
          <w:sz w:val="15"/>
        </w:rPr>
        <w:t>.</w:t>
      </w:r>
    </w:p>
    <w:p>
      <w:pPr>
        <w:spacing w:after="20"/>
        <w:ind w:left="432" w:hanging="432"/>
      </w:pPr>
      <w:r>
        <w:rPr>
          <w:sz w:val="15"/>
        </w:rPr>
        <w:t>[43]</w:t>
        <w:tab/>
      </w:r>
      <w:r>
        <w:rPr>
          <w:i w:val="0"/>
          <w:sz w:val="15"/>
        </w:rPr>
        <w:t xml:space="preserve">N. Sankalana, </w:t>
      </w:r>
      <w:r>
        <w:rPr>
          <w:i w:val="0"/>
          <w:sz w:val="15"/>
        </w:rPr>
        <w:t xml:space="preserve">“Rice Leaf Disease Image Samples,” </w:t>
      </w:r>
      <w:r>
        <w:rPr>
          <w:i w:val="0"/>
          <w:sz w:val="15"/>
        </w:rPr>
        <w:t>2023</w:t>
      </w:r>
      <w:r>
        <w:rPr>
          <w:i w:val="0"/>
          <w:sz w:val="15"/>
        </w:rPr>
        <w:t>. [Online]. Available: Kaggle dataset, https://www.kaggle.com/datasets/nirmalsankalana/rice-leaf-disease-image</w:t>
      </w:r>
      <w:r>
        <w:rPr>
          <w:i w:val="0"/>
          <w:sz w:val="15"/>
        </w:rPr>
        <w:t>.</w:t>
      </w:r>
    </w:p>
    <w:p>
      <w:pPr>
        <w:spacing w:after="20"/>
        <w:ind w:left="432" w:hanging="432"/>
      </w:pPr>
      <w:r>
        <w:rPr>
          <w:sz w:val="15"/>
        </w:rPr>
        <w:t>[44]</w:t>
        <w:tab/>
      </w:r>
      <w:r>
        <w:rPr>
          <w:i w:val="0"/>
          <w:sz w:val="15"/>
        </w:rPr>
        <w:t xml:space="preserve">K. P. Ferentinos, </w:t>
      </w:r>
      <w:r>
        <w:rPr>
          <w:i w:val="0"/>
          <w:sz w:val="15"/>
        </w:rPr>
        <w:t xml:space="preserve">“Deep Learning Models for Plant Disease Detection and Diagnosis,” </w:t>
      </w:r>
      <w:r>
        <w:rPr>
          <w:i/>
          <w:sz w:val="15"/>
        </w:rPr>
        <w:t>Computers and Electronics in Agriculture</w:t>
      </w:r>
      <w:r>
        <w:rPr>
          <w:i w:val="0"/>
          <w:sz w:val="15"/>
        </w:rPr>
        <w:t>, vol. 145, pp. 311–318, 2018</w:t>
      </w:r>
      <w:r>
        <w:rPr>
          <w:i w:val="0"/>
          <w:sz w:val="15"/>
        </w:rPr>
        <w:t>, doi: 10.1016/j.compag.2018.01.009</w:t>
      </w:r>
      <w:r>
        <w:rPr>
          <w:i w:val="0"/>
          <w:sz w:val="15"/>
        </w:rPr>
        <w:t>.</w:t>
      </w:r>
    </w:p>
    <w:p>
      <w:pPr>
        <w:spacing w:after="20"/>
        <w:ind w:left="432" w:hanging="432"/>
      </w:pPr>
      <w:r>
        <w:rPr>
          <w:sz w:val="15"/>
        </w:rPr>
        <w:t>[45]</w:t>
        <w:tab/>
      </w:r>
      <w:r>
        <w:rPr>
          <w:i w:val="0"/>
          <w:sz w:val="15"/>
        </w:rPr>
        <w:t xml:space="preserve">K. Simonyan, and A. Zisserman, </w:t>
      </w:r>
      <w:r>
        <w:rPr>
          <w:i w:val="0"/>
          <w:sz w:val="15"/>
        </w:rPr>
        <w:t xml:space="preserve">“Very Deep Convolutional Networks for Large-Scale Image Recognition,” in </w:t>
      </w:r>
      <w:r>
        <w:rPr>
          <w:i/>
          <w:sz w:val="15"/>
        </w:rPr>
        <w:t>Proc. Int. Conf. Learning Representations (ICLR)</w:t>
      </w:r>
      <w:r>
        <w:rPr>
          <w:i w:val="0"/>
          <w:sz w:val="15"/>
        </w:rPr>
        <w:t>, 2015</w:t>
      </w:r>
      <w:r>
        <w:rPr>
          <w:i w:val="0"/>
          <w:sz w:val="15"/>
        </w:rPr>
        <w:t>.</w:t>
      </w:r>
    </w:p>
    <w:p>
      <w:pPr>
        <w:spacing w:after="20"/>
        <w:ind w:left="432" w:hanging="432"/>
      </w:pPr>
      <w:r>
        <w:rPr>
          <w:sz w:val="15"/>
        </w:rPr>
        <w:t>[46]</w:t>
        <w:tab/>
      </w:r>
      <w:r>
        <w:rPr>
          <w:i w:val="0"/>
          <w:sz w:val="15"/>
        </w:rPr>
        <w:t xml:space="preserve">E. C. Too, L. Yujian, S. Njuki, and L. Yingchun, </w:t>
      </w:r>
      <w:r>
        <w:rPr>
          <w:i w:val="0"/>
          <w:sz w:val="15"/>
        </w:rPr>
        <w:t xml:space="preserve">“A Comparative Study of Fine-Tuning Deep Learning Models for Plant Disease Identification,” </w:t>
      </w:r>
      <w:r>
        <w:rPr>
          <w:i/>
          <w:sz w:val="15"/>
        </w:rPr>
        <w:t>Computers and Electronics in Agriculture</w:t>
      </w:r>
      <w:r>
        <w:rPr>
          <w:i w:val="0"/>
          <w:sz w:val="15"/>
        </w:rPr>
        <w:t>, vol. 161, pp. 272–279, 2019</w:t>
      </w:r>
      <w:r>
        <w:rPr>
          <w:i w:val="0"/>
          <w:sz w:val="15"/>
        </w:rPr>
        <w:t>, doi: 10.1016/j.compag.2018.03.032</w:t>
      </w:r>
      <w:r>
        <w:rPr>
          <w:i w:val="0"/>
          <w:sz w:val="15"/>
        </w:rPr>
        <w:t>.</w:t>
      </w:r>
    </w:p>
    <w:p>
      <w:pPr>
        <w:spacing w:after="20"/>
        <w:ind w:left="432" w:hanging="432"/>
      </w:pPr>
      <w:r>
        <w:rPr>
          <w:sz w:val="15"/>
        </w:rPr>
        <w:t>[47]</w:t>
        <w:tab/>
      </w:r>
      <w:r>
        <w:rPr>
          <w:i w:val="0"/>
          <w:sz w:val="15"/>
        </w:rPr>
        <w:t xml:space="preserve">S. Sladojevic, M. Arsenovic, A. Anderla, D. Culibrk, and D. Stefanovic, </w:t>
      </w:r>
      <w:r>
        <w:rPr>
          <w:i w:val="0"/>
          <w:sz w:val="15"/>
        </w:rPr>
        <w:t xml:space="preserve">“Deep Neural Networks Based Recognition of Plant Diseases by Leaf Image Classification,” </w:t>
      </w:r>
      <w:r>
        <w:rPr>
          <w:i/>
          <w:sz w:val="15"/>
        </w:rPr>
        <w:t>Computational Intelligence and Neuroscience</w:t>
      </w:r>
      <w:r>
        <w:rPr>
          <w:i w:val="0"/>
          <w:sz w:val="15"/>
        </w:rPr>
        <w:t>, vol. 2016, Art. no. 3289801, 2016</w:t>
      </w:r>
      <w:r>
        <w:rPr>
          <w:i w:val="0"/>
          <w:sz w:val="15"/>
        </w:rPr>
        <w:t>, doi: 10.1155/2016/3289801</w:t>
      </w:r>
      <w:r>
        <w:rPr>
          <w:i w:val="0"/>
          <w:sz w:val="15"/>
        </w:rPr>
        <w:t>.</w:t>
      </w:r>
    </w:p>
    <w:p>
      <w:pPr>
        <w:spacing w:after="20"/>
        <w:ind w:left="432" w:hanging="432"/>
      </w:pPr>
      <w:r>
        <w:rPr>
          <w:sz w:val="15"/>
        </w:rPr>
        <w:t>[48]</w:t>
        <w:tab/>
      </w:r>
      <w:r>
        <w:rPr>
          <w:i w:val="0"/>
          <w:sz w:val="15"/>
        </w:rPr>
        <w:t xml:space="preserve">M. Brahimi, K. Boukhalfa, and A. Moussaoui, </w:t>
      </w:r>
      <w:r>
        <w:rPr>
          <w:i w:val="0"/>
          <w:sz w:val="15"/>
        </w:rPr>
        <w:t xml:space="preserve">“Deep Learning for Tomato Diseases: Classification and Symptoms Visualization,” </w:t>
      </w:r>
      <w:r>
        <w:rPr>
          <w:i/>
          <w:sz w:val="15"/>
        </w:rPr>
        <w:t>Applied Artificial Intelligence</w:t>
      </w:r>
      <w:r>
        <w:rPr>
          <w:i w:val="0"/>
          <w:sz w:val="15"/>
        </w:rPr>
        <w:t>, vol. 31, no. 4, pp. 299–315, 2017</w:t>
      </w:r>
      <w:r>
        <w:rPr>
          <w:i w:val="0"/>
          <w:sz w:val="15"/>
        </w:rPr>
        <w:t>, doi: 10.1080/08839514.2017.1315516</w:t>
      </w:r>
      <w:r>
        <w:rPr>
          <w:i w:val="0"/>
          <w:sz w:val="15"/>
        </w:rPr>
        <w:t>.</w:t>
      </w:r>
    </w:p>
    <w:p>
      <w:pPr>
        <w:spacing w:after="20"/>
        <w:ind w:left="432" w:hanging="432"/>
      </w:pPr>
      <w:r>
        <w:rPr>
          <w:sz w:val="15"/>
        </w:rPr>
        <w:t>[49]</w:t>
        <w:tab/>
      </w:r>
      <w:r>
        <w:rPr>
          <w:i w:val="0"/>
          <w:sz w:val="15"/>
        </w:rPr>
        <w:t xml:space="preserve">A. G. Howard et al., </w:t>
      </w:r>
      <w:r>
        <w:rPr>
          <w:i w:val="0"/>
          <w:sz w:val="15"/>
        </w:rPr>
        <w:t xml:space="preserve">“MobileNets: Efficient Convolutional Neural Networks for Mobile Vision Applications,” </w:t>
      </w:r>
      <w:r>
        <w:rPr>
          <w:i/>
          <w:sz w:val="15"/>
        </w:rPr>
        <w:t>arXiv preprint arXiv:1704.04861</w:t>
      </w:r>
      <w:r>
        <w:rPr>
          <w:i w:val="0"/>
          <w:sz w:val="15"/>
        </w:rPr>
        <w:t>, 2017</w:t>
      </w:r>
      <w:r>
        <w:rPr>
          <w:i w:val="0"/>
          <w:sz w:val="15"/>
        </w:rPr>
        <w:t>.</w:t>
      </w:r>
    </w:p>
    <w:p>
      <w:pPr>
        <w:spacing w:after="20"/>
        <w:ind w:left="432" w:hanging="432"/>
      </w:pPr>
      <w:r>
        <w:rPr>
          <w:sz w:val="15"/>
        </w:rPr>
        <w:t>[50]</w:t>
        <w:tab/>
      </w:r>
      <w:r>
        <w:rPr>
          <w:i w:val="0"/>
          <w:sz w:val="15"/>
        </w:rPr>
        <w:t xml:space="preserve">M. Sandler, A. Howard, M. Zhu, A. Zhmoginov, and L. Chen, </w:t>
      </w:r>
      <w:r>
        <w:rPr>
          <w:i w:val="0"/>
          <w:sz w:val="15"/>
        </w:rPr>
        <w:t xml:space="preserve">“MobileNetV2: Inverted Residuals and Linear Bottlenecks,” in </w:t>
      </w:r>
      <w:r>
        <w:rPr>
          <w:i/>
          <w:sz w:val="15"/>
        </w:rPr>
        <w:t>Proc. IEEE Conf. Computer Vision and Pattern Recognition (CVPR)</w:t>
      </w:r>
      <w:r>
        <w:rPr>
          <w:i w:val="0"/>
          <w:sz w:val="15"/>
        </w:rPr>
        <w:t>, 2018, pp. 4510–4520</w:t>
      </w:r>
      <w:r>
        <w:rPr>
          <w:i w:val="0"/>
          <w:sz w:val="15"/>
        </w:rPr>
        <w:t>, doi: 10.1109/CVPR.2018.00474</w:t>
      </w:r>
      <w:r>
        <w:rPr>
          <w:i w:val="0"/>
          <w:sz w:val="15"/>
        </w:rPr>
        <w:t>.</w:t>
      </w:r>
    </w:p>
    <w:p>
      <w:pPr>
        <w:spacing w:after="20"/>
        <w:ind w:left="432" w:hanging="432"/>
      </w:pPr>
      <w:r>
        <w:rPr>
          <w:sz w:val="15"/>
        </w:rPr>
        <w:t>[51]</w:t>
        <w:tab/>
      </w:r>
      <w:r>
        <w:rPr>
          <w:i w:val="0"/>
          <w:sz w:val="15"/>
        </w:rPr>
        <w:t xml:space="preserve">M. Tan, and Q. V. Le, </w:t>
      </w:r>
      <w:r>
        <w:rPr>
          <w:i w:val="0"/>
          <w:sz w:val="15"/>
        </w:rPr>
        <w:t xml:space="preserve">“EfficientNet: Rethinking Model Scaling for Convolutional Neural Networks,” in </w:t>
      </w:r>
      <w:r>
        <w:rPr>
          <w:i/>
          <w:sz w:val="15"/>
        </w:rPr>
        <w:t>Proc. 36th Int. Conf. Machine Learning (ICML)</w:t>
      </w:r>
      <w:r>
        <w:rPr>
          <w:i w:val="0"/>
          <w:sz w:val="15"/>
        </w:rPr>
        <w:t>, 2019, pp. 6105–6114</w:t>
      </w:r>
      <w:r>
        <w:rPr>
          <w:i w:val="0"/>
          <w:sz w:val="15"/>
        </w:rPr>
        <w:t>.</w:t>
      </w:r>
    </w:p>
    <w:p>
      <w:pPr>
        <w:spacing w:after="20"/>
        <w:ind w:left="432" w:hanging="432"/>
      </w:pPr>
      <w:r>
        <w:rPr>
          <w:sz w:val="15"/>
        </w:rPr>
        <w:t>[52]</w:t>
        <w:tab/>
      </w:r>
      <w:r>
        <w:rPr>
          <w:i w:val="0"/>
          <w:sz w:val="15"/>
        </w:rPr>
        <w:t xml:space="preserve">A. Ramcharan, K. Baranowski, P. McCloskey, B. Ahmed, J. Legg, and D. P. Hughes, </w:t>
      </w:r>
      <w:r>
        <w:rPr>
          <w:i w:val="0"/>
          <w:sz w:val="15"/>
        </w:rPr>
        <w:t xml:space="preserve">“Deep Learning for Image-Based Cassava Disease Detection,” </w:t>
      </w:r>
      <w:r>
        <w:rPr>
          <w:i/>
          <w:sz w:val="15"/>
        </w:rPr>
        <w:t>Frontiers in Plant Science</w:t>
      </w:r>
      <w:r>
        <w:rPr>
          <w:i w:val="0"/>
          <w:sz w:val="15"/>
        </w:rPr>
        <w:t>, vol. 8, Art. no. 1852, 2017</w:t>
      </w:r>
      <w:r>
        <w:rPr>
          <w:i w:val="0"/>
          <w:sz w:val="15"/>
        </w:rPr>
        <w:t>, doi: 10.3389/fpls.2017.01852</w:t>
      </w:r>
      <w:r>
        <w:rPr>
          <w:i w:val="0"/>
          <w:sz w:val="15"/>
        </w:rPr>
        <w:t>.</w:t>
      </w:r>
    </w:p>
    <w:p>
      <w:pPr>
        <w:spacing w:after="20"/>
        <w:ind w:left="432" w:hanging="432"/>
      </w:pPr>
      <w:r>
        <w:rPr>
          <w:sz w:val="15"/>
        </w:rPr>
        <w:t>[53]</w:t>
        <w:tab/>
      </w:r>
      <w:r>
        <w:rPr>
          <w:i w:val="0"/>
          <w:sz w:val="15"/>
        </w:rPr>
        <w:t xml:space="preserve">A. Ramcharan et al., </w:t>
      </w:r>
      <w:r>
        <w:rPr>
          <w:i w:val="0"/>
          <w:sz w:val="15"/>
        </w:rPr>
        <w:t xml:space="preserve">“A Mobile-Based Deep Learning Model for Cassava Disease Diagnosis,” </w:t>
      </w:r>
      <w:r>
        <w:rPr>
          <w:i/>
          <w:sz w:val="15"/>
        </w:rPr>
        <w:t>Frontiers in Plant Science</w:t>
      </w:r>
      <w:r>
        <w:rPr>
          <w:i w:val="0"/>
          <w:sz w:val="15"/>
        </w:rPr>
        <w:t>, vol. 10, Art. no. 272, 2019</w:t>
      </w:r>
      <w:r>
        <w:rPr>
          <w:i w:val="0"/>
          <w:sz w:val="15"/>
        </w:rPr>
        <w:t>, doi: 10.3389/fpls.2019.00272</w:t>
      </w:r>
      <w:r>
        <w:rPr>
          <w:i w:val="0"/>
          <w:sz w:val="15"/>
        </w:rPr>
        <w:t>.</w:t>
      </w:r>
    </w:p>
    <w:p>
      <w:pPr>
        <w:spacing w:after="20"/>
        <w:ind w:left="432" w:hanging="432"/>
      </w:pPr>
      <w:r>
        <w:rPr>
          <w:sz w:val="15"/>
        </w:rPr>
        <w:t>[54]</w:t>
        <w:tab/>
      </w:r>
      <w:r>
        <w:rPr>
          <w:i w:val="0"/>
          <w:sz w:val="15"/>
        </w:rPr>
        <w:t xml:space="preserve">A. Fuentes, S. Yoon, S. C. Kim, and D. S. Park, </w:t>
      </w:r>
      <w:r>
        <w:rPr>
          <w:i w:val="0"/>
          <w:sz w:val="15"/>
        </w:rPr>
        <w:t xml:space="preserve">“A Robust Deep-Learning-Based Detector for Real-Time Tomato Plant Diseases and Pests Recognition,” </w:t>
      </w:r>
      <w:r>
        <w:rPr>
          <w:i/>
          <w:sz w:val="15"/>
        </w:rPr>
        <w:t>Sensors</w:t>
      </w:r>
      <w:r>
        <w:rPr>
          <w:i w:val="0"/>
          <w:sz w:val="15"/>
        </w:rPr>
        <w:t>, vol. 17, no. 9, Art. no. 2022, 2017</w:t>
      </w:r>
      <w:r>
        <w:rPr>
          <w:i w:val="0"/>
          <w:sz w:val="15"/>
        </w:rPr>
        <w:t>, doi: 10.3390/s17092022</w:t>
      </w:r>
      <w:r>
        <w:rPr>
          <w:i w:val="0"/>
          <w:sz w:val="15"/>
        </w:rPr>
        <w:t>.</w:t>
      </w:r>
    </w:p>
    <w:p>
      <w:pPr>
        <w:spacing w:after="20"/>
        <w:ind w:left="432" w:hanging="432"/>
      </w:pPr>
      <w:r>
        <w:rPr>
          <w:sz w:val="15"/>
        </w:rPr>
        <w:t>[55]</w:t>
        <w:tab/>
      </w:r>
      <w:r>
        <w:rPr>
          <w:i w:val="0"/>
          <w:sz w:val="15"/>
        </w:rPr>
        <w:t xml:space="preserve">J. Redmon, S. Divvala, R. Girshick, and A. Farhadi, </w:t>
      </w:r>
      <w:r>
        <w:rPr>
          <w:i w:val="0"/>
          <w:sz w:val="15"/>
        </w:rPr>
        <w:t xml:space="preserve">“You Only Look Once: Unified, Real-Time Object Detection,” in </w:t>
      </w:r>
      <w:r>
        <w:rPr>
          <w:i/>
          <w:sz w:val="15"/>
        </w:rPr>
        <w:t>Proc. IEEE Conf. Computer Vision and Pattern Recognition (CVPR)</w:t>
      </w:r>
      <w:r>
        <w:rPr>
          <w:i w:val="0"/>
          <w:sz w:val="15"/>
        </w:rPr>
        <w:t>, 2016, pp. 779–788</w:t>
      </w:r>
      <w:r>
        <w:rPr>
          <w:i w:val="0"/>
          <w:sz w:val="15"/>
        </w:rPr>
        <w:t>, doi: 10.1109/CVPR.2016.91</w:t>
      </w:r>
      <w:r>
        <w:rPr>
          <w:i w:val="0"/>
          <w:sz w:val="15"/>
        </w:rPr>
        <w:t>.</w:t>
      </w:r>
    </w:p>
    <w:p>
      <w:pPr>
        <w:spacing w:after="20"/>
        <w:ind w:left="432" w:hanging="432"/>
      </w:pPr>
      <w:r>
        <w:rPr>
          <w:sz w:val="15"/>
        </w:rPr>
        <w:t>[56]</w:t>
        <w:tab/>
      </w:r>
      <w:r>
        <w:rPr>
          <w:i w:val="0"/>
          <w:sz w:val="15"/>
        </w:rPr>
        <w:t xml:space="preserve">J. Liu, and X. Wang, </w:t>
      </w:r>
      <w:r>
        <w:rPr>
          <w:i w:val="0"/>
          <w:sz w:val="15"/>
        </w:rPr>
        <w:t xml:space="preserve">“Tomato Diseases and Pests Detection Based on Improved YOLO V3 Convolutional Neural Network,” </w:t>
      </w:r>
      <w:r>
        <w:rPr>
          <w:i/>
          <w:sz w:val="15"/>
        </w:rPr>
        <w:t>Frontiers in Plant Science</w:t>
      </w:r>
      <w:r>
        <w:rPr>
          <w:i w:val="0"/>
          <w:sz w:val="15"/>
        </w:rPr>
        <w:t>, vol. 11, Art. no. 898, 2020</w:t>
      </w:r>
      <w:r>
        <w:rPr>
          <w:i w:val="0"/>
          <w:sz w:val="15"/>
        </w:rPr>
        <w:t>, doi: 10.3389/fpls.2020.00898</w:t>
      </w:r>
      <w:r>
        <w:rPr>
          <w:i w:val="0"/>
          <w:sz w:val="15"/>
        </w:rPr>
        <w:t>.</w:t>
      </w:r>
    </w:p>
    <w:p>
      <w:pPr>
        <w:spacing w:after="20"/>
        <w:ind w:left="432" w:hanging="432"/>
      </w:pPr>
      <w:r>
        <w:rPr>
          <w:sz w:val="15"/>
        </w:rPr>
        <w:t>[57]</w:t>
        <w:tab/>
      </w:r>
      <w:r>
        <w:rPr>
          <w:i w:val="0"/>
          <w:sz w:val="15"/>
        </w:rPr>
        <w:t xml:space="preserve">A. Dosovitskiy et al., </w:t>
      </w:r>
      <w:r>
        <w:rPr>
          <w:i w:val="0"/>
          <w:sz w:val="15"/>
        </w:rPr>
        <w:t xml:space="preserve">“An Image is Worth 16×16 Words: Transformers for Image Recognition at Scale,” in </w:t>
      </w:r>
      <w:r>
        <w:rPr>
          <w:i/>
          <w:sz w:val="15"/>
        </w:rPr>
        <w:t>Proc. Int. Conf. Learning Representations (ICLR)</w:t>
      </w:r>
      <w:r>
        <w:rPr>
          <w:i w:val="0"/>
          <w:sz w:val="15"/>
        </w:rPr>
        <w:t>, 2021</w:t>
      </w:r>
      <w:r>
        <w:rPr>
          <w:i w:val="0"/>
          <w:sz w:val="15"/>
        </w:rPr>
        <w:t>.</w:t>
      </w:r>
    </w:p>
    <w:p>
      <w:pPr>
        <w:spacing w:after="20"/>
        <w:ind w:left="432" w:hanging="432"/>
      </w:pPr>
      <w:r>
        <w:rPr>
          <w:sz w:val="15"/>
        </w:rPr>
        <w:t>[58]</w:t>
        <w:tab/>
      </w:r>
      <w:r>
        <w:rPr>
          <w:i w:val="0"/>
          <w:sz w:val="15"/>
        </w:rPr>
        <w:t xml:space="preserve">Z. Salman, A. Muhammad, and D. Han, </w:t>
      </w:r>
      <w:r>
        <w:rPr>
          <w:i w:val="0"/>
          <w:sz w:val="15"/>
        </w:rPr>
        <w:t xml:space="preserve">“Plant Disease Classification in the Wild Using Vision Transformers and Mixture of Experts,” </w:t>
      </w:r>
      <w:r>
        <w:rPr>
          <w:i/>
          <w:sz w:val="15"/>
        </w:rPr>
        <w:t>Frontiers in Plant Science</w:t>
      </w:r>
      <w:r>
        <w:rPr>
          <w:i w:val="0"/>
          <w:sz w:val="15"/>
        </w:rPr>
        <w:t>, vol. 16, Art. no. 1522985, 2025</w:t>
      </w:r>
      <w:r>
        <w:rPr>
          <w:i w:val="0"/>
          <w:sz w:val="15"/>
        </w:rPr>
        <w:t>, doi: 10.3389/fpls.2025.1522985</w:t>
      </w:r>
      <w:r>
        <w:rPr>
          <w:i w:val="0"/>
          <w:sz w:val="15"/>
        </w:rPr>
        <w:t>.</w:t>
      </w:r>
    </w:p>
    <w:p>
      <w:pPr>
        <w:spacing w:after="20"/>
        <w:ind w:left="432" w:hanging="432"/>
      </w:pPr>
      <w:r>
        <w:rPr>
          <w:sz w:val="15"/>
        </w:rPr>
        <w:t>[59]</w:t>
        <w:tab/>
      </w:r>
      <w:r>
        <w:rPr>
          <w:i w:val="0"/>
          <w:sz w:val="15"/>
        </w:rPr>
        <w:t xml:space="preserve">D. Argüeso et al., </w:t>
      </w:r>
      <w:r>
        <w:rPr>
          <w:i w:val="0"/>
          <w:sz w:val="15"/>
        </w:rPr>
        <w:t xml:space="preserve">“Few-Shot Learning Approach for Plant Disease Classification Using Images Taken in the Field,” </w:t>
      </w:r>
      <w:r>
        <w:rPr>
          <w:i/>
          <w:sz w:val="15"/>
        </w:rPr>
        <w:t>Computers and Electronics in Agriculture</w:t>
      </w:r>
      <w:r>
        <w:rPr>
          <w:i w:val="0"/>
          <w:sz w:val="15"/>
        </w:rPr>
        <w:t>, vol. 175, Art. no. 105542, 2020</w:t>
      </w:r>
      <w:r>
        <w:rPr>
          <w:i w:val="0"/>
          <w:sz w:val="15"/>
        </w:rPr>
        <w:t>, doi: 10.1016/j.compag.2020.105542</w:t>
      </w:r>
      <w:r>
        <w:rPr>
          <w:i w:val="0"/>
          <w:sz w:val="15"/>
        </w:rPr>
        <w:t>.</w:t>
      </w:r>
    </w:p>
    <w:p>
      <w:pPr>
        <w:spacing w:after="20"/>
        <w:ind w:left="432" w:hanging="432"/>
      </w:pPr>
      <w:r>
        <w:rPr>
          <w:sz w:val="15"/>
        </w:rPr>
        <w:t>[60]</w:t>
        <w:tab/>
      </w:r>
      <w:r>
        <w:rPr>
          <w:i w:val="0"/>
          <w:sz w:val="15"/>
        </w:rPr>
        <w:t xml:space="preserve">Y. Toda, and F. Okura, </w:t>
      </w:r>
      <w:r>
        <w:rPr>
          <w:i w:val="0"/>
          <w:sz w:val="15"/>
        </w:rPr>
        <w:t xml:space="preserve">“How Convolutional Neural Networks Diagnose Plant Disease,” </w:t>
      </w:r>
      <w:r>
        <w:rPr>
          <w:i/>
          <w:sz w:val="15"/>
        </w:rPr>
        <w:t>Plant Phenomics</w:t>
      </w:r>
      <w:r>
        <w:rPr>
          <w:i w:val="0"/>
          <w:sz w:val="15"/>
        </w:rPr>
        <w:t>, vol. 2019, Art. no. 9237136, 2019</w:t>
      </w:r>
      <w:r>
        <w:rPr>
          <w:i w:val="0"/>
          <w:sz w:val="15"/>
        </w:rPr>
        <w:t>, doi: 10.34133/2019/9237136</w:t>
      </w:r>
      <w:r>
        <w:rPr>
          <w:i w:val="0"/>
          <w:sz w:val="15"/>
        </w:rPr>
        <w:t>.</w:t>
      </w:r>
    </w:p>
    <w:p>
      <w:pPr>
        <w:spacing w:after="20"/>
        <w:ind w:left="432" w:hanging="432"/>
      </w:pPr>
      <w:r>
        <w:rPr>
          <w:sz w:val="15"/>
        </w:rPr>
        <w:t>[61]</w:t>
        <w:tab/>
      </w:r>
      <w:r>
        <w:rPr>
          <w:i w:val="0"/>
          <w:sz w:val="15"/>
        </w:rPr>
        <w:t xml:space="preserve">R. R. Selvaraju, M. Cogswell, A. Das, R. Vedantam, D. Parikh, and D. Batra, </w:t>
      </w:r>
      <w:r>
        <w:rPr>
          <w:i w:val="0"/>
          <w:sz w:val="15"/>
        </w:rPr>
        <w:t xml:space="preserve">“Grad-CAM: Visual Explanations from Deep Networks via Gradient-Based Localization,” in </w:t>
      </w:r>
      <w:r>
        <w:rPr>
          <w:i/>
          <w:sz w:val="15"/>
        </w:rPr>
        <w:t>Proc. IEEE Int. Conf. Computer Vision (ICCV)</w:t>
      </w:r>
      <w:r>
        <w:rPr>
          <w:i w:val="0"/>
          <w:sz w:val="15"/>
        </w:rPr>
        <w:t>, 2017, pp. 618–626</w:t>
      </w:r>
      <w:r>
        <w:rPr>
          <w:i w:val="0"/>
          <w:sz w:val="15"/>
        </w:rPr>
        <w:t>, doi: 10.1109/ICCV.2017.74</w:t>
      </w:r>
      <w:r>
        <w:rPr>
          <w:i w:val="0"/>
          <w:sz w:val="15"/>
        </w:rPr>
        <w:t>.</w:t>
      </w:r>
    </w:p>
    <w:p>
      <w:pPr>
        <w:spacing w:after="20"/>
        <w:ind w:left="432" w:hanging="432"/>
      </w:pPr>
      <w:r>
        <w:rPr>
          <w:sz w:val="15"/>
        </w:rPr>
        <w:t>[62]</w:t>
        <w:tab/>
      </w:r>
      <w:r>
        <w:rPr>
          <w:i w:val="0"/>
          <w:sz w:val="15"/>
        </w:rPr>
        <w:t xml:space="preserve">R. Samanta, B. Saha, and S. K. Ghosh, </w:t>
      </w:r>
      <w:r>
        <w:rPr>
          <w:i w:val="0"/>
          <w:sz w:val="15"/>
        </w:rPr>
        <w:t xml:space="preserve">“LeafSense: A Portable, Low-Cost, Low-Power Plant Disease Diagnostic Device Using TinyML,” in </w:t>
      </w:r>
      <w:r>
        <w:rPr>
          <w:i/>
          <w:sz w:val="15"/>
        </w:rPr>
        <w:t>Proc. 4th Int. Conf. AI-ML Systems</w:t>
      </w:r>
      <w:r>
        <w:rPr>
          <w:i w:val="0"/>
          <w:sz w:val="15"/>
        </w:rPr>
        <w:t>, 2024</w:t>
      </w:r>
      <w:r>
        <w:rPr>
          <w:i w:val="0"/>
          <w:sz w:val="15"/>
        </w:rPr>
        <w:t>, doi: 10.1145/3703412.3703438</w:t>
      </w:r>
      <w:r>
        <w:rPr>
          <w:i w:val="0"/>
          <w:sz w:val="15"/>
        </w:rPr>
        <w:t>.</w:t>
      </w:r>
    </w:p>
    <w:p>
      <w:pPr>
        <w:spacing w:after="20"/>
        <w:ind w:left="432" w:hanging="432"/>
      </w:pPr>
      <w:r>
        <w:rPr>
          <w:sz w:val="15"/>
        </w:rPr>
        <w:t>[63]</w:t>
        <w:tab/>
      </w:r>
      <w:r>
        <w:rPr>
          <w:i w:val="0"/>
          <w:sz w:val="15"/>
        </w:rPr>
        <w:t xml:space="preserve">H. Aqasizade, M. Antonini, M. Vecchio, and F. Antonelli, </w:t>
      </w:r>
      <w:r>
        <w:rPr>
          <w:i w:val="0"/>
          <w:sz w:val="15"/>
        </w:rPr>
        <w:t xml:space="preserve">“A TinyMLOps Pipeline for Coarse-Grained Plant Disease Classification in Precision Agriculture,” </w:t>
      </w:r>
      <w:r>
        <w:rPr>
          <w:i/>
          <w:sz w:val="15"/>
        </w:rPr>
        <w:t>Sensors</w:t>
      </w:r>
      <w:r>
        <w:rPr>
          <w:i w:val="0"/>
          <w:sz w:val="15"/>
        </w:rPr>
        <w:t>, vol. 26, no. 16, Art. no. 5029, 2026</w:t>
      </w:r>
      <w:r>
        <w:rPr>
          <w:i w:val="0"/>
          <w:sz w:val="15"/>
        </w:rPr>
        <w:t>, doi: 10.3390/s26165029</w:t>
      </w:r>
      <w:r>
        <w:rPr>
          <w:i w:val="0"/>
          <w:sz w:val="15"/>
        </w:rPr>
        <w:t>.</w:t>
      </w:r>
    </w:p>
    <w:p>
      <w:pPr>
        <w:spacing w:after="20"/>
        <w:ind w:left="432" w:hanging="432"/>
      </w:pPr>
      <w:r>
        <w:rPr>
          <w:sz w:val="15"/>
        </w:rPr>
        <w:t>[64]</w:t>
        <w:tab/>
      </w:r>
      <w:r>
        <w:rPr>
          <w:i w:val="0"/>
          <w:sz w:val="15"/>
        </w:rPr>
        <w:t xml:space="preserve">J. P. Nyakuri, C. Nkundineza, O. Gatera, K. Nkurikiyeyezu, and G. Mwitende, </w:t>
      </w:r>
      <w:r>
        <w:rPr>
          <w:i w:val="0"/>
          <w:sz w:val="15"/>
        </w:rPr>
        <w:t xml:space="preserve">“AI and IoT-Powered Edge Device Optimized for Crop Pest and Disease Detection,” </w:t>
      </w:r>
      <w:r>
        <w:rPr>
          <w:i/>
          <w:sz w:val="15"/>
        </w:rPr>
        <w:t>Scientific Reports</w:t>
      </w:r>
      <w:r>
        <w:rPr>
          <w:i w:val="0"/>
          <w:sz w:val="15"/>
        </w:rPr>
        <w:t>, vol. 15, Art. no. 22905, 2025</w:t>
      </w:r>
      <w:r>
        <w:rPr>
          <w:i w:val="0"/>
          <w:sz w:val="15"/>
        </w:rPr>
        <w:t>, doi: 10.1038/s41598-025-06452-5</w:t>
      </w:r>
      <w:r>
        <w:rPr>
          <w:i w:val="0"/>
          <w:sz w:val="15"/>
        </w:rPr>
        <w:t>.</w:t>
      </w:r>
    </w:p>
    <w:p>
      <w:pPr>
        <w:spacing w:after="20"/>
        <w:ind w:left="432" w:hanging="432"/>
      </w:pPr>
      <w:r>
        <w:rPr>
          <w:sz w:val="15"/>
        </w:rPr>
        <w:t>[65]</w:t>
        <w:tab/>
      </w:r>
      <w:r>
        <w:rPr>
          <w:i w:val="0"/>
          <w:sz w:val="15"/>
        </w:rPr>
        <w:t xml:space="preserve">J. G. A. Barbedo, </w:t>
      </w:r>
      <w:r>
        <w:rPr>
          <w:i w:val="0"/>
          <w:sz w:val="15"/>
        </w:rPr>
        <w:t xml:space="preserve">“Factors Influencing the Use of Deep Learning for Plant Disease Recognition,” </w:t>
      </w:r>
      <w:r>
        <w:rPr>
          <w:i/>
          <w:sz w:val="15"/>
        </w:rPr>
        <w:t>Biosystems Engineering</w:t>
      </w:r>
      <w:r>
        <w:rPr>
          <w:i w:val="0"/>
          <w:sz w:val="15"/>
        </w:rPr>
        <w:t>, vol. 172, pp. 84–91, 2018</w:t>
      </w:r>
      <w:r>
        <w:rPr>
          <w:i w:val="0"/>
          <w:sz w:val="15"/>
        </w:rPr>
        <w:t>, doi: 10.1016/j.biosystemseng.2018.05.013</w:t>
      </w:r>
      <w:r>
        <w:rPr>
          <w:i w:val="0"/>
          <w:sz w:val="15"/>
        </w:rPr>
        <w:t>.</w:t>
      </w:r>
    </w:p>
    <w:p>
      <w:pPr>
        <w:spacing w:after="20"/>
        <w:ind w:left="432" w:hanging="432"/>
      </w:pPr>
      <w:r>
        <w:rPr>
          <w:sz w:val="15"/>
        </w:rPr>
        <w:t>[66]</w:t>
        <w:tab/>
      </w:r>
      <w:r>
        <w:rPr>
          <w:i w:val="0"/>
          <w:sz w:val="15"/>
        </w:rPr>
        <w:t xml:space="preserve">J. G. A. Barbedo, </w:t>
      </w:r>
      <w:r>
        <w:rPr>
          <w:i w:val="0"/>
          <w:sz w:val="15"/>
        </w:rPr>
        <w:t xml:space="preserve">“Plant Disease Identification from Individual Lesions and Spots Using Deep Learning,” </w:t>
      </w:r>
      <w:r>
        <w:rPr>
          <w:i/>
          <w:sz w:val="15"/>
        </w:rPr>
        <w:t>Biosystems Engineering</w:t>
      </w:r>
      <w:r>
        <w:rPr>
          <w:i w:val="0"/>
          <w:sz w:val="15"/>
        </w:rPr>
        <w:t>, vol. 180, pp. 96–107, 2019</w:t>
      </w:r>
      <w:r>
        <w:rPr>
          <w:i w:val="0"/>
          <w:sz w:val="15"/>
        </w:rPr>
        <w:t>, doi: 10.1016/j.biosystemseng.2019.02.002</w:t>
      </w:r>
      <w:r>
        <w:rPr>
          <w:i w:val="0"/>
          <w:sz w:val="15"/>
        </w:rPr>
        <w:t>.</w:t>
      </w:r>
    </w:p>
    <w:p>
      <w:pPr>
        <w:spacing w:after="20"/>
        <w:ind w:left="432" w:hanging="432"/>
      </w:pPr>
      <w:r>
        <w:rPr>
          <w:sz w:val="15"/>
        </w:rPr>
        <w:t>[67]</w:t>
        <w:tab/>
      </w:r>
      <w:r>
        <w:rPr>
          <w:i w:val="0"/>
          <w:sz w:val="15"/>
        </w:rPr>
        <w:t xml:space="preserve">A. Picon, A. Alvarez-Gila, M. Seitz, A. Ortiz-Barredo, J. Echazarra, and A. Johannes, </w:t>
      </w:r>
      <w:r>
        <w:rPr>
          <w:i w:val="0"/>
          <w:sz w:val="15"/>
        </w:rPr>
        <w:t xml:space="preserve">“Deep Convolutional Neural Networks for Mobile Capture Device-Based Crop Disease Classification in the Wild,” </w:t>
      </w:r>
      <w:r>
        <w:rPr>
          <w:i/>
          <w:sz w:val="15"/>
        </w:rPr>
        <w:t>Computers and Electronics in Agriculture</w:t>
      </w:r>
      <w:r>
        <w:rPr>
          <w:i w:val="0"/>
          <w:sz w:val="15"/>
        </w:rPr>
        <w:t>, vol. 161, pp. 280–290, 2019</w:t>
      </w:r>
      <w:r>
        <w:rPr>
          <w:i w:val="0"/>
          <w:sz w:val="15"/>
        </w:rPr>
        <w:t>, doi: 10.1016/j.compag.2018.04.002</w:t>
      </w:r>
      <w:r>
        <w:rPr>
          <w:i w:val="0"/>
          <w:sz w:val="15"/>
        </w:rPr>
        <w:t>.</w:t>
      </w:r>
    </w:p>
    <w:p>
      <w:pPr>
        <w:spacing w:after="20"/>
        <w:ind w:left="432" w:hanging="432"/>
      </w:pPr>
      <w:r>
        <w:rPr>
          <w:sz w:val="15"/>
        </w:rPr>
        <w:t>[68]</w:t>
        <w:tab/>
      </w:r>
      <w:r>
        <w:rPr>
          <w:i w:val="0"/>
          <w:sz w:val="15"/>
        </w:rPr>
        <w:t xml:space="preserve">S. Ben-David, J. Blitzer, K. Crammer, A. Kulesza, F. Pereira, and J. W. Vaughan, </w:t>
      </w:r>
      <w:r>
        <w:rPr>
          <w:i w:val="0"/>
          <w:sz w:val="15"/>
        </w:rPr>
        <w:t xml:space="preserve">“A Theory of Learning from Different Domains,” </w:t>
      </w:r>
      <w:r>
        <w:rPr>
          <w:i/>
          <w:sz w:val="15"/>
        </w:rPr>
        <w:t>Machine Learning</w:t>
      </w:r>
      <w:r>
        <w:rPr>
          <w:i w:val="0"/>
          <w:sz w:val="15"/>
        </w:rPr>
        <w:t>, vol. 79, no. 1–2, pp. 151–175, 2010</w:t>
      </w:r>
      <w:r>
        <w:rPr>
          <w:i w:val="0"/>
          <w:sz w:val="15"/>
        </w:rPr>
        <w:t>, doi: 10.1007/s10994-009-5152-4</w:t>
      </w:r>
      <w:r>
        <w:rPr>
          <w:i w:val="0"/>
          <w:sz w:val="15"/>
        </w:rPr>
        <w:t>.</w:t>
      </w:r>
    </w:p>
    <w:p>
      <w:pPr>
        <w:spacing w:after="20"/>
        <w:ind w:left="432" w:hanging="432"/>
      </w:pPr>
      <w:r>
        <w:rPr>
          <w:sz w:val="15"/>
        </w:rPr>
        <w:t>[69]</w:t>
        <w:tab/>
      </w:r>
      <w:r>
        <w:rPr>
          <w:i w:val="0"/>
          <w:sz w:val="15"/>
        </w:rPr>
        <w:t xml:space="preserve">A. Torralba, and A. A. Efros, </w:t>
      </w:r>
      <w:r>
        <w:rPr>
          <w:i w:val="0"/>
          <w:sz w:val="15"/>
        </w:rPr>
        <w:t xml:space="preserve">“Unbiased Look at Dataset Bias,” in </w:t>
      </w:r>
      <w:r>
        <w:rPr>
          <w:i/>
          <w:sz w:val="15"/>
        </w:rPr>
        <w:t>Proc. IEEE Conf. Computer Vision and Pattern Recognition (CVPR)</w:t>
      </w:r>
      <w:r>
        <w:rPr>
          <w:i w:val="0"/>
          <w:sz w:val="15"/>
        </w:rPr>
        <w:t>, 2011, pp. 1521–1528</w:t>
      </w:r>
      <w:r>
        <w:rPr>
          <w:i w:val="0"/>
          <w:sz w:val="15"/>
        </w:rPr>
        <w:t>, doi: 10.1109/CVPR.2011.5995347</w:t>
      </w:r>
      <w:r>
        <w:rPr>
          <w:i w:val="0"/>
          <w:sz w:val="15"/>
        </w:rPr>
        <w:t>.</w:t>
      </w:r>
    </w:p>
    <w:p>
      <w:pPr>
        <w:spacing w:after="20"/>
        <w:ind w:left="432" w:hanging="432"/>
      </w:pPr>
      <w:r>
        <w:rPr>
          <w:sz w:val="15"/>
        </w:rPr>
        <w:t>[70]</w:t>
        <w:tab/>
      </w:r>
      <w:r>
        <w:rPr>
          <w:i w:val="0"/>
          <w:sz w:val="15"/>
        </w:rPr>
        <w:t xml:space="preserve">B. Recht, R. Roelofs, L. Schmidt, and V. Shankar, </w:t>
      </w:r>
      <w:r>
        <w:rPr>
          <w:i w:val="0"/>
          <w:sz w:val="15"/>
        </w:rPr>
        <w:t xml:space="preserve">“Do ImageNet Classifiers Generalize to ImageNet?,” in </w:t>
      </w:r>
      <w:r>
        <w:rPr>
          <w:i/>
          <w:sz w:val="15"/>
        </w:rPr>
        <w:t>Proc. 36th Int. Conf. Machine Learning (ICML)</w:t>
      </w:r>
      <w:r>
        <w:rPr>
          <w:i w:val="0"/>
          <w:sz w:val="15"/>
        </w:rPr>
        <w:t>, 2019, pp. 5389–5400</w:t>
      </w:r>
      <w:r>
        <w:rPr>
          <w:i w:val="0"/>
          <w:sz w:val="15"/>
        </w:rPr>
        <w:t>.</w:t>
      </w:r>
    </w:p>
    <w:p>
      <w:pPr>
        <w:spacing w:after="20"/>
        <w:ind w:left="432" w:hanging="432"/>
      </w:pPr>
      <w:r>
        <w:rPr>
          <w:sz w:val="15"/>
        </w:rPr>
        <w:t>[71]</w:t>
        <w:tab/>
      </w:r>
      <w:r>
        <w:rPr>
          <w:i w:val="0"/>
          <w:sz w:val="15"/>
        </w:rPr>
        <w:t xml:space="preserve">P. W. Koh et al., </w:t>
      </w:r>
      <w:r>
        <w:rPr>
          <w:i w:val="0"/>
          <w:sz w:val="15"/>
        </w:rPr>
        <w:t xml:space="preserve">“WILDS: A Benchmark of in-the-Wild Distribution Shifts,” in </w:t>
      </w:r>
      <w:r>
        <w:rPr>
          <w:i/>
          <w:sz w:val="15"/>
        </w:rPr>
        <w:t>Proc. 38th Int. Conf. Machine Learning (ICML)</w:t>
      </w:r>
      <w:r>
        <w:rPr>
          <w:i w:val="0"/>
          <w:sz w:val="15"/>
        </w:rPr>
        <w:t>, 2021, pp. 5637–5664</w:t>
      </w:r>
      <w:r>
        <w:rPr>
          <w:i w:val="0"/>
          <w:sz w:val="15"/>
        </w:rPr>
        <w:t>.</w:t>
      </w:r>
    </w:p>
    <w:p>
      <w:pPr>
        <w:spacing w:after="20"/>
        <w:ind w:left="432" w:hanging="432"/>
      </w:pPr>
      <w:r>
        <w:rPr>
          <w:sz w:val="15"/>
        </w:rPr>
        <w:t>[72]</w:t>
        <w:tab/>
      </w:r>
      <w:r>
        <w:rPr>
          <w:i w:val="0"/>
          <w:sz w:val="15"/>
        </w:rPr>
        <w:t xml:space="preserve">R. Geirhos et al., </w:t>
      </w:r>
      <w:r>
        <w:rPr>
          <w:i w:val="0"/>
          <w:sz w:val="15"/>
        </w:rPr>
        <w:t xml:space="preserve">“Shortcut Learning in Deep Neural Networks,” </w:t>
      </w:r>
      <w:r>
        <w:rPr>
          <w:i/>
          <w:sz w:val="15"/>
        </w:rPr>
        <w:t>Nature Machine Intelligence</w:t>
      </w:r>
      <w:r>
        <w:rPr>
          <w:i w:val="0"/>
          <w:sz w:val="15"/>
        </w:rPr>
        <w:t>, vol. 2, no. 11, pp. 665–673, 2020</w:t>
      </w:r>
      <w:r>
        <w:rPr>
          <w:i w:val="0"/>
          <w:sz w:val="15"/>
        </w:rPr>
        <w:t>, doi: 10.1038/s42256-020-00257-z</w:t>
      </w:r>
      <w:r>
        <w:rPr>
          <w:i w:val="0"/>
          <w:sz w:val="15"/>
        </w:rPr>
        <w:t>.</w:t>
      </w:r>
    </w:p>
    <w:p>
      <w:pPr>
        <w:spacing w:after="20"/>
        <w:ind w:left="432" w:hanging="432"/>
      </w:pPr>
      <w:r>
        <w:rPr>
          <w:sz w:val="15"/>
        </w:rPr>
        <w:t>[73]</w:t>
        <w:tab/>
      </w:r>
      <w:r>
        <w:rPr>
          <w:i w:val="0"/>
          <w:sz w:val="15"/>
        </w:rPr>
        <w:t xml:space="preserve">S. Kapoor, and A. Narayanan, </w:t>
      </w:r>
      <w:r>
        <w:rPr>
          <w:i w:val="0"/>
          <w:sz w:val="15"/>
        </w:rPr>
        <w:t xml:space="preserve">“Leakage and the Reproducibility Crisis in Machine-Learning-Based Science,” </w:t>
      </w:r>
      <w:r>
        <w:rPr>
          <w:i/>
          <w:sz w:val="15"/>
        </w:rPr>
        <w:t>Patterns</w:t>
      </w:r>
      <w:r>
        <w:rPr>
          <w:i w:val="0"/>
          <w:sz w:val="15"/>
        </w:rPr>
        <w:t>, vol. 4, no. 9, Art. no. 100804, 2023</w:t>
      </w:r>
      <w:r>
        <w:rPr>
          <w:i w:val="0"/>
          <w:sz w:val="15"/>
        </w:rPr>
        <w:t>, doi: 10.1016/j.patter.2023.100804</w:t>
      </w:r>
      <w:r>
        <w:rPr>
          <w:i w:val="0"/>
          <w:sz w:val="15"/>
        </w:rPr>
        <w:t>.</w:t>
      </w:r>
    </w:p>
    <w:p>
      <w:pPr>
        <w:spacing w:after="20"/>
        <w:ind w:left="432" w:hanging="432"/>
      </w:pPr>
      <w:r>
        <w:rPr>
          <w:sz w:val="15"/>
        </w:rPr>
        <w:t>[74]</w:t>
        <w:tab/>
      </w:r>
      <w:r>
        <w:rPr>
          <w:i w:val="0"/>
          <w:sz w:val="15"/>
        </w:rPr>
        <w:t xml:space="preserve">C. Zauner, </w:t>
      </w:r>
      <w:r>
        <w:rPr>
          <w:i w:val="0"/>
          <w:sz w:val="15"/>
        </w:rPr>
        <w:t xml:space="preserve">“Implementation and Benchmarking of Perceptual Image Hash Functions,” </w:t>
      </w:r>
      <w:r>
        <w:rPr>
          <w:i/>
          <w:sz w:val="15"/>
        </w:rPr>
        <w:t>Master's thesis, Upper Austria University of Applied Sciences, Hagenberg</w:t>
      </w:r>
      <w:r>
        <w:rPr>
          <w:i w:val="0"/>
          <w:sz w:val="15"/>
        </w:rPr>
        <w:t>, 2010</w:t>
      </w:r>
      <w:r>
        <w:rPr>
          <w:i w:val="0"/>
          <w:sz w:val="15"/>
        </w:rPr>
        <w:t>.</w:t>
      </w:r>
    </w:p>
    <w:p>
      <w:pPr>
        <w:spacing w:after="20"/>
        <w:ind w:left="432" w:hanging="432"/>
      </w:pPr>
      <w:r>
        <w:rPr>
          <w:sz w:val="15"/>
        </w:rPr>
        <w:t>[75]</w:t>
        <w:tab/>
      </w:r>
      <w:r>
        <w:rPr>
          <w:i w:val="0"/>
          <w:sz w:val="15"/>
        </w:rPr>
        <w:t xml:space="preserve">J. Demšar, </w:t>
      </w:r>
      <w:r>
        <w:rPr>
          <w:i w:val="0"/>
          <w:sz w:val="15"/>
        </w:rPr>
        <w:t xml:space="preserve">“Statistical Comparisons of Classifiers over Multiple Data Sets,” </w:t>
      </w:r>
      <w:r>
        <w:rPr>
          <w:i/>
          <w:sz w:val="15"/>
        </w:rPr>
        <w:t>Journal of Machine Learning Research</w:t>
      </w:r>
      <w:r>
        <w:rPr>
          <w:i w:val="0"/>
          <w:sz w:val="15"/>
        </w:rPr>
        <w:t>, vol. 7, pp. 1–30, 2006</w:t>
      </w:r>
      <w:r>
        <w:rPr>
          <w:i w:val="0"/>
          <w:sz w:val="15"/>
        </w:rPr>
        <w:t>.</w:t>
      </w:r>
    </w:p>
    <w:p>
      <w:pPr>
        <w:spacing w:after="20"/>
        <w:ind w:left="432" w:hanging="432"/>
      </w:pPr>
      <w:r>
        <w:rPr>
          <w:sz w:val="15"/>
        </w:rPr>
        <w:t>[76]</w:t>
        <w:tab/>
      </w:r>
      <w:r>
        <w:rPr>
          <w:i w:val="0"/>
          <w:sz w:val="15"/>
        </w:rPr>
        <w:t xml:space="preserve">R. Sanchez-Iborra, and A. F. Skarmeta, </w:t>
      </w:r>
      <w:r>
        <w:rPr>
          <w:i w:val="0"/>
          <w:sz w:val="15"/>
        </w:rPr>
        <w:t xml:space="preserve">“TinyML-Enabled Frugal Smart Objects: Challenges and Opportunities,” </w:t>
      </w:r>
      <w:r>
        <w:rPr>
          <w:i/>
          <w:sz w:val="15"/>
        </w:rPr>
        <w:t>IEEE Circuits and Systems Magazine</w:t>
      </w:r>
      <w:r>
        <w:rPr>
          <w:i w:val="0"/>
          <w:sz w:val="15"/>
        </w:rPr>
        <w:t>, vol. 20, no. 3, pp. 4–18, 2020</w:t>
      </w:r>
      <w:r>
        <w:rPr>
          <w:i w:val="0"/>
          <w:sz w:val="15"/>
        </w:rPr>
        <w:t>, doi: 10.1109/MCAS.2020.3005467</w:t>
      </w:r>
      <w:r>
        <w:rPr>
          <w:i w:val="0"/>
          <w:sz w:val="15"/>
        </w:rPr>
        <w:t>.</w:t>
      </w:r>
    </w:p>
    <w:p>
      <w:pPr>
        <w:spacing w:after="20"/>
        <w:ind w:left="432" w:hanging="432"/>
      </w:pPr>
      <w:r>
        <w:rPr>
          <w:sz w:val="15"/>
        </w:rPr>
        <w:t>[77]</w:t>
        <w:tab/>
      </w:r>
      <w:r>
        <w:rPr>
          <w:i w:val="0"/>
          <w:sz w:val="15"/>
        </w:rPr>
        <w:t xml:space="preserve">P. P. Ray, </w:t>
      </w:r>
      <w:r>
        <w:rPr>
          <w:i w:val="0"/>
          <w:sz w:val="15"/>
        </w:rPr>
        <w:t xml:space="preserve">“A Review on TinyML: State-of-the-Art and Prospects,” </w:t>
      </w:r>
      <w:r>
        <w:rPr>
          <w:i/>
          <w:sz w:val="15"/>
        </w:rPr>
        <w:t>Journal of King Saud University – Computer and Information Sciences</w:t>
      </w:r>
      <w:r>
        <w:rPr>
          <w:i w:val="0"/>
          <w:sz w:val="15"/>
        </w:rPr>
        <w:t>, vol. 34, no. 4, pp. 1595–1623, 2022</w:t>
      </w:r>
      <w:r>
        <w:rPr>
          <w:i w:val="0"/>
          <w:sz w:val="15"/>
        </w:rPr>
        <w:t>, doi: 10.1016/j.jksuci.2021.11.019</w:t>
      </w:r>
      <w:r>
        <w:rPr>
          <w:i w:val="0"/>
          <w:sz w:val="15"/>
        </w:rPr>
        <w:t>.</w:t>
      </w:r>
    </w:p>
    <w:p>
      <w:pPr>
        <w:spacing w:after="20"/>
        <w:ind w:left="432" w:hanging="432"/>
      </w:pPr>
      <w:r>
        <w:rPr>
          <w:sz w:val="15"/>
        </w:rPr>
        <w:t>[78]</w:t>
        <w:tab/>
      </w:r>
      <w:r>
        <w:rPr>
          <w:i w:val="0"/>
          <w:sz w:val="15"/>
        </w:rPr>
        <w:t xml:space="preserve">B. Jacob et al., </w:t>
      </w:r>
      <w:r>
        <w:rPr>
          <w:i w:val="0"/>
          <w:sz w:val="15"/>
        </w:rPr>
        <w:t xml:space="preserve">“Quantization and Training of Neural Networks for Efficient Integer-Arithmetic-Only Inference,” in </w:t>
      </w:r>
      <w:r>
        <w:rPr>
          <w:i/>
          <w:sz w:val="15"/>
        </w:rPr>
        <w:t>Proc. IEEE Conf. Computer Vision and Pattern Recognition (CVPR)</w:t>
      </w:r>
      <w:r>
        <w:rPr>
          <w:i w:val="0"/>
          <w:sz w:val="15"/>
        </w:rPr>
        <w:t>, 2018, pp. 2704–2713</w:t>
      </w:r>
      <w:r>
        <w:rPr>
          <w:i w:val="0"/>
          <w:sz w:val="15"/>
        </w:rPr>
        <w:t>, doi: 10.1109/CVPR.2018.00286</w:t>
      </w:r>
      <w:r>
        <w:rPr>
          <w:i w:val="0"/>
          <w:sz w:val="15"/>
        </w:rPr>
        <w:t>.</w:t>
      </w:r>
    </w:p>
    <w:p>
      <w:pPr>
        <w:spacing w:after="20"/>
        <w:ind w:left="432" w:hanging="432"/>
      </w:pPr>
      <w:r>
        <w:rPr>
          <w:sz w:val="15"/>
        </w:rPr>
        <w:t>[79]</w:t>
        <w:tab/>
      </w:r>
      <w:r>
        <w:rPr>
          <w:i w:val="0"/>
          <w:sz w:val="15"/>
        </w:rPr>
        <w:t xml:space="preserve">R. Krishnamoorthi, </w:t>
      </w:r>
      <w:r>
        <w:rPr>
          <w:i w:val="0"/>
          <w:sz w:val="15"/>
        </w:rPr>
        <w:t xml:space="preserve">“Quantizing Deep Convolutional Networks for Efficient Inference: A Whitepaper,” </w:t>
      </w:r>
      <w:r>
        <w:rPr>
          <w:i/>
          <w:sz w:val="15"/>
        </w:rPr>
        <w:t>arXiv preprint arXiv:1806.08342</w:t>
      </w:r>
      <w:r>
        <w:rPr>
          <w:i w:val="0"/>
          <w:sz w:val="15"/>
        </w:rPr>
        <w:t>, 2018</w:t>
      </w:r>
      <w:r>
        <w:rPr>
          <w:i w:val="0"/>
          <w:sz w:val="15"/>
        </w:rPr>
        <w:t>.</w:t>
      </w:r>
    </w:p>
    <w:p>
      <w:pPr>
        <w:spacing w:after="20"/>
        <w:ind w:left="432" w:hanging="432"/>
      </w:pPr>
      <w:r>
        <w:rPr>
          <w:sz w:val="15"/>
        </w:rPr>
        <w:t>[80]</w:t>
        <w:tab/>
      </w:r>
      <w:r>
        <w:rPr>
          <w:i w:val="0"/>
          <w:sz w:val="15"/>
        </w:rPr>
        <w:t xml:space="preserve">R. David et al., </w:t>
      </w:r>
      <w:r>
        <w:rPr>
          <w:i w:val="0"/>
          <w:sz w:val="15"/>
        </w:rPr>
        <w:t xml:space="preserve">“TensorFlow Lite Micro: Embedded Machine Learning for TinyML Systems,” in </w:t>
      </w:r>
      <w:r>
        <w:rPr>
          <w:i/>
          <w:sz w:val="15"/>
        </w:rPr>
        <w:t>Proc. Machine Learning and Systems (MLSys)</w:t>
      </w:r>
      <w:r>
        <w:rPr>
          <w:i w:val="0"/>
          <w:sz w:val="15"/>
        </w:rPr>
        <w:t>, 2021, pp. 800–811</w:t>
      </w:r>
      <w:r>
        <w:rPr>
          <w:i w:val="0"/>
          <w:sz w:val="15"/>
        </w:rPr>
        <w:t>.</w:t>
      </w:r>
    </w:p>
    <w:p>
      <w:pPr>
        <w:spacing w:after="20"/>
        <w:ind w:left="432" w:hanging="432"/>
      </w:pPr>
      <w:r>
        <w:rPr>
          <w:sz w:val="15"/>
        </w:rPr>
        <w:t>[81]</w:t>
        <w:tab/>
      </w:r>
      <w:r>
        <w:rPr>
          <w:i w:val="0"/>
          <w:sz w:val="15"/>
        </w:rPr>
        <w:t xml:space="preserve">J. Lin, W. Chen, H. Cai, C. Gan, and S. Han, </w:t>
      </w:r>
      <w:r>
        <w:rPr>
          <w:i w:val="0"/>
          <w:sz w:val="15"/>
        </w:rPr>
        <w:t xml:space="preserve">“MCUNetV2: Memory-Efficient Patch-Based Inference for Tiny Deep Learning,” in </w:t>
      </w:r>
      <w:r>
        <w:rPr>
          <w:i/>
          <w:sz w:val="15"/>
        </w:rPr>
        <w:t>Advances in Neural Information Processing Systems (NeurIPS)</w:t>
      </w:r>
      <w:r>
        <w:rPr>
          <w:i w:val="0"/>
          <w:sz w:val="15"/>
        </w:rPr>
        <w:t>, 2021</w:t>
      </w:r>
      <w:r>
        <w:rPr>
          <w:i w:val="0"/>
          <w:sz w:val="15"/>
        </w:rPr>
        <w:t>.</w:t>
      </w:r>
    </w:p>
    <w:p>
      <w:pPr>
        <w:spacing w:after="20"/>
        <w:ind w:left="432" w:hanging="432"/>
      </w:pPr>
      <w:r>
        <w:rPr>
          <w:sz w:val="15"/>
        </w:rPr>
        <w:t>[82]</w:t>
        <w:tab/>
      </w:r>
      <w:r>
        <w:rPr>
          <w:i w:val="0"/>
          <w:sz w:val="15"/>
        </w:rPr>
        <w:t xml:space="preserve">C. Banbury et al., </w:t>
      </w:r>
      <w:r>
        <w:rPr>
          <w:i w:val="0"/>
          <w:sz w:val="15"/>
        </w:rPr>
        <w:t xml:space="preserve">“MLPerf Tiny Benchmark,” in </w:t>
      </w:r>
      <w:r>
        <w:rPr>
          <w:i/>
          <w:sz w:val="15"/>
        </w:rPr>
        <w:t>Proc. NeurIPS Datasets and Benchmarks Track</w:t>
      </w:r>
      <w:r>
        <w:rPr>
          <w:i w:val="0"/>
          <w:sz w:val="15"/>
        </w:rPr>
        <w:t>, 2021</w:t>
      </w:r>
      <w:r>
        <w:rPr>
          <w:i w:val="0"/>
          <w:sz w:val="15"/>
        </w:rPr>
        <w:t>.</w:t>
      </w:r>
    </w:p>
    <w:p>
      <w:pPr>
        <w:spacing w:after="20"/>
        <w:ind w:left="432" w:hanging="432"/>
      </w:pPr>
      <w:r>
        <w:rPr>
          <w:sz w:val="15"/>
        </w:rPr>
        <w:t>[83]</w:t>
        <w:tab/>
      </w:r>
      <w:r>
        <w:rPr>
          <w:i w:val="0"/>
          <w:sz w:val="15"/>
        </w:rPr>
        <w:t xml:space="preserve">Espressif Systems, </w:t>
      </w:r>
      <w:r>
        <w:rPr>
          <w:i w:val="0"/>
          <w:sz w:val="15"/>
        </w:rPr>
        <w:t xml:space="preserve">“ESP32 Series Datasheet,” </w:t>
      </w:r>
      <w:r>
        <w:rPr>
          <w:i w:val="0"/>
          <w:sz w:val="15"/>
        </w:rPr>
        <w:t>2026</w:t>
      </w:r>
      <w:r>
        <w:rPr>
          <w:i w:val="0"/>
          <w:sz w:val="15"/>
        </w:rPr>
        <w:t>. [Online]. Available: https://www.espressif.com/en/support/documents/technical-documents</w:t>
      </w:r>
      <w:r>
        <w:rPr>
          <w:i w:val="0"/>
          <w:sz w:val="15"/>
        </w:rPr>
        <w:t>.</w:t>
      </w:r>
    </w:p>
    <w:p>
      <w:pPr>
        <w:spacing w:after="20"/>
        <w:ind w:left="432" w:hanging="432"/>
      </w:pPr>
      <w:r>
        <w:rPr>
          <w:sz w:val="15"/>
        </w:rPr>
        <w:t>[84]</w:t>
        <w:tab/>
      </w:r>
      <w:r>
        <w:rPr>
          <w:i w:val="0"/>
          <w:sz w:val="15"/>
        </w:rPr>
        <w:t xml:space="preserve">B. Silva, L. Nunes, R. Estação, V. Aski, and R. Chandra, </w:t>
      </w:r>
      <w:r>
        <w:rPr>
          <w:i w:val="0"/>
          <w:sz w:val="15"/>
        </w:rPr>
        <w:t xml:space="preserve">“GPT-4 as an Agronomist Assistant? Answering Agriculture Exams Using Large Language Models,” </w:t>
      </w:r>
      <w:r>
        <w:rPr>
          <w:i/>
          <w:sz w:val="15"/>
        </w:rPr>
        <w:t>arXiv preprint arXiv:2310.06225</w:t>
      </w:r>
      <w:r>
        <w:rPr>
          <w:i w:val="0"/>
          <w:sz w:val="15"/>
        </w:rPr>
        <w:t>, 2023</w:t>
      </w:r>
      <w:r>
        <w:rPr>
          <w:i w:val="0"/>
          <w:sz w:val="15"/>
        </w:rPr>
        <w:t>.</w:t>
      </w:r>
    </w:p>
    <w:p>
      <w:pPr>
        <w:spacing w:after="20"/>
        <w:ind w:left="432" w:hanging="432"/>
      </w:pPr>
      <w:r>
        <w:rPr>
          <w:sz w:val="15"/>
        </w:rPr>
        <w:t>[85]</w:t>
        <w:tab/>
      </w:r>
      <w:r>
        <w:rPr>
          <w:i w:val="0"/>
          <w:sz w:val="15"/>
        </w:rPr>
        <w:t xml:space="preserve">P. Lewis, E. Perez, A. Piktus et al., </w:t>
      </w:r>
      <w:r>
        <w:rPr>
          <w:i w:val="0"/>
          <w:sz w:val="15"/>
        </w:rPr>
        <w:t xml:space="preserve">“Retrieval-Augmented Generation for Knowledge-Intensive NLP Tasks,” in </w:t>
      </w:r>
      <w:r>
        <w:rPr>
          <w:i/>
          <w:sz w:val="15"/>
        </w:rPr>
        <w:t>Advances in Neural Information Processing Systems (NeurIPS)</w:t>
      </w:r>
      <w:r>
        <w:rPr>
          <w:i w:val="0"/>
          <w:sz w:val="15"/>
        </w:rPr>
        <w:t>, 2020, pp. 9459–9474</w:t>
      </w:r>
      <w:r>
        <w:rPr>
          <w:i w:val="0"/>
          <w:sz w:val="15"/>
        </w:rPr>
        <w:t>.</w:t>
      </w:r>
    </w:p>
    <w:p>
      <w:pPr>
        <w:spacing w:after="20"/>
        <w:ind w:left="432" w:hanging="432"/>
      </w:pPr>
      <w:r>
        <w:rPr>
          <w:sz w:val="15"/>
        </w:rPr>
        <w:t>[86]</w:t>
        <w:tab/>
      </w:r>
      <w:r>
        <w:rPr>
          <w:i w:val="0"/>
          <w:sz w:val="15"/>
        </w:rPr>
        <w:t xml:space="preserve">A. Balaguer et al., </w:t>
      </w:r>
      <w:r>
        <w:rPr>
          <w:i w:val="0"/>
          <w:sz w:val="15"/>
        </w:rPr>
        <w:t xml:space="preserve">“RAG vs Fine-Tuning: Pipelines, Tradeoffs, and a Case Study on Agriculture,” </w:t>
      </w:r>
      <w:r>
        <w:rPr>
          <w:i/>
          <w:sz w:val="15"/>
        </w:rPr>
        <w:t>arXiv preprint arXiv:2401.08406</w:t>
      </w:r>
      <w:r>
        <w:rPr>
          <w:i w:val="0"/>
          <w:sz w:val="15"/>
        </w:rPr>
        <w:t>, 2024</w:t>
      </w:r>
      <w:r>
        <w:rPr>
          <w:i w:val="0"/>
          <w:sz w:val="15"/>
        </w:rPr>
        <w:t>.</w:t>
      </w:r>
    </w:p>
    <w:p>
      <w:pPr>
        <w:spacing w:after="20"/>
        <w:ind w:left="432" w:hanging="432"/>
      </w:pPr>
      <w:r>
        <w:rPr>
          <w:sz w:val="15"/>
        </w:rPr>
        <w:t>[87]</w:t>
        <w:tab/>
      </w:r>
      <w:r>
        <w:rPr>
          <w:i w:val="0"/>
          <w:sz w:val="15"/>
        </w:rPr>
        <w:t xml:space="preserve">M. A. Ferrag, L. Shu, X. Yang, A. Derhab, and L. Maglaras, </w:t>
      </w:r>
      <w:r>
        <w:rPr>
          <w:i w:val="0"/>
          <w:sz w:val="15"/>
        </w:rPr>
        <w:t xml:space="preserve">“Security and Privacy for Green IoT-Based Agriculture: Review, Blockchain Solutions, and Challenges,” </w:t>
      </w:r>
      <w:r>
        <w:rPr>
          <w:i/>
          <w:sz w:val="15"/>
        </w:rPr>
        <w:t>IEEE Access</w:t>
      </w:r>
      <w:r>
        <w:rPr>
          <w:i w:val="0"/>
          <w:sz w:val="15"/>
        </w:rPr>
        <w:t>, vol. 8, pp. 32031–32053, 2020</w:t>
      </w:r>
      <w:r>
        <w:rPr>
          <w:i w:val="0"/>
          <w:sz w:val="15"/>
        </w:rPr>
        <w:t>, doi: 10.1109/ACCESS.2020.2973178</w:t>
      </w:r>
      <w:r>
        <w:rPr>
          <w:i w:val="0"/>
          <w:sz w:val="15"/>
        </w:rPr>
        <w:t>.</w:t>
      </w:r>
    </w:p>
    <w:p>
      <w:pPr>
        <w:spacing w:before="120"/>
        <w:jc w:val="both"/>
      </w:pPr>
      <w:r>
        <w:rPr>
          <w:b/>
          <w:sz w:val="16"/>
        </w:rPr>
        <w:t xml:space="preserve">TISHA JHARIYA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AKIKO GAJBHIYE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ANSH MESHRAM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AGYA CHOURASIA </w:t>
      </w:r>
      <w:r>
        <w:rPr>
          <w:sz w:val="16"/>
        </w:rPr>
        <w:t>is with the Department of Emerging Technologies (Artificial Intelligence &amp; Data Science), S. B. Jain Institute of Technology, Management and Research, Nagpur, India.</w:t>
      </w:r>
    </w:p>
    <w:p>
      <w:pPr>
        <w:spacing w:before="120"/>
        <w:jc w:val="both"/>
      </w:pPr>
      <w:r>
        <w:rPr>
          <w:b/>
          <w:sz w:val="16"/>
        </w:rPr>
        <w:t xml:space="preserve">[GUIDE NAME] </w:t>
      </w:r>
      <w:r>
        <w:rPr>
          <w:sz w:val="16"/>
        </w:rPr>
        <w:t>is with the Department of Emerging Technologies, S. B. Jain Institute of Technology, Management and Research, Nagpur, India. [Research interests.]</w:t>
      </w:r>
    </w:p>
    <w:sectPr w:rsidR="00FC693F" w:rsidRPr="0006063C" w:rsidSect="00034616">
      <w:type w:val="continuous"/>
      <w:pgSz w:w="12240" w:h="15840"/>
      <w:pgMar w:top="1080" w:right="965" w:bottom="1152" w:left="965" w:header="504"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55"/>
      <w:gridCol w:w="5155"/>
    </w:tblGrid>
    <w:tr>
      <w:tc>
        <w:tcPr>
          <w:tcW w:type="dxa" w:w="8496"/>
        </w:tcPr>
        <w:p>
          <w:r>
            <w:rPr>
              <w:rFonts w:ascii="Times New Roman" w:hAnsi="Times New Roman"/>
              <w:i/>
              <w:sz w:val="16"/>
            </w:rPr>
            <w:t>T. Jhariya et al.: IoT, Edge AI and LLMs for Smart Agriculture — A Survey</w:t>
          </w:r>
        </w:p>
      </w:tc>
      <w:tc>
        <w:tcPr>
          <w:tcW w:type="dxa" w:w="1814"/>
        </w:tcPr>
        <w:p>
          <w:pPr>
            <w:jc w:val="right"/>
          </w:pPr>
          <w:r>
            <w:rPr>
              <w:b/>
              <w:color w:val="1B3A6B"/>
              <w:sz w:val="16"/>
            </w:rPr>
            <w:t>IEEE Access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