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0d55d5019aa42f55ba21b4404802e360a32132"/>
    <w:p>
      <w:pPr>
        <w:pStyle w:val="Heading2"/>
      </w:pPr>
      <w:r>
        <w:t xml:space="preserve">Part 2: Safeguards for an AI Agent in My Domain (Approx. 350 Words)</w:t>
      </w:r>
    </w:p>
    <w:bookmarkStart w:id="20" w:name="domain-use-case"/>
    <w:p>
      <w:pPr>
        <w:pStyle w:val="Heading3"/>
      </w:pPr>
      <w:r>
        <w:t xml:space="preserve">Domain + Use Case</w:t>
      </w:r>
    </w:p>
    <w:p>
      <w:pPr>
        <w:pStyle w:val="FirstParagraph"/>
      </w:pPr>
      <w:r>
        <w:rPr>
          <w:b/>
          <w:bCs/>
        </w:rPr>
        <w:t xml:space="preserve">Domain:</w:t>
      </w:r>
      <w:r>
        <w:t xml:space="preserve"> </w:t>
      </w:r>
      <w:r>
        <w:t xml:space="preserve">Enterprise IT Support and Incident Management</w:t>
      </w:r>
    </w:p>
    <w:p>
      <w:pPr>
        <w:pStyle w:val="BodyText"/>
      </w:pPr>
      <w:r>
        <w:rPr>
          <w:b/>
          <w:bCs/>
        </w:rPr>
        <w:t xml:space="preserve">Use Case:</w:t>
      </w:r>
      <w:r>
        <w:t xml:space="preserve"> </w:t>
      </w:r>
      <w:r>
        <w:t xml:space="preserve">An AI-powered incident triage agent used by IT support engineers and service desk teams. The agent analyzes incident tickets, application logs, monitoring alerts, and knowledge base articles to classify incidents, identify probable root causes, recommend resolutions, and route tickets to the appropriate engineering team. The agent assists in decision-making but must</w:t>
      </w:r>
      <w:r>
        <w:t xml:space="preserve"> </w:t>
      </w:r>
      <w:r>
        <w:rPr>
          <w:b/>
          <w:bCs/>
        </w:rPr>
        <w:t xml:space="preserve">not</w:t>
      </w:r>
      <w:r>
        <w:t xml:space="preserve"> </w:t>
      </w:r>
      <w:r>
        <w:t xml:space="preserve">deploy code, modify production systems, close incidents automatically, or make security-related decisions without explicit human approval.</w:t>
      </w:r>
    </w:p>
    <w:bookmarkEnd w:id="20"/>
    <w:bookmarkStart w:id="21" w:name="key-risk-areas"/>
    <w:p>
      <w:pPr>
        <w:pStyle w:val="Heading3"/>
      </w:pPr>
      <w:r>
        <w:t xml:space="preserve">Key Risk Areas</w:t>
      </w:r>
    </w:p>
    <w:p>
      <w:pPr>
        <w:pStyle w:val="FirstParagraph"/>
      </w:pPr>
      <w:r>
        <w:t xml:space="preserve">The primary risks include incorrect incident classification leading to delayed resolution, exposure of sensitive customer or employee information contained in logs and tickets, and hallucinated troubleshooting recommendations that may worsen production incidents. Another risk is over-reliance on AI, where engineers may accept recommendations without sufficient verification.</w:t>
      </w:r>
    </w:p>
    <w:bookmarkEnd w:id="21"/>
    <w:bookmarkStart w:id="22" w:name="safeguard-1-data-privacy"/>
    <w:p>
      <w:pPr>
        <w:pStyle w:val="Heading3"/>
      </w:pPr>
      <w:r>
        <w:t xml:space="preserve">Safeguard 1 – Data Privacy</w:t>
      </w:r>
    </w:p>
    <w:p>
      <w:pPr>
        <w:pStyle w:val="FirstParagraph"/>
      </w:pPr>
      <w:r>
        <w:t xml:space="preserve">Incident records often contain personally identifiable information (PII), API keys, IP addresses, and confidential business data. Before data is processed, sensitive information should be automatically masked or tokenized. Access to incidents must follow role-based access control (RBAC), ensuring employees can only access data relevant to their responsibilities. User consent and organizational data governance policies should determine which historical incidents may be used for model improvement. All data should be encrypted during transmission and storage, with defined retention and deletion policies.</w:t>
      </w:r>
    </w:p>
    <w:bookmarkEnd w:id="22"/>
    <w:bookmarkStart w:id="23" w:name="safeguard-2-content-safety"/>
    <w:p>
      <w:pPr>
        <w:pStyle w:val="Heading3"/>
      </w:pPr>
      <w:r>
        <w:t xml:space="preserve">Safeguard 2 – Content Safety</w:t>
      </w:r>
    </w:p>
    <w:p>
      <w:pPr>
        <w:pStyle w:val="FirstParagraph"/>
      </w:pPr>
      <w:r>
        <w:t xml:space="preserve">The agent should generate recommendations only when supported by trusted internal documentation, previous validated incidents, or approved runbooks. Confidence scores should accompany every recommendation. If confidence falls below a predefined threshold or evidence is insufficient, the agent should explicitly state its uncertainty instead of guessing. The system should block unsafe suggestions such as bypassing security controls, disabling monitoring, or executing destructive production commands without human validation.</w:t>
      </w:r>
    </w:p>
    <w:bookmarkEnd w:id="23"/>
    <w:bookmarkStart w:id="24" w:name="safeguard-3-operational-oversight"/>
    <w:p>
      <w:pPr>
        <w:pStyle w:val="Heading3"/>
      </w:pPr>
      <w:r>
        <w:t xml:space="preserve">Safeguard 3 – Operational Oversight</w:t>
      </w:r>
    </w:p>
    <w:p>
      <w:pPr>
        <w:pStyle w:val="FirstParagraph"/>
      </w:pPr>
      <w:r>
        <w:t xml:space="preserve">Every AI recommendation should be recorded in immutable audit logs containing the input, retrieved evidence, generated response, confidence score, and final human decision. Critical incidents (Severity 1 or security-related) must require mandatory human approval before any action is taken. Continuous monitoring should track routing accuracy, resolution success rates, false positives, and user feedback. Regular governance reviews and periodic retraining using validated incident data help identify model drift, improve performance, and ensure compliance with organizational policies.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