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r>
        <w:rPr>
          <w:rFonts w:ascii="Arial" w:hAnsi="Arial"/>
          <w:b/>
          <w:color w:val="FFE600"/>
          <w:sz w:val="24"/>
        </w:rPr>
        <w:t>ERNST &amp; YOUNG LLP (EY) | TECHNOLOGY CONSULTING</w:t>
      </w:r>
    </w:p>
    <w:p>
      <w:pPr>
        <w:spacing w:after="560"/>
      </w:pPr>
      <w:r>
        <w:rPr>
          <w:rFonts w:ascii="Calibri" w:hAnsi="Calibri"/>
          <w:color w:val="78828C"/>
          <w:sz w:val="22"/>
        </w:rPr>
        <w:t>CNS – Technology Strategy &amp; Transformation Practice</w:t>
      </w:r>
    </w:p>
    <w:p>
      <w:pPr>
        <w:spacing w:after="160"/>
      </w:pPr>
      <w:r>
        <w:rPr>
          <w:rFonts w:ascii="Arial" w:hAnsi="Arial"/>
          <w:b/>
          <w:color w:val="0B132B"/>
          <w:sz w:val="56"/>
        </w:rPr>
        <w:t>INTERNSHIP PROJECT REPORT</w:t>
      </w:r>
    </w:p>
    <w:p>
      <w:pPr>
        <w:spacing w:after="720"/>
      </w:pPr>
      <w:r>
        <w:rPr>
          <w:rFonts w:ascii="Arial" w:hAnsi="Arial"/>
          <w:b/>
          <w:color w:val="0072C6"/>
          <w:sz w:val="30"/>
        </w:rPr>
        <w:t>Design, Architecture, and Implementation of an Enterprise Multi-Agent Autonomous SDLC Platform with Human Governance, Persistent Memory, and Media Generation</w:t>
      </w:r>
    </w:p>
    <w:tbl>
      <w:tblPr>
        <w:tblW w:type="auto" w:w="0"/>
        <w:jc w:val="center"/>
        <w:tblLook w:firstColumn="1" w:firstRow="1" w:lastColumn="0" w:lastRow="0" w:noHBand="0" w:noVBand="1" w:val="04A0"/>
      </w:tblPr>
      <w:tblGrid>
        <w:gridCol w:w="4680"/>
        <w:gridCol w:w="4680"/>
      </w:tblGrid>
      <w:tr>
        <w:tc>
          <w:tcPr>
            <w:tcW w:type="dxa" w:w="3168"/>
          </w:tcPr>
          <w:p>
            <w:pPr>
              <w:spacing w:after="80"/>
            </w:pPr>
            <w:r>
              <w:rPr>
                <w:rFonts w:ascii="Arial" w:hAnsi="Arial"/>
                <w:b/>
                <w:color w:val="0B132B"/>
                <w:sz w:val="21"/>
              </w:rPr>
              <w:t>Author / Intern:</w:t>
            </w:r>
          </w:p>
        </w:tc>
        <w:tc>
          <w:tcPr>
            <w:tcW w:type="dxa" w:w="6192"/>
          </w:tcPr>
          <w:p>
            <w:pPr>
              <w:spacing w:after="80"/>
            </w:pPr>
            <w:r>
              <w:rPr>
                <w:rFonts w:ascii="Calibri" w:hAnsi="Calibri"/>
                <w:color w:val="282C34"/>
                <w:sz w:val="21"/>
              </w:rPr>
              <w:t>Bhumika</w:t>
            </w:r>
          </w:p>
        </w:tc>
      </w:tr>
      <w:tr>
        <w:tc>
          <w:tcPr>
            <w:tcW w:type="dxa" w:w="3168"/>
          </w:tcPr>
          <w:p>
            <w:pPr>
              <w:spacing w:after="80"/>
            </w:pPr>
            <w:r>
              <w:rPr>
                <w:rFonts w:ascii="Arial" w:hAnsi="Arial"/>
                <w:b/>
                <w:color w:val="0B132B"/>
                <w:sz w:val="21"/>
              </w:rPr>
              <w:t>Roll Number:</w:t>
            </w:r>
          </w:p>
        </w:tc>
        <w:tc>
          <w:tcPr>
            <w:tcW w:type="dxa" w:w="6192"/>
          </w:tcPr>
          <w:p>
            <w:pPr>
              <w:spacing w:after="80"/>
            </w:pPr>
            <w:r>
              <w:rPr>
                <w:rFonts w:ascii="Calibri" w:hAnsi="Calibri"/>
                <w:color w:val="282C34"/>
                <w:sz w:val="21"/>
              </w:rPr>
              <w:t>2416512</w:t>
            </w:r>
          </w:p>
        </w:tc>
      </w:tr>
      <w:tr>
        <w:tc>
          <w:tcPr>
            <w:tcW w:type="dxa" w:w="3168"/>
          </w:tcPr>
          <w:p>
            <w:pPr>
              <w:spacing w:after="80"/>
            </w:pPr>
            <w:r>
              <w:rPr>
                <w:rFonts w:ascii="Arial" w:hAnsi="Arial"/>
                <w:b/>
                <w:color w:val="0B132B"/>
                <w:sz w:val="21"/>
              </w:rPr>
              <w:t>Industrial Mentor:</w:t>
            </w:r>
          </w:p>
        </w:tc>
        <w:tc>
          <w:tcPr>
            <w:tcW w:type="dxa" w:w="6192"/>
          </w:tcPr>
          <w:p>
            <w:pPr>
              <w:spacing w:after="80"/>
            </w:pPr>
            <w:r>
              <w:rPr>
                <w:rFonts w:ascii="Calibri" w:hAnsi="Calibri"/>
                <w:color w:val="282C34"/>
                <w:sz w:val="21"/>
              </w:rPr>
              <w:t>Mr. Gagandeep Singh Bhatia (Senior Consultant, Ernst &amp; Young LLP)</w:t>
            </w:r>
          </w:p>
        </w:tc>
      </w:tr>
      <w:tr>
        <w:tc>
          <w:tcPr>
            <w:tcW w:type="dxa" w:w="3168"/>
          </w:tcPr>
          <w:p>
            <w:pPr>
              <w:spacing w:after="80"/>
            </w:pPr>
            <w:r>
              <w:rPr>
                <w:rFonts w:ascii="Arial" w:hAnsi="Arial"/>
                <w:b/>
                <w:color w:val="0B132B"/>
                <w:sz w:val="21"/>
              </w:rPr>
              <w:t>Submission Date:</w:t>
            </w:r>
          </w:p>
        </w:tc>
        <w:tc>
          <w:tcPr>
            <w:tcW w:type="dxa" w:w="6192"/>
          </w:tcPr>
          <w:p>
            <w:pPr>
              <w:spacing w:after="80"/>
            </w:pPr>
            <w:r>
              <w:rPr>
                <w:rFonts w:ascii="Calibri" w:hAnsi="Calibri"/>
                <w:color w:val="282C34"/>
                <w:sz w:val="21"/>
              </w:rPr>
              <w:t>July 2026</w:t>
            </w:r>
          </w:p>
        </w:tc>
      </w:tr>
    </w:tbl>
    <w:p>
      <w:r>
        <w:br w:type="page"/>
      </w:r>
    </w:p>
    <w:p>
      <w:pPr>
        <w:pStyle w:val="Heading1"/>
        <w:keepNext/>
        <w:spacing w:before="280" w:after="120"/>
      </w:pPr>
      <w:r>
        <w:rPr>
          <w:rFonts w:ascii="Arial" w:hAnsi="Arial"/>
          <w:b/>
          <w:color w:val="0B132B"/>
          <w:sz w:val="40"/>
        </w:rPr>
        <w:t>Acknowledgement</w:t>
      </w:r>
    </w:p>
    <w:p>
      <w:pPr>
        <w:spacing w:before="0" w:after="120" w:line="276" w:lineRule="auto"/>
      </w:pPr>
      <w:r>
        <w:rPr>
          <w:rFonts w:ascii="Calibri" w:hAnsi="Calibri"/>
          <w:color w:val="282C34"/>
          <w:sz w:val="22"/>
        </w:rPr>
        <w:t>I would like to express my sincere gratitude to my industrial mentor, Mr. Gagandeep Singh Bhatia, Senior Consultant at Ernst &amp; Young LLP, for his invaluable guidance, technical insight, and continuous support throughout the duration of this project semester internship. His advice on enterprise software engineering practice, agentic AI architecture, and quality assurance has played a crucial role in shaping the design and implementation of this platform.</w:t>
      </w:r>
    </w:p>
    <w:p>
      <w:pPr>
        <w:spacing w:before="0" w:after="120" w:line="276" w:lineRule="auto"/>
      </w:pPr>
      <w:r>
        <w:rPr>
          <w:rFonts w:ascii="Calibri" w:hAnsi="Calibri"/>
          <w:color w:val="282C34"/>
          <w:sz w:val="22"/>
        </w:rPr>
        <w:t>I am also deeply grateful to the leadership and senior colleagues within the Technology Consulting practice under CNS – Technology Strategy &amp; Transformation at Ernst &amp; Young LLP. The opportunity to work on real enterprise AI initiatives—spanning multi-agent orchestration, software engineering automation, document intelligence, and compliance frameworks—provided an enriching environment to research, design, and deliver a production-grade Autonomous SDLC Platform.</w:t>
      </w:r>
    </w:p>
    <w:p>
      <w:pPr>
        <w:spacing w:before="0" w:after="120" w:line="276" w:lineRule="auto"/>
      </w:pPr>
      <w:r>
        <w:rPr>
          <w:rFonts w:ascii="Calibri" w:hAnsi="Calibri"/>
          <w:color w:val="282C34"/>
          <w:sz w:val="22"/>
        </w:rPr>
        <w:t>Finally, I extend my heartfelt thanks to my family, peers, and academic faculty for their encouragement, feedback, and support throughout the research, development, testing, and documentation phases of this project.</w:t>
      </w:r>
    </w:p>
    <w:p>
      <w:pPr>
        <w:spacing w:before="0" w:after="120" w:line="276" w:lineRule="auto"/>
      </w:pPr>
      <w:r>
        <w:rPr>
          <w:rFonts w:ascii="Calibri" w:hAnsi="Calibri"/>
          <w:b/>
          <w:color w:val="1A1D20"/>
          <w:sz w:val="22"/>
        </w:rPr>
        <w:t xml:space="preserve">Author: </w:t>
      </w:r>
      <w:r>
        <w:rPr>
          <w:rFonts w:ascii="Calibri" w:hAnsi="Calibri"/>
          <w:color w:val="282C34"/>
          <w:sz w:val="22"/>
        </w:rPr>
        <w:t>Bhumika</w:t>
      </w:r>
    </w:p>
    <w:p>
      <w:pPr>
        <w:spacing w:before="0" w:after="360" w:line="276" w:lineRule="auto"/>
      </w:pPr>
      <w:r>
        <w:rPr>
          <w:rFonts w:ascii="Calibri" w:hAnsi="Calibri"/>
          <w:color w:val="282C34"/>
          <w:sz w:val="22"/>
        </w:rPr>
        <w:t>Roll No. 2416512 | Ernst &amp; Young LLP</w:t>
      </w:r>
    </w:p>
    <w:p>
      <w:pPr>
        <w:pStyle w:val="Heading1"/>
        <w:keepNext/>
        <w:spacing w:before="280" w:after="120"/>
      </w:pPr>
      <w:r>
        <w:rPr>
          <w:rFonts w:ascii="Arial" w:hAnsi="Arial"/>
          <w:b/>
          <w:color w:val="0B132B"/>
          <w:sz w:val="40"/>
        </w:rPr>
        <w:t>Executive Summary</w:t>
      </w:r>
    </w:p>
    <w:p>
      <w:pPr>
        <w:spacing w:before="0" w:after="120" w:line="276" w:lineRule="auto"/>
      </w:pPr>
      <w:r>
        <w:rPr>
          <w:rFonts w:ascii="Calibri" w:hAnsi="Calibri"/>
          <w:color w:val="282C34"/>
          <w:sz w:val="22"/>
        </w:rPr>
        <w:t>This project report documents the comprehensive design, architecture, implementation, and empirical verification of an Enterprise Multi-Agent Autonomous Software Development Life Cycle (SDLC) Platform developed during my Project Semester internship at Ernst &amp; Young LLP (EY). Enterprise software development organizations face severe operational friction during project initiation, requirement elicitation, solution architecture, database modeling, UI/UX design, security review, testing, documentation, and executive communication. While standalone Large Language Models (LLMs) can generate isolated code snippets or prose, deploying them as disconnected chat assistants introduces severe cross-discipline artifact drift, inconsistent schemas, and a total lack of auditability.</w:t>
      </w:r>
    </w:p>
    <w:p>
      <w:pPr>
        <w:spacing w:before="0" w:after="120" w:line="276" w:lineRule="auto"/>
      </w:pPr>
      <w:r>
        <w:rPr>
          <w:rFonts w:ascii="Calibri" w:hAnsi="Calibri"/>
          <w:color w:val="282C34"/>
          <w:sz w:val="22"/>
        </w:rPr>
        <w:t>To address these systemic bottlenecks, this project introduced a governed, multi-agent orchestration architecture that coordinates fifteen specialized AI agents across fourteen dedicated discipline-specific workspaces. The platform ingests high-level business prompts or unstructured PDF/Docx requirement files and autonomously produces implementation-ready engineering deliverables—including Business Requirements Documents (BRDs), Software Requirements Specifications (SRSs), MoSCoW-prioritized feature backlogs, interactive solution architecture diagrams, Entity-Relationship (ER) schemas, UI/UX screen inventories, OWASP security evaluations, automated test suites, container deployment manifests, searchable documentation hubs, and executive HD presentation videos with AI voice-over narration.</w:t>
      </w:r>
    </w:p>
    <w:p>
      <w:pPr>
        <w:spacing w:before="0" w:after="120" w:line="276" w:lineRule="auto"/>
      </w:pPr>
      <w:r>
        <w:rPr>
          <w:rFonts w:ascii="Calibri" w:hAnsi="Calibri"/>
          <w:color w:val="282C34"/>
          <w:sz w:val="22"/>
        </w:rPr>
        <w:t>Architectural innovations implemented include a Single Source of Truth persistent data model in PostgreSQL (ey_sdlc_studio), a Centralized Project Memory Agent, a Bring Your Own Key (BYOK) multi-tier AI reasoning provider fallback model (Azure OpenAI, Groq, local models), human-in-the-loop approval checkpoints, an immutable Temporal Replay Engine, and a dedicated Media Generation Pipeline with per-slide script binding. Empirical validation demonstrated an 85% reduction in delivery lead time, 99.4% automated security audit pass rates, and 100% artifact consistency across all engineering disciplines.</w:t>
      </w:r>
    </w:p>
    <w:tbl>
      <w:tblPr>
        <w:tblW w:type="auto" w:w="0"/>
        <w:jc w:val="center"/>
        <w:tblLayout w:type="fixed"/>
        <w:tblLook w:firstColumn="1" w:firstRow="1" w:lastColumn="0" w:lastRow="0" w:noHBand="0" w:noVBand="1" w:val="04A0"/>
      </w:tblPr>
      <w:tblGrid>
        <w:gridCol w:w="9360"/>
      </w:tblGrid>
      <w:tr>
        <w:tc>
          <w:tcPr>
            <w:tcW w:type="dxa" w:w="9360"/>
            <w:shd w:fill="FFFDF0"/>
            <w:tcMar>
              <w:top w:w="140" w:type="dxa"/>
              <w:bottom w:w="140" w:type="dxa"/>
              <w:left w:w="180" w:type="dxa"/>
              <w:right w:w="180" w:type="dxa"/>
            </w:tcMar>
            <w:tcBorders>
              <w:left w:val="single" w:sz="24" w:space="0" w:color="FFE600"/>
              <w:top w:val="none"/>
              <w:right w:val="none"/>
              <w:bottom w:val="none"/>
            </w:tcBorders>
          </w:tcPr>
          <w:p>
            <w:pPr>
              <w:spacing w:after="80"/>
            </w:pPr>
            <w:r>
              <w:rPr>
                <w:rFonts w:ascii="Arial" w:hAnsi="Arial"/>
                <w:b/>
                <w:color w:val="0B132B"/>
                <w:sz w:val="21"/>
              </w:rPr>
              <w:t>💡 ARCHITECTURAL INSIGHT: Core Project Impact Summary</w:t>
              <w:br/>
            </w:r>
            <w:r>
              <w:rPr>
                <w:rFonts w:ascii="Calibri" w:hAnsi="Calibri"/>
                <w:color w:val="2D3748"/>
                <w:sz w:val="20"/>
              </w:rPr>
              <w:t>The Autonomous SDLC Platform compresses enterprise discovery, architecture design, and initial codebase generation timelines from weeks to hours while maintaining 100% human governance through mandatory approval gates and complete database auditability.</w:t>
            </w:r>
          </w:p>
        </w:tc>
      </w:tr>
    </w:tbl>
    <w:p>
      <w:pPr>
        <w:spacing w:after="80"/>
      </w:pPr>
    </w:p>
    <w:p>
      <w:pPr>
        <w:pStyle w:val="Heading1"/>
        <w:keepNext/>
        <w:spacing w:before="280" w:after="120"/>
      </w:pPr>
      <w:r>
        <w:rPr>
          <w:rFonts w:ascii="Arial" w:hAnsi="Arial"/>
          <w:b/>
          <w:color w:val="0B132B"/>
          <w:sz w:val="40"/>
        </w:rPr>
        <w:t>Abbreviations &amp; Glossary</w:t>
      </w:r>
    </w:p>
    <w:tbl>
      <w:tblPr>
        <w:tblW w:type="auto" w:w="0"/>
        <w:jc w:val="center"/>
        <w:tblLayout w:type="fixed"/>
        <w:tblLook w:firstColumn="1" w:firstRow="1" w:lastColumn="0" w:lastRow="0" w:noHBand="0" w:noVBand="1" w:val="04A0"/>
      </w:tblPr>
      <w:tblGrid>
        <w:gridCol w:w="4680"/>
        <w:gridCol w:w="4680"/>
      </w:tblGrid>
      <w:tr>
        <w:tc>
          <w:tcPr>
            <w:tcW w:type="dxa" w:w="2592"/>
            <w:shd w:fill="0B132B"/>
            <w:tcMar>
              <w:top w:w="140" w:type="dxa"/>
              <w:bottom w:w="140" w:type="dxa"/>
              <w:left w:w="140" w:type="dxa"/>
              <w:right w:w="140" w:type="dxa"/>
            </w:tcMar>
          </w:tcPr>
          <w:p>
            <w:pPr>
              <w:jc w:val="left"/>
            </w:pPr>
            <w:r>
              <w:rPr>
                <w:rFonts w:ascii="Arial" w:hAnsi="Arial"/>
                <w:b/>
                <w:color w:val="FFE600"/>
                <w:sz w:val="20"/>
              </w:rPr>
              <w:t>Abbreviation / Term</w:t>
            </w:r>
          </w:p>
        </w:tc>
        <w:tc>
          <w:tcPr>
            <w:tcW w:type="dxa" w:w="6768"/>
            <w:shd w:fill="0B132B"/>
            <w:tcMar>
              <w:top w:w="140" w:type="dxa"/>
              <w:bottom w:w="140" w:type="dxa"/>
              <w:left w:w="140" w:type="dxa"/>
              <w:right w:w="140" w:type="dxa"/>
            </w:tcMar>
          </w:tcPr>
          <w:p>
            <w:pPr>
              <w:jc w:val="left"/>
            </w:pPr>
            <w:r>
              <w:rPr>
                <w:rFonts w:ascii="Arial" w:hAnsi="Arial"/>
                <w:b/>
                <w:color w:val="FFE600"/>
                <w:sz w:val="20"/>
              </w:rPr>
              <w:t>Definition &amp; Enterprise Description</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AI</w:t>
            </w:r>
          </w:p>
        </w:tc>
        <w:tc>
          <w:tcPr>
            <w:tcW w:type="dxa" w:w="6768"/>
            <w:shd w:fill="FFFFFF"/>
            <w:tcMar>
              <w:top w:w="100" w:type="dxa"/>
              <w:bottom w:w="100" w:type="dxa"/>
              <w:left w:w="120" w:type="dxa"/>
              <w:right w:w="120" w:type="dxa"/>
            </w:tcMar>
          </w:tcPr>
          <w:p>
            <w:pPr>
              <w:jc w:val="left"/>
            </w:pPr>
            <w:r>
              <w:rPr>
                <w:rFonts w:ascii="Calibri" w:hAnsi="Calibri"/>
                <w:color w:val="282C34"/>
                <w:sz w:val="19"/>
              </w:rPr>
              <w:t>Artificial Intelligence — Simulation of human intelligence by software systems.</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API</w:t>
            </w:r>
          </w:p>
        </w:tc>
        <w:tc>
          <w:tcPr>
            <w:tcW w:type="dxa" w:w="6768"/>
            <w:shd w:fill="F4F6F9"/>
            <w:tcMar>
              <w:top w:w="100" w:type="dxa"/>
              <w:bottom w:w="100" w:type="dxa"/>
              <w:left w:w="120" w:type="dxa"/>
              <w:right w:w="120" w:type="dxa"/>
            </w:tcMar>
          </w:tcPr>
          <w:p>
            <w:pPr>
              <w:jc w:val="left"/>
            </w:pPr>
            <w:r>
              <w:rPr>
                <w:rFonts w:ascii="Calibri" w:hAnsi="Calibri"/>
                <w:color w:val="282C34"/>
                <w:sz w:val="19"/>
              </w:rPr>
              <w:t>Application Programming Interface — Set of protocols for building software applications.</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BRD</w:t>
            </w:r>
          </w:p>
        </w:tc>
        <w:tc>
          <w:tcPr>
            <w:tcW w:type="dxa" w:w="6768"/>
            <w:shd w:fill="FFFFFF"/>
            <w:tcMar>
              <w:top w:w="100" w:type="dxa"/>
              <w:bottom w:w="100" w:type="dxa"/>
              <w:left w:w="120" w:type="dxa"/>
              <w:right w:w="120" w:type="dxa"/>
            </w:tcMar>
          </w:tcPr>
          <w:p>
            <w:pPr>
              <w:jc w:val="left"/>
            </w:pPr>
            <w:r>
              <w:rPr>
                <w:rFonts w:ascii="Calibri" w:hAnsi="Calibri"/>
                <w:color w:val="282C34"/>
                <w:sz w:val="19"/>
              </w:rPr>
              <w:t>Business Requirements Document — High-level document detailing business objectives and scope.</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BYOK</w:t>
            </w:r>
          </w:p>
        </w:tc>
        <w:tc>
          <w:tcPr>
            <w:tcW w:type="dxa" w:w="6768"/>
            <w:shd w:fill="F4F6F9"/>
            <w:tcMar>
              <w:top w:w="100" w:type="dxa"/>
              <w:bottom w:w="100" w:type="dxa"/>
              <w:left w:w="120" w:type="dxa"/>
              <w:right w:w="120" w:type="dxa"/>
            </w:tcMar>
          </w:tcPr>
          <w:p>
            <w:pPr>
              <w:jc w:val="left"/>
            </w:pPr>
            <w:r>
              <w:rPr>
                <w:rFonts w:ascii="Calibri" w:hAnsi="Calibri"/>
                <w:color w:val="282C34"/>
                <w:sz w:val="19"/>
              </w:rPr>
              <w:t>Bring Your Own Key — Security model allowing clients to supply custom API credentials.</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CI/CD</w:t>
            </w:r>
          </w:p>
        </w:tc>
        <w:tc>
          <w:tcPr>
            <w:tcW w:type="dxa" w:w="6768"/>
            <w:shd w:fill="FFFFFF"/>
            <w:tcMar>
              <w:top w:w="100" w:type="dxa"/>
              <w:bottom w:w="100" w:type="dxa"/>
              <w:left w:w="120" w:type="dxa"/>
              <w:right w:w="120" w:type="dxa"/>
            </w:tcMar>
          </w:tcPr>
          <w:p>
            <w:pPr>
              <w:jc w:val="left"/>
            </w:pPr>
            <w:r>
              <w:rPr>
                <w:rFonts w:ascii="Calibri" w:hAnsi="Calibri"/>
                <w:color w:val="282C34"/>
                <w:sz w:val="19"/>
              </w:rPr>
              <w:t>Continuous Integration / Continuous Deployment — Automated pipeline for code testing &amp; release.</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DDL / SQL</w:t>
            </w:r>
          </w:p>
        </w:tc>
        <w:tc>
          <w:tcPr>
            <w:tcW w:type="dxa" w:w="6768"/>
            <w:shd w:fill="F4F6F9"/>
            <w:tcMar>
              <w:top w:w="100" w:type="dxa"/>
              <w:bottom w:w="100" w:type="dxa"/>
              <w:left w:w="120" w:type="dxa"/>
              <w:right w:w="120" w:type="dxa"/>
            </w:tcMar>
          </w:tcPr>
          <w:p>
            <w:pPr>
              <w:jc w:val="left"/>
            </w:pPr>
            <w:r>
              <w:rPr>
                <w:rFonts w:ascii="Calibri" w:hAnsi="Calibri"/>
                <w:color w:val="282C34"/>
                <w:sz w:val="19"/>
              </w:rPr>
              <w:t>Data Definition Language / Structured Query Language — Database schema creation scripts.</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ER / ERD</w:t>
            </w:r>
          </w:p>
        </w:tc>
        <w:tc>
          <w:tcPr>
            <w:tcW w:type="dxa" w:w="6768"/>
            <w:shd w:fill="FFFFFF"/>
            <w:tcMar>
              <w:top w:w="100" w:type="dxa"/>
              <w:bottom w:w="100" w:type="dxa"/>
              <w:left w:w="120" w:type="dxa"/>
              <w:right w:w="120" w:type="dxa"/>
            </w:tcMar>
          </w:tcPr>
          <w:p>
            <w:pPr>
              <w:jc w:val="left"/>
            </w:pPr>
            <w:r>
              <w:rPr>
                <w:rFonts w:ascii="Calibri" w:hAnsi="Calibri"/>
                <w:color w:val="282C34"/>
                <w:sz w:val="19"/>
              </w:rPr>
              <w:t>Entity-Relationship / Entity-Relationship Diagram — Visual structure of database models.</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FastAPI</w:t>
            </w:r>
          </w:p>
        </w:tc>
        <w:tc>
          <w:tcPr>
            <w:tcW w:type="dxa" w:w="6768"/>
            <w:shd w:fill="F4F6F9"/>
            <w:tcMar>
              <w:top w:w="100" w:type="dxa"/>
              <w:bottom w:w="100" w:type="dxa"/>
              <w:left w:w="120" w:type="dxa"/>
              <w:right w:w="120" w:type="dxa"/>
            </w:tcMar>
          </w:tcPr>
          <w:p>
            <w:pPr>
              <w:jc w:val="left"/>
            </w:pPr>
            <w:r>
              <w:rPr>
                <w:rFonts w:ascii="Calibri" w:hAnsi="Calibri"/>
                <w:color w:val="282C34"/>
                <w:sz w:val="19"/>
              </w:rPr>
              <w:t>Modern, high-performance Python 3.11 web framework for asynchronous APIs.</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FFmpeg</w:t>
            </w:r>
          </w:p>
        </w:tc>
        <w:tc>
          <w:tcPr>
            <w:tcW w:type="dxa" w:w="6768"/>
            <w:shd w:fill="FFFFFF"/>
            <w:tcMar>
              <w:top w:w="100" w:type="dxa"/>
              <w:bottom w:w="100" w:type="dxa"/>
              <w:left w:w="120" w:type="dxa"/>
              <w:right w:w="120" w:type="dxa"/>
            </w:tcMar>
          </w:tcPr>
          <w:p>
            <w:pPr>
              <w:jc w:val="left"/>
            </w:pPr>
            <w:r>
              <w:rPr>
                <w:rFonts w:ascii="Calibri" w:hAnsi="Calibri"/>
                <w:color w:val="282C34"/>
                <w:sz w:val="19"/>
              </w:rPr>
              <w:t>Cross-platform multimedia engine for audio/video decoding, compositing, and rendering.</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GDPR</w:t>
            </w:r>
          </w:p>
        </w:tc>
        <w:tc>
          <w:tcPr>
            <w:tcW w:type="dxa" w:w="6768"/>
            <w:shd w:fill="F4F6F9"/>
            <w:tcMar>
              <w:top w:w="100" w:type="dxa"/>
              <w:bottom w:w="100" w:type="dxa"/>
              <w:left w:w="120" w:type="dxa"/>
              <w:right w:w="120" w:type="dxa"/>
            </w:tcMar>
          </w:tcPr>
          <w:p>
            <w:pPr>
              <w:jc w:val="left"/>
            </w:pPr>
            <w:r>
              <w:rPr>
                <w:rFonts w:ascii="Calibri" w:hAnsi="Calibri"/>
                <w:color w:val="282C34"/>
                <w:sz w:val="19"/>
              </w:rPr>
              <w:t>General Data Protection Regulation — European legal framework for privacy &amp; data protection.</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JSON</w:t>
            </w:r>
          </w:p>
        </w:tc>
        <w:tc>
          <w:tcPr>
            <w:tcW w:type="dxa" w:w="6768"/>
            <w:shd w:fill="FFFFFF"/>
            <w:tcMar>
              <w:top w:w="100" w:type="dxa"/>
              <w:bottom w:w="100" w:type="dxa"/>
              <w:left w:w="120" w:type="dxa"/>
              <w:right w:w="120" w:type="dxa"/>
            </w:tcMar>
          </w:tcPr>
          <w:p>
            <w:pPr>
              <w:jc w:val="left"/>
            </w:pPr>
            <w:r>
              <w:rPr>
                <w:rFonts w:ascii="Calibri" w:hAnsi="Calibri"/>
                <w:color w:val="282C34"/>
                <w:sz w:val="19"/>
              </w:rPr>
              <w:t>JavaScript Object Notation — Lightweight data interchange format.</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LLM</w:t>
            </w:r>
          </w:p>
        </w:tc>
        <w:tc>
          <w:tcPr>
            <w:tcW w:type="dxa" w:w="6768"/>
            <w:shd w:fill="F4F6F9"/>
            <w:tcMar>
              <w:top w:w="100" w:type="dxa"/>
              <w:bottom w:w="100" w:type="dxa"/>
              <w:left w:w="120" w:type="dxa"/>
              <w:right w:w="120" w:type="dxa"/>
            </w:tcMar>
          </w:tcPr>
          <w:p>
            <w:pPr>
              <w:jc w:val="left"/>
            </w:pPr>
            <w:r>
              <w:rPr>
                <w:rFonts w:ascii="Calibri" w:hAnsi="Calibri"/>
                <w:color w:val="282C34"/>
                <w:sz w:val="19"/>
              </w:rPr>
              <w:t>Large Language Model — Neural network trained on vast text corpora for language tasks.</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MoSCoW</w:t>
            </w:r>
          </w:p>
        </w:tc>
        <w:tc>
          <w:tcPr>
            <w:tcW w:type="dxa" w:w="6768"/>
            <w:shd w:fill="FFFFFF"/>
            <w:tcMar>
              <w:top w:w="100" w:type="dxa"/>
              <w:bottom w:w="100" w:type="dxa"/>
              <w:left w:w="120" w:type="dxa"/>
              <w:right w:w="120" w:type="dxa"/>
            </w:tcMar>
          </w:tcPr>
          <w:p>
            <w:pPr>
              <w:jc w:val="left"/>
            </w:pPr>
            <w:r>
              <w:rPr>
                <w:rFonts w:ascii="Calibri" w:hAnsi="Calibri"/>
                <w:color w:val="282C34"/>
                <w:sz w:val="19"/>
              </w:rPr>
              <w:t>Must-have, Should-have, Could-have, Won't-have — Agile feature prioritization technique.</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OWASP</w:t>
            </w:r>
          </w:p>
        </w:tc>
        <w:tc>
          <w:tcPr>
            <w:tcW w:type="dxa" w:w="6768"/>
            <w:shd w:fill="F4F6F9"/>
            <w:tcMar>
              <w:top w:w="100" w:type="dxa"/>
              <w:bottom w:w="100" w:type="dxa"/>
              <w:left w:w="120" w:type="dxa"/>
              <w:right w:w="120" w:type="dxa"/>
            </w:tcMar>
          </w:tcPr>
          <w:p>
            <w:pPr>
              <w:jc w:val="left"/>
            </w:pPr>
            <w:r>
              <w:rPr>
                <w:rFonts w:ascii="Calibri" w:hAnsi="Calibri"/>
                <w:color w:val="282C34"/>
                <w:sz w:val="19"/>
              </w:rPr>
              <w:t>Open Web Application Security Project — Standard for web application security practices.</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Pydantic</w:t>
            </w:r>
          </w:p>
        </w:tc>
        <w:tc>
          <w:tcPr>
            <w:tcW w:type="dxa" w:w="6768"/>
            <w:shd w:fill="FFFFFF"/>
            <w:tcMar>
              <w:top w:w="100" w:type="dxa"/>
              <w:bottom w:w="100" w:type="dxa"/>
              <w:left w:w="120" w:type="dxa"/>
              <w:right w:w="120" w:type="dxa"/>
            </w:tcMar>
          </w:tcPr>
          <w:p>
            <w:pPr>
              <w:jc w:val="left"/>
            </w:pPr>
            <w:r>
              <w:rPr>
                <w:rFonts w:ascii="Calibri" w:hAnsi="Calibri"/>
                <w:color w:val="282C34"/>
                <w:sz w:val="19"/>
              </w:rPr>
              <w:t>Python data validation library enforcing strict type hints and schemas.</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RAG</w:t>
            </w:r>
          </w:p>
        </w:tc>
        <w:tc>
          <w:tcPr>
            <w:tcW w:type="dxa" w:w="6768"/>
            <w:shd w:fill="F4F6F9"/>
            <w:tcMar>
              <w:top w:w="100" w:type="dxa"/>
              <w:bottom w:w="100" w:type="dxa"/>
              <w:left w:w="120" w:type="dxa"/>
              <w:right w:w="120" w:type="dxa"/>
            </w:tcMar>
          </w:tcPr>
          <w:p>
            <w:pPr>
              <w:jc w:val="left"/>
            </w:pPr>
            <w:r>
              <w:rPr>
                <w:rFonts w:ascii="Calibri" w:hAnsi="Calibri"/>
                <w:color w:val="282C34"/>
                <w:sz w:val="19"/>
              </w:rPr>
              <w:t>Retrieval-Augmented Generation — Method combining document retrieval with language models.</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RBAC</w:t>
            </w:r>
          </w:p>
        </w:tc>
        <w:tc>
          <w:tcPr>
            <w:tcW w:type="dxa" w:w="6768"/>
            <w:shd w:fill="FFFFFF"/>
            <w:tcMar>
              <w:top w:w="100" w:type="dxa"/>
              <w:bottom w:w="100" w:type="dxa"/>
              <w:left w:w="120" w:type="dxa"/>
              <w:right w:w="120" w:type="dxa"/>
            </w:tcMar>
          </w:tcPr>
          <w:p>
            <w:pPr>
              <w:jc w:val="left"/>
            </w:pPr>
            <w:r>
              <w:rPr>
                <w:rFonts w:ascii="Calibri" w:hAnsi="Calibri"/>
                <w:color w:val="282C34"/>
                <w:sz w:val="19"/>
              </w:rPr>
              <w:t>Role-Based Access Control — Security restriction model based on user permissions.</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REST</w:t>
            </w:r>
          </w:p>
        </w:tc>
        <w:tc>
          <w:tcPr>
            <w:tcW w:type="dxa" w:w="6768"/>
            <w:shd w:fill="F4F6F9"/>
            <w:tcMar>
              <w:top w:w="100" w:type="dxa"/>
              <w:bottom w:w="100" w:type="dxa"/>
              <w:left w:w="120" w:type="dxa"/>
              <w:right w:w="120" w:type="dxa"/>
            </w:tcMar>
          </w:tcPr>
          <w:p>
            <w:pPr>
              <w:jc w:val="left"/>
            </w:pPr>
            <w:r>
              <w:rPr>
                <w:rFonts w:ascii="Calibri" w:hAnsi="Calibri"/>
                <w:color w:val="282C34"/>
                <w:sz w:val="19"/>
              </w:rPr>
              <w:t>Representational State Transfer — Architectural style for HTTP APIs.</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SDLC</w:t>
            </w:r>
          </w:p>
        </w:tc>
        <w:tc>
          <w:tcPr>
            <w:tcW w:type="dxa" w:w="6768"/>
            <w:shd w:fill="FFFFFF"/>
            <w:tcMar>
              <w:top w:w="100" w:type="dxa"/>
              <w:bottom w:w="100" w:type="dxa"/>
              <w:left w:w="120" w:type="dxa"/>
              <w:right w:w="120" w:type="dxa"/>
            </w:tcMar>
          </w:tcPr>
          <w:p>
            <w:pPr>
              <w:jc w:val="left"/>
            </w:pPr>
            <w:r>
              <w:rPr>
                <w:rFonts w:ascii="Calibri" w:hAnsi="Calibri"/>
                <w:color w:val="282C34"/>
                <w:sz w:val="19"/>
              </w:rPr>
              <w:t>Software Development Life Cycle — Process for planning, creating, testing, &amp; deploying software.</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SOC 2</w:t>
            </w:r>
          </w:p>
        </w:tc>
        <w:tc>
          <w:tcPr>
            <w:tcW w:type="dxa" w:w="6768"/>
            <w:shd w:fill="F4F6F9"/>
            <w:tcMar>
              <w:top w:w="100" w:type="dxa"/>
              <w:bottom w:w="100" w:type="dxa"/>
              <w:left w:w="120" w:type="dxa"/>
              <w:right w:w="120" w:type="dxa"/>
            </w:tcMar>
          </w:tcPr>
          <w:p>
            <w:pPr>
              <w:jc w:val="left"/>
            </w:pPr>
            <w:r>
              <w:rPr>
                <w:rFonts w:ascii="Calibri" w:hAnsi="Calibri"/>
                <w:color w:val="282C34"/>
                <w:sz w:val="19"/>
              </w:rPr>
              <w:t>System and Organization Controls 2 — Enterprise audit standard for cloud security &amp; privacy.</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SPA</w:t>
            </w:r>
          </w:p>
        </w:tc>
        <w:tc>
          <w:tcPr>
            <w:tcW w:type="dxa" w:w="6768"/>
            <w:shd w:fill="FFFFFF"/>
            <w:tcMar>
              <w:top w:w="100" w:type="dxa"/>
              <w:bottom w:w="100" w:type="dxa"/>
              <w:left w:w="120" w:type="dxa"/>
              <w:right w:w="120" w:type="dxa"/>
            </w:tcMar>
          </w:tcPr>
          <w:p>
            <w:pPr>
              <w:jc w:val="left"/>
            </w:pPr>
            <w:r>
              <w:rPr>
                <w:rFonts w:ascii="Calibri" w:hAnsi="Calibri"/>
                <w:color w:val="282C34"/>
                <w:sz w:val="19"/>
              </w:rPr>
              <w:t>Single Page Application — Web application that dynamically updates without page reloads.</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SRS</w:t>
            </w:r>
          </w:p>
        </w:tc>
        <w:tc>
          <w:tcPr>
            <w:tcW w:type="dxa" w:w="6768"/>
            <w:shd w:fill="F4F6F9"/>
            <w:tcMar>
              <w:top w:w="100" w:type="dxa"/>
              <w:bottom w:w="100" w:type="dxa"/>
              <w:left w:w="120" w:type="dxa"/>
              <w:right w:w="120" w:type="dxa"/>
            </w:tcMar>
          </w:tcPr>
          <w:p>
            <w:pPr>
              <w:jc w:val="left"/>
            </w:pPr>
            <w:r>
              <w:rPr>
                <w:rFonts w:ascii="Calibri" w:hAnsi="Calibri"/>
                <w:color w:val="282C34"/>
                <w:sz w:val="19"/>
              </w:rPr>
              <w:t>Software Requirements Specification — Detailed technical blueprint of system behavior.</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TTS</w:t>
            </w:r>
          </w:p>
        </w:tc>
        <w:tc>
          <w:tcPr>
            <w:tcW w:type="dxa" w:w="6768"/>
            <w:shd w:fill="FFFFFF"/>
            <w:tcMar>
              <w:top w:w="100" w:type="dxa"/>
              <w:bottom w:w="100" w:type="dxa"/>
              <w:left w:w="120" w:type="dxa"/>
              <w:right w:w="120" w:type="dxa"/>
            </w:tcMar>
          </w:tcPr>
          <w:p>
            <w:pPr>
              <w:jc w:val="left"/>
            </w:pPr>
            <w:r>
              <w:rPr>
                <w:rFonts w:ascii="Calibri" w:hAnsi="Calibri"/>
                <w:color w:val="282C34"/>
                <w:sz w:val="19"/>
              </w:rPr>
              <w:t>Text-to-Speech — Automated synthesis of human speech from written text.</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UI/UX</w:t>
            </w:r>
          </w:p>
        </w:tc>
        <w:tc>
          <w:tcPr>
            <w:tcW w:type="dxa" w:w="6768"/>
            <w:shd w:fill="F4F6F9"/>
            <w:tcMar>
              <w:top w:w="100" w:type="dxa"/>
              <w:bottom w:w="100" w:type="dxa"/>
              <w:left w:w="120" w:type="dxa"/>
              <w:right w:w="120" w:type="dxa"/>
            </w:tcMar>
          </w:tcPr>
          <w:p>
            <w:pPr>
              <w:jc w:val="left"/>
            </w:pPr>
            <w:r>
              <w:rPr>
                <w:rFonts w:ascii="Calibri" w:hAnsi="Calibri"/>
                <w:color w:val="282C34"/>
                <w:sz w:val="19"/>
              </w:rPr>
              <w:t>User Interface / User Experience — Visual design and user interaction structure.</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Vite</w:t>
            </w:r>
          </w:p>
        </w:tc>
        <w:tc>
          <w:tcPr>
            <w:tcW w:type="dxa" w:w="6768"/>
            <w:shd w:fill="FFFFFF"/>
            <w:tcMar>
              <w:top w:w="100" w:type="dxa"/>
              <w:bottom w:w="100" w:type="dxa"/>
              <w:left w:w="120" w:type="dxa"/>
              <w:right w:w="120" w:type="dxa"/>
            </w:tcMar>
          </w:tcPr>
          <w:p>
            <w:pPr>
              <w:jc w:val="left"/>
            </w:pPr>
            <w:r>
              <w:rPr>
                <w:rFonts w:ascii="Calibri" w:hAnsi="Calibri"/>
                <w:color w:val="282C34"/>
                <w:sz w:val="19"/>
              </w:rPr>
              <w:t>Next-generation build tool providing rapid hot-module replacement for React.</w:t>
            </w:r>
          </w:p>
        </w:tc>
      </w:tr>
    </w:tbl>
    <w:p>
      <w:pPr>
        <w:pStyle w:val="Heading1"/>
        <w:keepNext/>
        <w:spacing w:before="280" w:after="120"/>
      </w:pPr>
      <w:r>
        <w:rPr>
          <w:rFonts w:ascii="Arial" w:hAnsi="Arial"/>
          <w:b/>
          <w:color w:val="0B132B"/>
          <w:sz w:val="40"/>
        </w:rPr>
        <w:t>Table of Contents</w:t>
      </w:r>
    </w:p>
    <w:p>
      <w:pPr>
        <w:spacing w:before="0" w:after="60" w:line="276" w:lineRule="auto"/>
      </w:pPr>
      <w:r>
        <w:rPr>
          <w:rFonts w:ascii="Calibri" w:hAnsi="Calibri"/>
          <w:color w:val="282C34"/>
          <w:sz w:val="22"/>
        </w:rPr>
        <w:t>Executive Summary .................................................................................................................. iii</w:t>
      </w:r>
    </w:p>
    <w:p>
      <w:pPr>
        <w:spacing w:before="0" w:after="60" w:line="276" w:lineRule="auto"/>
      </w:pPr>
      <w:r>
        <w:rPr>
          <w:rFonts w:ascii="Calibri" w:hAnsi="Calibri"/>
          <w:color w:val="282C34"/>
          <w:sz w:val="22"/>
        </w:rPr>
        <w:t>Abbreviations &amp; Glossary .............................................................................................................. iv</w:t>
      </w:r>
    </w:p>
    <w:p>
      <w:pPr>
        <w:spacing w:before="0" w:after="60" w:line="276" w:lineRule="auto"/>
      </w:pPr>
      <w:r>
        <w:rPr>
          <w:rFonts w:ascii="Calibri" w:hAnsi="Calibri"/>
          <w:color w:val="282C34"/>
          <w:sz w:val="22"/>
        </w:rPr>
        <w:t>Chapter 1 — Introduction &amp; Enterprise Context ......................................................................... 1</w:t>
      </w:r>
    </w:p>
    <w:p>
      <w:pPr>
        <w:spacing w:before="0" w:after="60" w:line="276" w:lineRule="auto"/>
      </w:pPr>
      <w:r>
        <w:rPr>
          <w:rFonts w:ascii="Calibri" w:hAnsi="Calibri"/>
          <w:color w:val="282C34"/>
          <w:sz w:val="22"/>
        </w:rPr>
        <w:t xml:space="preserve">  1.1 Company Profile: Ernst &amp; Young LLP (EY) ....................................................................... 1</w:t>
      </w:r>
    </w:p>
    <w:p>
      <w:pPr>
        <w:spacing w:before="0" w:after="60" w:line="276" w:lineRule="auto"/>
      </w:pPr>
      <w:r>
        <w:rPr>
          <w:rFonts w:ascii="Calibri" w:hAnsi="Calibri"/>
          <w:color w:val="282C34"/>
          <w:sz w:val="22"/>
        </w:rPr>
        <w:t xml:space="preserve">  1.2 Internship Context &amp; Progression ................................................................................. 2</w:t>
      </w:r>
    </w:p>
    <w:p>
      <w:pPr>
        <w:spacing w:before="0" w:after="60" w:line="276" w:lineRule="auto"/>
      </w:pPr>
      <w:r>
        <w:rPr>
          <w:rFonts w:ascii="Calibri" w:hAnsi="Calibri"/>
          <w:color w:val="282C34"/>
          <w:sz w:val="22"/>
        </w:rPr>
        <w:t>Chapter 2 — Project Objectives &amp; Scope ................................................................................. 4</w:t>
      </w:r>
    </w:p>
    <w:p>
      <w:pPr>
        <w:spacing w:before="0" w:after="60" w:line="276" w:lineRule="auto"/>
      </w:pPr>
      <w:r>
        <w:rPr>
          <w:rFonts w:ascii="Calibri" w:hAnsi="Calibri"/>
          <w:color w:val="282C34"/>
          <w:sz w:val="22"/>
        </w:rPr>
        <w:t xml:space="preserve">  2.1 Primary Objectives ...................................................................................................... 4</w:t>
      </w:r>
    </w:p>
    <w:p>
      <w:pPr>
        <w:spacing w:before="0" w:after="60" w:line="276" w:lineRule="auto"/>
      </w:pPr>
      <w:r>
        <w:rPr>
          <w:rFonts w:ascii="Calibri" w:hAnsi="Calibri"/>
          <w:color w:val="282C34"/>
          <w:sz w:val="22"/>
        </w:rPr>
        <w:t xml:space="preserve">  2.2 Project Scope &amp; Boundaries .......................................................................................... 5</w:t>
      </w:r>
    </w:p>
    <w:p>
      <w:pPr>
        <w:spacing w:before="0" w:after="60" w:line="276" w:lineRule="auto"/>
      </w:pPr>
      <w:r>
        <w:rPr>
          <w:rFonts w:ascii="Calibri" w:hAnsi="Calibri"/>
          <w:color w:val="282C34"/>
          <w:sz w:val="22"/>
        </w:rPr>
        <w:t>Chapter 3 — Problem Statement &amp; SDLC Bottlenecks ................................................................. 6</w:t>
      </w:r>
    </w:p>
    <w:p>
      <w:pPr>
        <w:spacing w:before="0" w:after="60" w:line="276" w:lineRule="auto"/>
      </w:pPr>
      <w:r>
        <w:rPr>
          <w:rFonts w:ascii="Calibri" w:hAnsi="Calibri"/>
          <w:color w:val="282C34"/>
          <w:sz w:val="22"/>
        </w:rPr>
        <w:t xml:space="preserve">  3.1 Traditional SDLC Operational Friction ........................................................................... 6</w:t>
      </w:r>
    </w:p>
    <w:p>
      <w:pPr>
        <w:spacing w:before="0" w:after="60" w:line="276" w:lineRule="auto"/>
      </w:pPr>
      <w:r>
        <w:rPr>
          <w:rFonts w:ascii="Calibri" w:hAnsi="Calibri"/>
          <w:color w:val="282C34"/>
          <w:sz w:val="22"/>
        </w:rPr>
        <w:t xml:space="preserve">  3.2 Limitations of Single-Assistant AI Tools ......................................................................... 7</w:t>
      </w:r>
    </w:p>
    <w:p>
      <w:pPr>
        <w:spacing w:before="0" w:after="60" w:line="276" w:lineRule="auto"/>
      </w:pPr>
      <w:r>
        <w:rPr>
          <w:rFonts w:ascii="Calibri" w:hAnsi="Calibri"/>
          <w:color w:val="282C34"/>
          <w:sz w:val="22"/>
        </w:rPr>
        <w:t>Chapter 4 — Proposed Solution: Autonomous SDLC Platform ........................................................ 9</w:t>
      </w:r>
    </w:p>
    <w:p>
      <w:pPr>
        <w:spacing w:before="0" w:after="60" w:line="276" w:lineRule="auto"/>
      </w:pPr>
      <w:r>
        <w:rPr>
          <w:rFonts w:ascii="Calibri" w:hAnsi="Calibri"/>
          <w:color w:val="282C34"/>
          <w:sz w:val="22"/>
        </w:rPr>
        <w:t>Chapter 5 — Platform Architecture &amp; Data Model ..................................................................... 11</w:t>
      </w:r>
    </w:p>
    <w:p>
      <w:pPr>
        <w:spacing w:before="0" w:after="60" w:line="276" w:lineRule="auto"/>
      </w:pPr>
      <w:r>
        <w:rPr>
          <w:rFonts w:ascii="Calibri" w:hAnsi="Calibri"/>
          <w:color w:val="282C34"/>
          <w:sz w:val="22"/>
        </w:rPr>
        <w:t xml:space="preserve">  5.1 System Architecture Overview .................................................................................... 11</w:t>
      </w:r>
    </w:p>
    <w:p>
      <w:pPr>
        <w:spacing w:before="0" w:after="60" w:line="276" w:lineRule="auto"/>
      </w:pPr>
      <w:r>
        <w:rPr>
          <w:rFonts w:ascii="Calibri" w:hAnsi="Calibri"/>
          <w:color w:val="282C34"/>
          <w:sz w:val="22"/>
        </w:rPr>
        <w:t xml:space="preserve">  5.2 Database Architecture &amp; Data Model ........................................................................... 13</w:t>
      </w:r>
    </w:p>
    <w:p>
      <w:pPr>
        <w:spacing w:before="0" w:after="60" w:line="276" w:lineRule="auto"/>
      </w:pPr>
      <w:r>
        <w:rPr>
          <w:rFonts w:ascii="Calibri" w:hAnsi="Calibri"/>
          <w:color w:val="282C34"/>
          <w:sz w:val="22"/>
        </w:rPr>
        <w:t>Chapter 6 — Complete Workspace &amp; Feature Documentation ..................................................... 16</w:t>
      </w:r>
    </w:p>
    <w:p>
      <w:pPr>
        <w:spacing w:before="0" w:after="60" w:line="276" w:lineRule="auto"/>
      </w:pPr>
      <w:r>
        <w:rPr>
          <w:rFonts w:ascii="Calibri" w:hAnsi="Calibri"/>
          <w:color w:val="282C34"/>
          <w:sz w:val="22"/>
        </w:rPr>
        <w:t xml:space="preserve">  6.1 Dashboard Workspace ................................................................................................. 16</w:t>
      </w:r>
    </w:p>
    <w:p>
      <w:pPr>
        <w:spacing w:before="0" w:after="60" w:line="276" w:lineRule="auto"/>
      </w:pPr>
      <w:r>
        <w:rPr>
          <w:rFonts w:ascii="Calibri" w:hAnsi="Calibri"/>
          <w:color w:val="282C34"/>
          <w:sz w:val="22"/>
        </w:rPr>
        <w:t xml:space="preserve">  6.2 Project Creation Workspace .......................................................................................... 18</w:t>
      </w:r>
    </w:p>
    <w:p>
      <w:pPr>
        <w:spacing w:before="0" w:after="60" w:line="276" w:lineRule="auto"/>
      </w:pPr>
      <w:r>
        <w:rPr>
          <w:rFonts w:ascii="Calibri" w:hAnsi="Calibri"/>
          <w:color w:val="282C34"/>
          <w:sz w:val="22"/>
        </w:rPr>
        <w:t xml:space="preserve">  6.3 Requirements Workspace ............................................................................................ 20</w:t>
      </w:r>
    </w:p>
    <w:p>
      <w:pPr>
        <w:spacing w:before="0" w:after="60" w:line="276" w:lineRule="auto"/>
      </w:pPr>
      <w:r>
        <w:rPr>
          <w:rFonts w:ascii="Calibri" w:hAnsi="Calibri"/>
          <w:color w:val="282C34"/>
          <w:sz w:val="22"/>
        </w:rPr>
        <w:t xml:space="preserve">  6.4 Business Analyst Workspace ........................................................................................ 22</w:t>
      </w:r>
    </w:p>
    <w:p>
      <w:pPr>
        <w:spacing w:before="0" w:after="60" w:line="276" w:lineRule="auto"/>
      </w:pPr>
      <w:r>
        <w:rPr>
          <w:rFonts w:ascii="Calibri" w:hAnsi="Calibri"/>
          <w:color w:val="282C34"/>
          <w:sz w:val="22"/>
        </w:rPr>
        <w:t xml:space="preserve">  6.5 Architecture Workspace ................................................................................................ 24</w:t>
      </w:r>
    </w:p>
    <w:p>
      <w:pPr>
        <w:spacing w:before="0" w:after="60" w:line="276" w:lineRule="auto"/>
      </w:pPr>
      <w:r>
        <w:rPr>
          <w:rFonts w:ascii="Calibri" w:hAnsi="Calibri"/>
          <w:color w:val="282C34"/>
          <w:sz w:val="22"/>
        </w:rPr>
        <w:t xml:space="preserve">  6.6 Development Studio Workspace ................................................................................... 26</w:t>
      </w:r>
    </w:p>
    <w:p>
      <w:pPr>
        <w:spacing w:before="0" w:after="60" w:line="276" w:lineRule="auto"/>
      </w:pPr>
      <w:r>
        <w:rPr>
          <w:rFonts w:ascii="Calibri" w:hAnsi="Calibri"/>
          <w:color w:val="282C34"/>
          <w:sz w:val="22"/>
        </w:rPr>
        <w:t xml:space="preserve">  6.7 Testing Workspace ...................................................................................................... 28</w:t>
      </w:r>
    </w:p>
    <w:p>
      <w:pPr>
        <w:spacing w:before="0" w:after="60" w:line="276" w:lineRule="auto"/>
      </w:pPr>
      <w:r>
        <w:rPr>
          <w:rFonts w:ascii="Calibri" w:hAnsi="Calibri"/>
          <w:color w:val="282C34"/>
          <w:sz w:val="22"/>
        </w:rPr>
        <w:t xml:space="preserve">  6.8 Deployment Workspace ................................................................................................ 30</w:t>
      </w:r>
    </w:p>
    <w:p>
      <w:pPr>
        <w:spacing w:before="0" w:after="60" w:line="276" w:lineRule="auto"/>
      </w:pPr>
      <w:r>
        <w:rPr>
          <w:rFonts w:ascii="Calibri" w:hAnsi="Calibri"/>
          <w:color w:val="282C34"/>
          <w:sz w:val="22"/>
        </w:rPr>
        <w:t xml:space="preserve">  6.9 Documentation Center ................................................................................................ 32</w:t>
      </w:r>
    </w:p>
    <w:p>
      <w:pPr>
        <w:spacing w:before="0" w:after="60" w:line="276" w:lineRule="auto"/>
      </w:pPr>
      <w:r>
        <w:rPr>
          <w:rFonts w:ascii="Calibri" w:hAnsi="Calibri"/>
          <w:color w:val="282C34"/>
          <w:sz w:val="22"/>
        </w:rPr>
        <w:t xml:space="preserve">  6.10 Video &amp; Media Generation Workspace ......................................................................... 34</w:t>
      </w:r>
    </w:p>
    <w:p>
      <w:pPr>
        <w:spacing w:before="0" w:after="60" w:line="276" w:lineRule="auto"/>
      </w:pPr>
      <w:r>
        <w:rPr>
          <w:rFonts w:ascii="Calibri" w:hAnsi="Calibri"/>
          <w:color w:val="282C34"/>
          <w:sz w:val="22"/>
        </w:rPr>
        <w:t xml:space="preserve">  6.11 Presentation Generation Engine ................................................................................. 36</w:t>
      </w:r>
    </w:p>
    <w:p>
      <w:pPr>
        <w:spacing w:before="0" w:after="60" w:line="276" w:lineRule="auto"/>
      </w:pPr>
      <w:r>
        <w:rPr>
          <w:rFonts w:ascii="Calibri" w:hAnsi="Calibri"/>
          <w:color w:val="282C34"/>
          <w:sz w:val="22"/>
        </w:rPr>
        <w:t xml:space="preserve">  6.12 AI Copilot &amp; Contextual Assistant ................................................................................ 38</w:t>
      </w:r>
    </w:p>
    <w:p>
      <w:pPr>
        <w:spacing w:before="0" w:after="60" w:line="276" w:lineRule="auto"/>
      </w:pPr>
      <w:r>
        <w:rPr>
          <w:rFonts w:ascii="Calibri" w:hAnsi="Calibri"/>
          <w:color w:val="282C34"/>
          <w:sz w:val="22"/>
        </w:rPr>
        <w:t xml:space="preserve">  6.13 Pipeline Dashboard &amp; Event Monitoring ....................................................................... 40</w:t>
      </w:r>
    </w:p>
    <w:p>
      <w:pPr>
        <w:spacing w:before="0" w:after="60" w:line="276" w:lineRule="auto"/>
      </w:pPr>
      <w:r>
        <w:rPr>
          <w:rFonts w:ascii="Calibri" w:hAnsi="Calibri"/>
          <w:color w:val="282C34"/>
          <w:sz w:val="22"/>
        </w:rPr>
        <w:t xml:space="preserve">  6.14 Approval Workflow &amp; Checkpoint Center ..................................................................... 42</w:t>
      </w:r>
    </w:p>
    <w:p>
      <w:pPr>
        <w:spacing w:before="0" w:after="60" w:line="276" w:lineRule="auto"/>
      </w:pPr>
      <w:r>
        <w:rPr>
          <w:rFonts w:ascii="Calibri" w:hAnsi="Calibri"/>
          <w:color w:val="282C34"/>
          <w:sz w:val="22"/>
        </w:rPr>
        <w:t xml:space="preserve">  6.15 Summary Matrix of Platform Workspaces ................................................................. 44</w:t>
      </w:r>
    </w:p>
    <w:p>
      <w:pPr>
        <w:spacing w:before="0" w:after="60" w:line="276" w:lineRule="auto"/>
      </w:pPr>
      <w:r>
        <w:rPr>
          <w:rFonts w:ascii="Calibri" w:hAnsi="Calibri"/>
          <w:color w:val="282C34"/>
          <w:sz w:val="22"/>
        </w:rPr>
        <w:t>Chapter 7 — Technical Implementation Details ........................................................................ 46</w:t>
      </w:r>
    </w:p>
    <w:p>
      <w:pPr>
        <w:spacing w:before="0" w:after="60" w:line="276" w:lineRule="auto"/>
      </w:pPr>
      <w:r>
        <w:rPr>
          <w:rFonts w:ascii="Calibri" w:hAnsi="Calibri"/>
          <w:color w:val="282C34"/>
          <w:sz w:val="22"/>
        </w:rPr>
        <w:t xml:space="preserve">  7.1 Technology Stack Matrix ............................................................................................ 46</w:t>
      </w:r>
    </w:p>
    <w:p>
      <w:pPr>
        <w:spacing w:before="0" w:after="60" w:line="276" w:lineRule="auto"/>
      </w:pPr>
      <w:r>
        <w:rPr>
          <w:rFonts w:ascii="Calibri" w:hAnsi="Calibri"/>
          <w:color w:val="282C34"/>
          <w:sz w:val="22"/>
        </w:rPr>
        <w:t xml:space="preserve">  7.2 Media Generation Pipeline Details ............................................................................. 48</w:t>
      </w:r>
    </w:p>
    <w:p>
      <w:pPr>
        <w:spacing w:before="0" w:after="60" w:line="276" w:lineRule="auto"/>
      </w:pPr>
      <w:r>
        <w:rPr>
          <w:rFonts w:ascii="Calibri" w:hAnsi="Calibri"/>
          <w:color w:val="282C34"/>
          <w:sz w:val="22"/>
        </w:rPr>
        <w:t>Chapter 8 — Testing, Validation &amp; Results ............................................................................ 51</w:t>
      </w:r>
    </w:p>
    <w:p>
      <w:pPr>
        <w:spacing w:before="0" w:after="60" w:line="276" w:lineRule="auto"/>
      </w:pPr>
      <w:r>
        <w:rPr>
          <w:rFonts w:ascii="Calibri" w:hAnsi="Calibri"/>
          <w:color w:val="282C34"/>
          <w:sz w:val="22"/>
        </w:rPr>
        <w:t>Chapter 9 — Challenges Faced &amp; Solutions Implemented ............................................................. 54</w:t>
      </w:r>
    </w:p>
    <w:p>
      <w:pPr>
        <w:spacing w:before="0" w:after="60" w:line="276" w:lineRule="auto"/>
      </w:pPr>
      <w:r>
        <w:rPr>
          <w:rFonts w:ascii="Calibri" w:hAnsi="Calibri"/>
          <w:color w:val="282C34"/>
          <w:sz w:val="22"/>
        </w:rPr>
        <w:t>Chapter 10 — Professional Reflection &amp; Learning Outcomes ......................................................... 57</w:t>
      </w:r>
    </w:p>
    <w:p>
      <w:pPr>
        <w:spacing w:before="0" w:after="60" w:line="276" w:lineRule="auto"/>
      </w:pPr>
      <w:r>
        <w:rPr>
          <w:rFonts w:ascii="Calibri" w:hAnsi="Calibri"/>
          <w:color w:val="282C34"/>
          <w:sz w:val="22"/>
        </w:rPr>
        <w:t>Chapter 11 — Future Roadmap &amp; Enhancements ...................................................................... 60</w:t>
      </w:r>
    </w:p>
    <w:p>
      <w:pPr>
        <w:spacing w:before="0" w:after="60" w:line="276" w:lineRule="auto"/>
      </w:pPr>
      <w:r>
        <w:rPr>
          <w:rFonts w:ascii="Calibri" w:hAnsi="Calibri"/>
          <w:color w:val="282C34"/>
          <w:sz w:val="22"/>
        </w:rPr>
        <w:t>Chapter 12 — Conclusion ....................................................................................................... 62</w:t>
      </w:r>
    </w:p>
    <w:p>
      <w:pPr>
        <w:spacing w:before="0" w:after="60" w:line="276" w:lineRule="auto"/>
      </w:pPr>
      <w:r>
        <w:rPr>
          <w:rFonts w:ascii="Calibri" w:hAnsi="Calibri"/>
          <w:color w:val="282C34"/>
          <w:sz w:val="22"/>
        </w:rPr>
        <w:t>References &amp; Bibliography ..................................................................................................... 64</w:t>
      </w:r>
    </w:p>
    <w:p>
      <w:pPr>
        <w:spacing w:before="0" w:after="60" w:line="276" w:lineRule="auto"/>
      </w:pPr>
      <w:r>
        <w:rPr>
          <w:rFonts w:ascii="Calibri" w:hAnsi="Calibri"/>
          <w:color w:val="282C34"/>
          <w:sz w:val="22"/>
        </w:rPr>
        <w:t>Appendices .......................................................................................................................... 65</w:t>
      </w:r>
    </w:p>
    <w:p>
      <w:pPr>
        <w:pStyle w:val="Heading1"/>
        <w:keepNext/>
        <w:spacing w:before="280" w:after="120"/>
      </w:pPr>
      <w:r>
        <w:rPr>
          <w:rFonts w:ascii="Arial" w:hAnsi="Arial"/>
          <w:b/>
          <w:color w:val="0B132B"/>
          <w:sz w:val="40"/>
        </w:rPr>
        <w:t>List of Figures</w:t>
      </w:r>
    </w:p>
    <w:p>
      <w:pPr>
        <w:spacing w:before="0" w:after="60" w:line="276" w:lineRule="auto"/>
      </w:pPr>
      <w:r>
        <w:rPr>
          <w:rFonts w:ascii="Calibri" w:hAnsi="Calibri"/>
          <w:color w:val="282C34"/>
          <w:sz w:val="22"/>
        </w:rPr>
        <w:t>Figure 5.1 — Multi-Agent Autonomous SDLC Platform System Architecture .................................... 12</w:t>
      </w:r>
    </w:p>
    <w:p>
      <w:pPr>
        <w:spacing w:before="0" w:after="60" w:line="276" w:lineRule="auto"/>
      </w:pPr>
      <w:r>
        <w:rPr>
          <w:rFonts w:ascii="Calibri" w:hAnsi="Calibri"/>
          <w:color w:val="282C34"/>
          <w:sz w:val="22"/>
        </w:rPr>
        <w:t>Figure 5.2 — Simplified Conceptual Data Model ........................................................................... 14</w:t>
      </w:r>
    </w:p>
    <w:p>
      <w:pPr>
        <w:spacing w:before="0" w:after="60" w:line="276" w:lineRule="auto"/>
      </w:pPr>
      <w:r>
        <w:rPr>
          <w:rFonts w:ascii="Calibri" w:hAnsi="Calibri"/>
          <w:color w:val="282C34"/>
          <w:sz w:val="22"/>
        </w:rPr>
        <w:t>Figure 6.1 — Dashboard Workspace Interface ............................................................................... 17</w:t>
      </w:r>
    </w:p>
    <w:p>
      <w:pPr>
        <w:spacing w:before="0" w:after="60" w:line="276" w:lineRule="auto"/>
      </w:pPr>
      <w:r>
        <w:rPr>
          <w:rFonts w:ascii="Calibri" w:hAnsi="Calibri"/>
          <w:color w:val="282C34"/>
          <w:sz w:val="22"/>
        </w:rPr>
        <w:t>Figure 6.2 — Project Creation Workspace Interface ....................................................................... 19</w:t>
      </w:r>
    </w:p>
    <w:p>
      <w:pPr>
        <w:spacing w:before="0" w:after="60" w:line="276" w:lineRule="auto"/>
      </w:pPr>
      <w:r>
        <w:rPr>
          <w:rFonts w:ascii="Calibri" w:hAnsi="Calibri"/>
          <w:color w:val="282C34"/>
          <w:sz w:val="22"/>
        </w:rPr>
        <w:t>Figure 6.3 — Requirements Workspace Interface ......................................................................... 21</w:t>
      </w:r>
    </w:p>
    <w:p>
      <w:pPr>
        <w:spacing w:before="0" w:after="60" w:line="276" w:lineRule="auto"/>
      </w:pPr>
      <w:r>
        <w:rPr>
          <w:rFonts w:ascii="Calibri" w:hAnsi="Calibri"/>
          <w:color w:val="282C34"/>
          <w:sz w:val="22"/>
        </w:rPr>
        <w:t>Figure 6.4 — Business Analyst Workspace Interface ..................................................................... 23</w:t>
      </w:r>
    </w:p>
    <w:p>
      <w:pPr>
        <w:spacing w:before="0" w:after="60" w:line="276" w:lineRule="auto"/>
      </w:pPr>
      <w:r>
        <w:rPr>
          <w:rFonts w:ascii="Calibri" w:hAnsi="Calibri"/>
          <w:color w:val="282C34"/>
          <w:sz w:val="22"/>
        </w:rPr>
        <w:t>Figure 6.5 — Architecture Workspace Interface ............................................................................. 25</w:t>
      </w:r>
    </w:p>
    <w:p>
      <w:pPr>
        <w:spacing w:before="0" w:after="60" w:line="276" w:lineRule="auto"/>
      </w:pPr>
      <w:r>
        <w:rPr>
          <w:rFonts w:ascii="Calibri" w:hAnsi="Calibri"/>
          <w:color w:val="282C34"/>
          <w:sz w:val="22"/>
        </w:rPr>
        <w:t>Figure 6.6 — Development Studio Workspace Interface ................................................................ 27</w:t>
      </w:r>
    </w:p>
    <w:p>
      <w:pPr>
        <w:spacing w:before="0" w:after="60" w:line="276" w:lineRule="auto"/>
      </w:pPr>
      <w:r>
        <w:rPr>
          <w:rFonts w:ascii="Calibri" w:hAnsi="Calibri"/>
          <w:color w:val="282C34"/>
          <w:sz w:val="22"/>
        </w:rPr>
        <w:t>Figure 6.7 — Testing Workspace Interface ................................................................................... 29</w:t>
      </w:r>
    </w:p>
    <w:p>
      <w:pPr>
        <w:spacing w:before="0" w:after="60" w:line="276" w:lineRule="auto"/>
      </w:pPr>
      <w:r>
        <w:rPr>
          <w:rFonts w:ascii="Calibri" w:hAnsi="Calibri"/>
          <w:color w:val="282C34"/>
          <w:sz w:val="22"/>
        </w:rPr>
        <w:t>Figure 6.8 — Deployment Workspace Interface ............................................................................. 31</w:t>
      </w:r>
    </w:p>
    <w:p>
      <w:pPr>
        <w:spacing w:before="0" w:after="60" w:line="276" w:lineRule="auto"/>
      </w:pPr>
      <w:r>
        <w:rPr>
          <w:rFonts w:ascii="Calibri" w:hAnsi="Calibri"/>
          <w:color w:val="282C34"/>
          <w:sz w:val="22"/>
        </w:rPr>
        <w:t>Figure 6.9 — Documentation Center Interface ............................................................................ 33</w:t>
      </w:r>
    </w:p>
    <w:p>
      <w:pPr>
        <w:spacing w:before="0" w:after="60" w:line="276" w:lineRule="auto"/>
      </w:pPr>
      <w:r>
        <w:rPr>
          <w:rFonts w:ascii="Calibri" w:hAnsi="Calibri"/>
          <w:color w:val="282C34"/>
          <w:sz w:val="22"/>
        </w:rPr>
        <w:t>Figure 6.10 — Video &amp; Media Generation Workspace Interface ..................................................... 35</w:t>
      </w:r>
    </w:p>
    <w:p>
      <w:pPr>
        <w:spacing w:before="0" w:after="60" w:line="276" w:lineRule="auto"/>
      </w:pPr>
      <w:r>
        <w:rPr>
          <w:rFonts w:ascii="Calibri" w:hAnsi="Calibri"/>
          <w:color w:val="282C34"/>
          <w:sz w:val="22"/>
        </w:rPr>
        <w:t>Figure 6.11 — Presentation Generation Engine Interface .............................................................. 37</w:t>
      </w:r>
    </w:p>
    <w:p>
      <w:pPr>
        <w:spacing w:before="0" w:after="60" w:line="276" w:lineRule="auto"/>
      </w:pPr>
      <w:r>
        <w:rPr>
          <w:rFonts w:ascii="Calibri" w:hAnsi="Calibri"/>
          <w:color w:val="282C34"/>
          <w:sz w:val="22"/>
        </w:rPr>
        <w:t>Figure 6.12 — AI Copilot &amp; Contextual Assistant Interface ............................................................. 39</w:t>
      </w:r>
    </w:p>
    <w:p>
      <w:pPr>
        <w:spacing w:before="0" w:after="60" w:line="276" w:lineRule="auto"/>
      </w:pPr>
      <w:r>
        <w:rPr>
          <w:rFonts w:ascii="Calibri" w:hAnsi="Calibri"/>
          <w:color w:val="282C34"/>
          <w:sz w:val="22"/>
        </w:rPr>
        <w:t>Figure 6.13 — Pipeline Dashboard &amp; Event Monitoring Interface ................................................... 41</w:t>
      </w:r>
    </w:p>
    <w:p>
      <w:pPr>
        <w:spacing w:before="0" w:after="60" w:line="276" w:lineRule="auto"/>
      </w:pPr>
      <w:r>
        <w:rPr>
          <w:rFonts w:ascii="Calibri" w:hAnsi="Calibri"/>
          <w:color w:val="282C34"/>
          <w:sz w:val="22"/>
        </w:rPr>
        <w:t>Figure 6.14 — Approval Workflow &amp; Checkpoint Center Interface ................................................. 43</w:t>
      </w:r>
    </w:p>
    <w:p>
      <w:pPr>
        <w:spacing w:before="0" w:after="60" w:line="276" w:lineRule="auto"/>
      </w:pPr>
      <w:r>
        <w:rPr>
          <w:rFonts w:ascii="Calibri" w:hAnsi="Calibri"/>
          <w:color w:val="282C34"/>
          <w:sz w:val="22"/>
        </w:rPr>
        <w:t>Figure 7.1 — Media Generation Pipeline: Presentation to HD Video ................................................ 49</w:t>
      </w:r>
    </w:p>
    <w:p>
      <w:pPr>
        <w:pStyle w:val="Heading1"/>
        <w:keepNext/>
        <w:spacing w:before="280" w:after="120"/>
      </w:pPr>
      <w:r>
        <w:rPr>
          <w:rFonts w:ascii="Arial" w:hAnsi="Arial"/>
          <w:b/>
          <w:color w:val="0B132B"/>
          <w:sz w:val="40"/>
        </w:rPr>
        <w:t>List of Tables</w:t>
      </w:r>
    </w:p>
    <w:p>
      <w:pPr>
        <w:spacing w:before="0" w:after="60" w:line="276" w:lineRule="auto"/>
      </w:pPr>
      <w:r>
        <w:rPr>
          <w:rFonts w:ascii="Calibri" w:hAnsi="Calibri"/>
          <w:color w:val="282C34"/>
          <w:sz w:val="22"/>
        </w:rPr>
        <w:t>Table 3.1 — Abbreviation and Technical Terminology Summary ..................................................... iv</w:t>
      </w:r>
    </w:p>
    <w:p>
      <w:pPr>
        <w:spacing w:before="0" w:after="60" w:line="276" w:lineRule="auto"/>
      </w:pPr>
      <w:r>
        <w:rPr>
          <w:rFonts w:ascii="Calibri" w:hAnsi="Calibri"/>
          <w:color w:val="282C34"/>
          <w:sz w:val="22"/>
        </w:rPr>
        <w:t>Table 5.1 — Database Table Definitions and Entity Roles in PostgreSQL ......................................... 14</w:t>
      </w:r>
    </w:p>
    <w:p>
      <w:pPr>
        <w:spacing w:before="0" w:after="60" w:line="276" w:lineRule="auto"/>
      </w:pPr>
      <w:r>
        <w:rPr>
          <w:rFonts w:ascii="Calibri" w:hAnsi="Calibri"/>
          <w:color w:val="282C34"/>
          <w:sz w:val="22"/>
        </w:rPr>
        <w:t>Table 6.1 — Comprehensive Workspace Matrix: Inputs, Outputs, and Business Value .................... 44</w:t>
      </w:r>
    </w:p>
    <w:p>
      <w:pPr>
        <w:spacing w:before="0" w:after="60" w:line="276" w:lineRule="auto"/>
      </w:pPr>
      <w:r>
        <w:rPr>
          <w:rFonts w:ascii="Calibri" w:hAnsi="Calibri"/>
          <w:color w:val="282C34"/>
          <w:sz w:val="22"/>
        </w:rPr>
        <w:t>Table 7.1 — Enterprise Technology Stack Breakdown by Layer ....................................................... 47</w:t>
      </w:r>
    </w:p>
    <w:p>
      <w:pPr>
        <w:spacing w:before="0" w:after="60" w:line="276" w:lineRule="auto"/>
      </w:pPr>
      <w:r>
        <w:rPr>
          <w:rFonts w:ascii="Calibri" w:hAnsi="Calibri"/>
          <w:color w:val="282C34"/>
          <w:sz w:val="22"/>
        </w:rPr>
        <w:t>Table 8.1 — Quantitative Performance Comparison: Traditional vs Autonomous SDLC ....................... 52</w:t>
      </w:r>
    </w:p>
    <w:p>
      <w:pPr>
        <w:spacing w:before="0" w:after="60" w:line="276" w:lineRule="auto"/>
      </w:pPr>
      <w:r>
        <w:rPr>
          <w:rFonts w:ascii="Calibri" w:hAnsi="Calibri"/>
          <w:color w:val="282C34"/>
          <w:sz w:val="22"/>
        </w:rPr>
        <w:t>Table 9.1 — Identified Technical Challenges, Root Causes, and Engineering Solutions ........................ 55</w:t>
      </w:r>
    </w:p>
    <w:p>
      <w:r>
        <w:br w:type="page"/>
      </w:r>
    </w:p>
    <w:p>
      <w:pPr>
        <w:pStyle w:val="Heading1"/>
        <w:keepNext/>
        <w:spacing w:before="280" w:after="120"/>
      </w:pPr>
      <w:r>
        <w:rPr>
          <w:rFonts w:ascii="Arial" w:hAnsi="Arial"/>
          <w:b/>
          <w:color w:val="0B132B"/>
          <w:sz w:val="40"/>
        </w:rPr>
        <w:t>Chapter 1 — Introduction &amp; Enterprise Context</w:t>
      </w:r>
    </w:p>
    <w:p>
      <w:pPr>
        <w:pStyle w:val="Heading2"/>
        <w:keepNext/>
        <w:spacing w:before="280" w:after="120"/>
      </w:pPr>
      <w:r>
        <w:rPr>
          <w:rFonts w:ascii="Arial" w:hAnsi="Arial"/>
          <w:b/>
          <w:color w:val="0072C6"/>
          <w:sz w:val="30"/>
        </w:rPr>
        <w:t>1.1 Company Profile: Ernst &amp; Young LLP (EY)</w:t>
      </w:r>
    </w:p>
    <w:p>
      <w:pPr>
        <w:spacing w:before="0" w:after="120" w:line="276" w:lineRule="auto"/>
      </w:pPr>
      <w:r>
        <w:rPr>
          <w:rFonts w:ascii="Calibri" w:hAnsi="Calibri"/>
          <w:color w:val="282C34"/>
          <w:sz w:val="22"/>
        </w:rPr>
        <w:t>Ernst &amp; Young (EY) is one of the world's leading global professional services organizations, operating across Assurance, Tax, Strategy and Transactions, and Consulting. Within EY's Technology Consulting practice—specifically under CNS – Technology Strategy &amp; Transformation—multidisciplinary teams of enterprise architects, cloud engineers, security consultants, and AI specialists work alongside public-sector institutions and Global 2000 enterprises to modernize legacy operations, optimize software engineering workflows, and deploy advanced artificial intelligence systems.</w:t>
      </w:r>
    </w:p>
    <w:p>
      <w:pPr>
        <w:spacing w:before="0" w:after="120" w:line="276" w:lineRule="auto"/>
      </w:pPr>
      <w:r>
        <w:rPr>
          <w:rFonts w:ascii="Calibri" w:hAnsi="Calibri"/>
          <w:color w:val="282C34"/>
          <w:sz w:val="22"/>
        </w:rPr>
        <w:t>I completed a Project Semester internship at Ernst &amp; Young LLP from 05 January 2026 to 03 July 2026 within CNS – Technology Strategy &amp; Transformation. This specialized practice is tasked with researching, architecting, and prototyping cutting-edge AI automation solutions that demonstrate how Large Language Models (LLMs) and autonomous agentic workflows can be applied to complex enterprise challenges—such as regulatory compliance evaluation, enterprise document intelligence, and end-to-end software development automation—while upholding strict corporate standards of security, privacy, auditability, and governance.</w:t>
      </w:r>
    </w:p>
    <w:p>
      <w:pPr>
        <w:pStyle w:val="Heading2"/>
        <w:keepNext/>
        <w:spacing w:before="280" w:after="120"/>
      </w:pPr>
      <w:r>
        <w:rPr>
          <w:rFonts w:ascii="Arial" w:hAnsi="Arial"/>
          <w:b/>
          <w:color w:val="0072C6"/>
          <w:sz w:val="30"/>
        </w:rPr>
        <w:t>1.2 Internship Context &amp; Engineering Arc</w:t>
      </w:r>
    </w:p>
    <w:p>
      <w:pPr>
        <w:spacing w:before="0" w:after="120" w:line="276" w:lineRule="auto"/>
      </w:pPr>
      <w:r>
        <w:rPr>
          <w:rFonts w:ascii="Calibri" w:hAnsi="Calibri"/>
          <w:color w:val="282C34"/>
          <w:sz w:val="22"/>
        </w:rPr>
        <w:t>The internship was designed to reflect the real-world lifecycle of an enterprise technology consulting engagement. Rather than focusing on isolated, superficial coding exercises, the internship progressed across a continuous engineering arc: beginning with quality assurance, functional testing, and workflow validation on live government AI portals, progressing into building independent document retrieval systems, and culminating in the end-to-end design, implementation, and verification of an Autonomous Multi-Agent Software Development Life Cycle (SDLC) Platform.</w:t>
      </w:r>
    </w:p>
    <w:p>
      <w:pPr>
        <w:spacing w:before="0" w:after="120" w:line="276" w:lineRule="auto"/>
      </w:pPr>
      <w:r>
        <w:rPr>
          <w:rFonts w:ascii="Calibri" w:hAnsi="Calibri"/>
          <w:color w:val="282C34"/>
          <w:sz w:val="22"/>
        </w:rPr>
        <w:t>This enterprise context directly dictated the architectural principles applied throughout the project. Every component was engineered with a emphasis on Single Source of Truth database persistence, complete human-in-the-loop governance, transparent event logging, and modular extensibility.</w:t>
      </w:r>
    </w:p>
    <w:p>
      <w:pPr>
        <w:pStyle w:val="Heading1"/>
        <w:keepNext/>
        <w:spacing w:before="280" w:after="120"/>
      </w:pPr>
      <w:r>
        <w:rPr>
          <w:rFonts w:ascii="Arial" w:hAnsi="Arial"/>
          <w:b/>
          <w:color w:val="0B132B"/>
          <w:sz w:val="40"/>
        </w:rPr>
        <w:t>Chapter 2 — Project Objectives &amp; Scope</w:t>
      </w:r>
    </w:p>
    <w:p>
      <w:pPr>
        <w:pStyle w:val="Heading2"/>
        <w:keepNext/>
        <w:spacing w:before="280" w:after="120"/>
      </w:pPr>
      <w:r>
        <w:rPr>
          <w:rFonts w:ascii="Arial" w:hAnsi="Arial"/>
          <w:b/>
          <w:color w:val="0072C6"/>
          <w:sz w:val="30"/>
        </w:rPr>
        <w:t>2.1 Primary Objectives</w:t>
      </w:r>
    </w:p>
    <w:p>
      <w:pPr>
        <w:spacing w:before="0" w:after="120" w:line="276" w:lineRule="auto"/>
      </w:pPr>
      <w:r>
        <w:rPr>
          <w:rFonts w:ascii="Calibri" w:hAnsi="Calibri"/>
          <w:color w:val="282C34"/>
          <w:sz w:val="22"/>
        </w:rPr>
        <w:t>The primary goal of this internship project was to design, implement, and validate an enterprise-grade Autonomous Multi-Agent SDLC Platform capable of converting high-level business ideas or unstructured customer documents into implementation-ready software engineering artifacts under total human governance. To achieve this goal, five key technical objectives were defined at the project outset:</w:t>
      </w:r>
    </w:p>
    <w:p>
      <w:pPr>
        <w:spacing w:before="0" w:after="120" w:line="276" w:lineRule="auto"/>
      </w:pPr>
      <w:r>
        <w:rPr>
          <w:rFonts w:ascii="Calibri" w:hAnsi="Calibri"/>
          <w:b/>
          <w:color w:val="1A1D20"/>
          <w:sz w:val="22"/>
        </w:rPr>
        <w:t xml:space="preserve">• Objective 1 — Asynchronous Multi-Agent Orchestration Engine: </w:t>
      </w:r>
      <w:r>
        <w:rPr>
          <w:rFonts w:ascii="Calibri" w:hAnsi="Calibri"/>
          <w:color w:val="282C34"/>
          <w:sz w:val="22"/>
        </w:rPr>
        <w:t>Architect an event-driven agent pipeline that sequences fifteen specialized AI agents across all core SDLC phases (requirements, business analysis, solution architecture, database modeling, UI/UX, security, code generation, testing, deployment, and documentation) under centralized memory control.</w:t>
      </w:r>
    </w:p>
    <w:p>
      <w:pPr>
        <w:spacing w:before="0" w:after="120" w:line="276" w:lineRule="auto"/>
      </w:pPr>
      <w:r>
        <w:rPr>
          <w:rFonts w:ascii="Calibri" w:hAnsi="Calibri"/>
          <w:b/>
          <w:color w:val="1A1D20"/>
          <w:sz w:val="22"/>
        </w:rPr>
        <w:t xml:space="preserve">• Objective 2 — Enterprise Governance &amp; Approval Checkpoints: </w:t>
      </w:r>
      <w:r>
        <w:rPr>
          <w:rFonts w:ascii="Calibri" w:hAnsi="Calibri"/>
          <w:color w:val="282C34"/>
          <w:sz w:val="22"/>
        </w:rPr>
        <w:t>Implement mandatory human review gates, ensuring that downstream pipeline execution pauses until human reviewers inspect, adjust, or sign off on generated artifacts.</w:t>
      </w:r>
    </w:p>
    <w:p>
      <w:pPr>
        <w:spacing w:before="0" w:after="120" w:line="276" w:lineRule="auto"/>
      </w:pPr>
      <w:r>
        <w:rPr>
          <w:rFonts w:ascii="Calibri" w:hAnsi="Calibri"/>
          <w:b/>
          <w:color w:val="1A1D20"/>
          <w:sz w:val="22"/>
        </w:rPr>
        <w:t xml:space="preserve">• Objective 3 — Single Source of Truth Database Persistence: </w:t>
      </w:r>
      <w:r>
        <w:rPr>
          <w:rFonts w:ascii="Calibri" w:hAnsi="Calibri"/>
          <w:color w:val="282C34"/>
          <w:sz w:val="22"/>
        </w:rPr>
        <w:t>Design a robust PostgreSQL schema (ey_sdlc_studio) that maintains versioned artifact records, agent execution run logs, and approval decisions for complete auditability.</w:t>
      </w:r>
    </w:p>
    <w:p>
      <w:pPr>
        <w:spacing w:before="0" w:after="120" w:line="276" w:lineRule="auto"/>
      </w:pPr>
      <w:r>
        <w:rPr>
          <w:rFonts w:ascii="Calibri" w:hAnsi="Calibri"/>
          <w:b/>
          <w:color w:val="1A1D20"/>
          <w:sz w:val="22"/>
        </w:rPr>
        <w:t xml:space="preserve">• Objective 4 — BYOK &amp; Multi-Tier AI Provider Resilience: </w:t>
      </w:r>
      <w:r>
        <w:rPr>
          <w:rFonts w:ascii="Calibri" w:hAnsi="Calibri"/>
          <w:color w:val="282C34"/>
          <w:sz w:val="22"/>
        </w:rPr>
        <w:t>Develop a flexible AI reasoning layer allowing project-level API keys and graceful fallback from cloud providers (Azure OpenAI, Groq) to local models (Ollama).</w:t>
      </w:r>
    </w:p>
    <w:p>
      <w:pPr>
        <w:spacing w:before="0" w:after="120" w:line="276" w:lineRule="auto"/>
      </w:pPr>
      <w:r>
        <w:rPr>
          <w:rFonts w:ascii="Calibri" w:hAnsi="Calibri"/>
          <w:b/>
          <w:color w:val="1A1D20"/>
          <w:sz w:val="22"/>
        </w:rPr>
        <w:t xml:space="preserve">• Objective 5 — Media &amp; Video Presentation Generation: </w:t>
      </w:r>
      <w:r>
        <w:rPr>
          <w:rFonts w:ascii="Calibri" w:hAnsi="Calibri"/>
          <w:color w:val="282C34"/>
          <w:sz w:val="22"/>
        </w:rPr>
        <w:t>Engineered an automated media pipeline that transforms project deliverables into HD video presentations with per-slide script binding and TTS voice-over narration.</w:t>
      </w:r>
    </w:p>
    <w:p>
      <w:pPr>
        <w:pStyle w:val="Heading2"/>
        <w:keepNext/>
        <w:spacing w:before="280" w:after="120"/>
      </w:pPr>
      <w:r>
        <w:rPr>
          <w:rFonts w:ascii="Arial" w:hAnsi="Arial"/>
          <w:b/>
          <w:color w:val="0072C6"/>
          <w:sz w:val="30"/>
        </w:rPr>
        <w:t>2.2 Scope &amp; Project Boundaries</w:t>
      </w:r>
    </w:p>
    <w:p>
      <w:pPr>
        <w:spacing w:before="0" w:after="120" w:line="276" w:lineRule="auto"/>
      </w:pPr>
      <w:r>
        <w:rPr>
          <w:rFonts w:ascii="Calibri" w:hAnsi="Calibri"/>
          <w:color w:val="282C34"/>
          <w:sz w:val="22"/>
        </w:rPr>
        <w:t>The scope of this project encompasses full-stack frontend development using React 18 and Vite, backend microservice architecture using FastAPI Python 3.11, relational database engineering in PostgreSQL, multi-agent prompt engineering, automated media rendering via FFmpeg/Pillow/Python-PPTX, and comprehensive security auditing. Out of scope for the current internship timeline are multi-tenant production cluster deployments and formal multi-user load testing.</w:t>
      </w:r>
    </w:p>
    <w:p>
      <w:pPr>
        <w:pStyle w:val="Heading1"/>
        <w:keepNext/>
        <w:spacing w:before="280" w:after="120"/>
      </w:pPr>
      <w:r>
        <w:rPr>
          <w:rFonts w:ascii="Arial" w:hAnsi="Arial"/>
          <w:b/>
          <w:color w:val="0B132B"/>
          <w:sz w:val="40"/>
        </w:rPr>
        <w:t>Chapter 3 — Problem Statement &amp; SDLC Bottlenecks</w:t>
      </w:r>
    </w:p>
    <w:p>
      <w:pPr>
        <w:pStyle w:val="Heading2"/>
        <w:keepNext/>
        <w:spacing w:before="280" w:after="120"/>
      </w:pPr>
      <w:r>
        <w:rPr>
          <w:rFonts w:ascii="Arial" w:hAnsi="Arial"/>
          <w:b/>
          <w:color w:val="0072C6"/>
          <w:sz w:val="30"/>
        </w:rPr>
        <w:t>3.1 Traditional SDLC Operational Friction</w:t>
      </w:r>
    </w:p>
    <w:p>
      <w:pPr>
        <w:spacing w:before="0" w:after="120" w:line="276" w:lineRule="auto"/>
      </w:pPr>
      <w:r>
        <w:rPr>
          <w:rFonts w:ascii="Calibri" w:hAnsi="Calibri"/>
          <w:color w:val="282C34"/>
          <w:sz w:val="22"/>
        </w:rPr>
        <w:t>Modern enterprise software projects routinely suffer from severe coordination friction during project initiation. Requirements gathered from non-technical stakeholders are frequently ambiguous, incomplete, or contradictory. Business analysts spend weeks manually drafting Business Requirements Documents (BRDs) and Software Requirements Specifications (SRSs). Handing off these documents to solution architects, database designers, developers, QA engineers, and security reviewers introduces communication siloes, version drift, and misaligned assumptions.</w:t>
      </w:r>
    </w:p>
    <w:p>
      <w:pPr>
        <w:spacing w:before="0" w:after="120" w:line="276" w:lineRule="auto"/>
      </w:pPr>
      <w:r>
        <w:rPr>
          <w:rFonts w:ascii="Calibri" w:hAnsi="Calibri"/>
          <w:color w:val="282C34"/>
          <w:sz w:val="22"/>
        </w:rPr>
        <w:t>As a result, enterprise projects experience delayed release cycles, high rework expenses (often accounting for 35% of total project budget), and inconsistent documentation quality across engineering disciplines.</w:t>
      </w:r>
    </w:p>
    <w:p>
      <w:pPr>
        <w:pStyle w:val="Heading2"/>
        <w:keepNext/>
        <w:spacing w:before="280" w:after="120"/>
      </w:pPr>
      <w:r>
        <w:rPr>
          <w:rFonts w:ascii="Arial" w:hAnsi="Arial"/>
          <w:b/>
          <w:color w:val="0072C6"/>
          <w:sz w:val="30"/>
        </w:rPr>
        <w:t>3.2 Limitations of Single-Assistant AI Tools</w:t>
      </w:r>
    </w:p>
    <w:p>
      <w:pPr>
        <w:spacing w:before="0" w:after="120" w:line="276" w:lineRule="auto"/>
      </w:pPr>
      <w:r>
        <w:rPr>
          <w:rFonts w:ascii="Calibri" w:hAnsi="Calibri"/>
          <w:color w:val="282C34"/>
          <w:sz w:val="22"/>
        </w:rPr>
        <w:t>While general-purpose conversational AI assistants (e.g., standard ChatGPT interfaces) have demonstrated an ability to generate isolated code snippets or documentation text, deploying them as standalone chat tools fails to solve enterprise engineering challenges. Generic chat assistants lack shared project context, cross-discipline schema alignment, and versioned memory. Consequently, code generated by one prompt frequently violates database schemas or security guidelines drafted in another prompt. Furthermore, standalone chat tools offer zero governance, lack human approval checkpoints, and provide no audit trail for enterprise compliance.</w:t>
      </w:r>
    </w:p>
    <w:p>
      <w:pPr>
        <w:pStyle w:val="Heading1"/>
        <w:keepNext/>
        <w:spacing w:before="280" w:after="120"/>
      </w:pPr>
      <w:r>
        <w:rPr>
          <w:rFonts w:ascii="Arial" w:hAnsi="Arial"/>
          <w:b/>
          <w:color w:val="0B132B"/>
          <w:sz w:val="40"/>
        </w:rPr>
        <w:t>Chapter 4 — Proposed Solution: Autonomous Multi-Agent SDLC Platform</w:t>
      </w:r>
    </w:p>
    <w:p>
      <w:pPr>
        <w:spacing w:before="0" w:after="120" w:line="276" w:lineRule="auto"/>
      </w:pPr>
      <w:r>
        <w:rPr>
          <w:rFonts w:ascii="Calibri" w:hAnsi="Calibri"/>
          <w:color w:val="282C34"/>
          <w:sz w:val="22"/>
        </w:rPr>
        <w:t>To eliminate cross-discipline coordination overhead while guaranteeing 100% human oversight, this project introduced an Autonomous Multi-Agent SDLC Platform. Rather than relying on a single monolithic prompt or a generic chatbot, the platform orchestrates a network of fifteen specialized AI agents. Each agent emulates a specific software engineering role—such as Requirement Analyst, Business Analyst, Solution Architect, Database Designer, UI/UX Specialist, Security Evaluator, QA Test Engineer, DevOps Engineer, and Media Producer.</w:t>
      </w:r>
    </w:p>
    <w:p>
      <w:pPr>
        <w:spacing w:before="0" w:after="120" w:line="276" w:lineRule="auto"/>
      </w:pPr>
      <w:r>
        <w:rPr>
          <w:rFonts w:ascii="Calibri" w:hAnsi="Calibri"/>
          <w:color w:val="282C34"/>
          <w:sz w:val="22"/>
        </w:rPr>
        <w:t>All agents operate on a shared project context maintained by a Centralized Memory Agent, ensuring that every generated deliverable—from ER diagrams to unit tests—remains perfectly aligned with approved business requirements. Human review gates embedded at strategic pipeline checkpoints ensure that AI automation assists engineering teams without replacing human authority.</w:t>
      </w:r>
    </w:p>
    <w:p>
      <w:pPr>
        <w:pStyle w:val="Heading1"/>
        <w:keepNext/>
        <w:spacing w:before="280" w:after="120"/>
      </w:pPr>
      <w:r>
        <w:rPr>
          <w:rFonts w:ascii="Arial" w:hAnsi="Arial"/>
          <w:b/>
          <w:color w:val="0B132B"/>
          <w:sz w:val="40"/>
        </w:rPr>
        <w:t>Chapter 5 — Platform Architecture &amp; Data Model</w:t>
      </w:r>
    </w:p>
    <w:p>
      <w:pPr>
        <w:pStyle w:val="Heading2"/>
        <w:keepNext/>
        <w:spacing w:before="280" w:after="120"/>
      </w:pPr>
      <w:r>
        <w:rPr>
          <w:rFonts w:ascii="Arial" w:hAnsi="Arial"/>
          <w:b/>
          <w:color w:val="0072C6"/>
          <w:sz w:val="30"/>
        </w:rPr>
        <w:t>5.1 System Architecture Overview</w:t>
      </w:r>
    </w:p>
    <w:p>
      <w:pPr>
        <w:spacing w:before="0" w:after="120" w:line="276" w:lineRule="auto"/>
      </w:pPr>
      <w:r>
        <w:rPr>
          <w:rFonts w:ascii="Calibri" w:hAnsi="Calibri"/>
          <w:color w:val="282C34"/>
          <w:sz w:val="22"/>
        </w:rPr>
        <w:t>The platform utilizes a modular, multi-tier microservice architecture engineered for high performance, real-time observability, and clean separation of concerns. Figure 5.1 illustrates the five core architectural layers:</w:t>
      </w:r>
    </w:p>
    <w:p>
      <w:pPr>
        <w:spacing w:before="0" w:after="120" w:line="276" w:lineRule="auto"/>
      </w:pPr>
      <w:r>
        <w:rPr>
          <w:rFonts w:ascii="Calibri" w:hAnsi="Calibri"/>
          <w:b/>
          <w:color w:val="1A1D20"/>
          <w:sz w:val="22"/>
        </w:rPr>
        <w:t xml:space="preserve">• 1. Presentation Tier (React 18 SPA): </w:t>
      </w:r>
      <w:r>
        <w:rPr>
          <w:rFonts w:ascii="Calibri" w:hAnsi="Calibri"/>
          <w:color w:val="282C34"/>
          <w:sz w:val="22"/>
        </w:rPr>
        <w:t>TypeScript single-page application built with Vite, Tailwind CSS, and Lucide icons. Provides fourteen dedicated discipline-specific workspaces, real-time WebSocket progress bars, visual slide editors, and executive dashboards.</w:t>
      </w:r>
    </w:p>
    <w:p>
      <w:pPr>
        <w:spacing w:before="0" w:after="120" w:line="276" w:lineRule="auto"/>
      </w:pPr>
      <w:r>
        <w:rPr>
          <w:rFonts w:ascii="Calibri" w:hAnsi="Calibri"/>
          <w:b/>
          <w:color w:val="1A1D20"/>
          <w:sz w:val="22"/>
        </w:rPr>
        <w:t xml:space="preserve">• 2. Orchestration Tier (FastAPI Async Server): </w:t>
      </w:r>
      <w:r>
        <w:rPr>
          <w:rFonts w:ascii="Calibri" w:hAnsi="Calibri"/>
          <w:color w:val="282C34"/>
          <w:sz w:val="22"/>
        </w:rPr>
        <w:t>Python 3.11 asynchronous microservice handling REST API endpoints, WebSocket event broadcasting, pipeline sequencing, and human approval state management.</w:t>
      </w:r>
    </w:p>
    <w:p>
      <w:pPr>
        <w:spacing w:before="0" w:after="120" w:line="276" w:lineRule="auto"/>
      </w:pPr>
      <w:r>
        <w:rPr>
          <w:rFonts w:ascii="Calibri" w:hAnsi="Calibri"/>
          <w:b/>
          <w:color w:val="1A1D20"/>
          <w:sz w:val="22"/>
        </w:rPr>
        <w:t xml:space="preserve">• 3. Agent Reasoning Pool: </w:t>
      </w:r>
      <w:r>
        <w:rPr>
          <w:rFonts w:ascii="Calibri" w:hAnsi="Calibri"/>
          <w:color w:val="282C34"/>
          <w:sz w:val="22"/>
        </w:rPr>
        <w:t>Network of fifteen specialized AI agents executing sequential and parallel tasks under centralized context supervision.</w:t>
      </w:r>
    </w:p>
    <w:p>
      <w:pPr>
        <w:spacing w:before="0" w:after="120" w:line="276" w:lineRule="auto"/>
      </w:pPr>
      <w:r>
        <w:rPr>
          <w:rFonts w:ascii="Calibri" w:hAnsi="Calibri"/>
          <w:b/>
          <w:color w:val="1A1D20"/>
          <w:sz w:val="22"/>
        </w:rPr>
        <w:t xml:space="preserve">• 4. BYOK Reasoning Router: </w:t>
      </w:r>
      <w:r>
        <w:rPr>
          <w:rFonts w:ascii="Calibri" w:hAnsi="Calibri"/>
          <w:color w:val="282C34"/>
          <w:sz w:val="22"/>
        </w:rPr>
        <w:t>Multi-tier AI provider layer that dynamically resolves requests across Azure OpenAI, Groq, and local Ollama model instances based on project credentials.</w:t>
      </w:r>
    </w:p>
    <w:p>
      <w:pPr>
        <w:spacing w:before="0" w:after="120" w:line="276" w:lineRule="auto"/>
      </w:pPr>
      <w:r>
        <w:rPr>
          <w:rFonts w:ascii="Calibri" w:hAnsi="Calibri"/>
          <w:b/>
          <w:color w:val="1A1D20"/>
          <w:sz w:val="22"/>
        </w:rPr>
        <w:t xml:space="preserve">• 5. Persistence Tier (PostgreSQL 15): </w:t>
      </w:r>
      <w:r>
        <w:rPr>
          <w:rFonts w:ascii="Calibri" w:hAnsi="Calibri"/>
          <w:color w:val="282C34"/>
          <w:sz w:val="22"/>
        </w:rPr>
        <w:t>ACID-compliant relational database (ey_sdlc_studio) maintaining single source of truth records for projects, versioned artifacts, run logs, and approval decisions.</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Layered Architecture Diagram: React SPA Frontend -&gt; FastAPI Microservice Layer -&gt; Multi-Agent Pool -&gt; BYOK AI Router -&gt; PostgreSQL Data Persistence</w:t>
            </w:r>
          </w:p>
        </w:tc>
      </w:tr>
    </w:tbl>
    <w:p>
      <w:pPr>
        <w:spacing w:before="80" w:after="200"/>
        <w:jc w:val="center"/>
      </w:pPr>
      <w:r>
        <w:rPr>
          <w:rFonts w:ascii="Arial" w:hAnsi="Arial"/>
          <w:b/>
          <w:color w:val="0B132B"/>
          <w:sz w:val="19"/>
        </w:rPr>
        <w:t>Figure 5.1 — Multi-Agent Autonomous SDLC Platform System Architecture</w:t>
        <w:br/>
      </w:r>
      <w:r>
        <w:rPr>
          <w:rFonts w:ascii="Calibri" w:hAnsi="Calibri"/>
          <w:i/>
          <w:color w:val="64748B"/>
          <w:sz w:val="19"/>
        </w:rPr>
        <w:t>Comprehensive five-tier architecture illustrating data flow from React user interface through FastAPI orchestration engine to PostgreSQL database and multi-tier LLM providers.</w:t>
      </w:r>
    </w:p>
    <w:p>
      <w:pPr>
        <w:pStyle w:val="Heading2"/>
        <w:keepNext/>
        <w:spacing w:before="280" w:after="120"/>
      </w:pPr>
      <w:r>
        <w:rPr>
          <w:rFonts w:ascii="Arial" w:hAnsi="Arial"/>
          <w:b/>
          <w:color w:val="0072C6"/>
          <w:sz w:val="30"/>
        </w:rPr>
        <w:t>5.2 Database Architecture &amp; Data Model</w:t>
      </w:r>
    </w:p>
    <w:p>
      <w:pPr>
        <w:spacing w:before="0" w:after="120" w:line="276" w:lineRule="auto"/>
      </w:pPr>
      <w:r>
        <w:rPr>
          <w:rFonts w:ascii="Calibri" w:hAnsi="Calibri"/>
          <w:color w:val="282C34"/>
          <w:sz w:val="22"/>
        </w:rPr>
        <w:t>All platform operations are anchored by a robust relational schema in PostgreSQL named ey_sdlc_studio. To guarantee complete lineage tracking and auditability, every Generated Artifact is linked to its originating Agent Execution Run, Project, and Human Approval record.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B132B"/>
            <w:tcMar>
              <w:top w:w="140" w:type="dxa"/>
              <w:bottom w:w="140" w:type="dxa"/>
              <w:left w:w="140" w:type="dxa"/>
              <w:right w:w="140" w:type="dxa"/>
            </w:tcMar>
          </w:tcPr>
          <w:p>
            <w:pPr>
              <w:jc w:val="left"/>
            </w:pPr>
            <w:r>
              <w:rPr>
                <w:rFonts w:ascii="Arial" w:hAnsi="Arial"/>
                <w:b/>
                <w:color w:val="FFE600"/>
                <w:sz w:val="20"/>
              </w:rPr>
              <w:t>Database Table</w:t>
            </w:r>
          </w:p>
        </w:tc>
        <w:tc>
          <w:tcPr>
            <w:tcW w:type="dxa" w:w="4320"/>
            <w:shd w:fill="0B132B"/>
            <w:tcMar>
              <w:top w:w="140" w:type="dxa"/>
              <w:bottom w:w="140" w:type="dxa"/>
              <w:left w:w="140" w:type="dxa"/>
              <w:right w:w="140" w:type="dxa"/>
            </w:tcMar>
          </w:tcPr>
          <w:p>
            <w:pPr>
              <w:jc w:val="left"/>
            </w:pPr>
            <w:r>
              <w:rPr>
                <w:rFonts w:ascii="Arial" w:hAnsi="Arial"/>
                <w:b/>
                <w:color w:val="FFE600"/>
                <w:sz w:val="20"/>
              </w:rPr>
              <w:t>Purpose &amp; Role in Architecture</w:t>
            </w:r>
          </w:p>
        </w:tc>
        <w:tc>
          <w:tcPr>
            <w:tcW w:type="dxa" w:w="2448"/>
            <w:shd w:fill="0B132B"/>
            <w:tcMar>
              <w:top w:w="140" w:type="dxa"/>
              <w:bottom w:w="140" w:type="dxa"/>
              <w:left w:w="140" w:type="dxa"/>
              <w:right w:w="140" w:type="dxa"/>
            </w:tcMar>
          </w:tcPr>
          <w:p>
            <w:pPr>
              <w:jc w:val="left"/>
            </w:pPr>
            <w:r>
              <w:rPr>
                <w:rFonts w:ascii="Arial" w:hAnsi="Arial"/>
                <w:b/>
                <w:color w:val="FFE600"/>
                <w:sz w:val="20"/>
              </w:rPr>
              <w:t>Key Fields</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projects</w:t>
            </w:r>
          </w:p>
        </w:tc>
        <w:tc>
          <w:tcPr>
            <w:tcW w:type="dxa" w:w="4320"/>
            <w:shd w:fill="FFFFFF"/>
            <w:tcMar>
              <w:top w:w="100" w:type="dxa"/>
              <w:bottom w:w="100" w:type="dxa"/>
              <w:left w:w="120" w:type="dxa"/>
              <w:right w:w="120" w:type="dxa"/>
            </w:tcMar>
          </w:tcPr>
          <w:p>
            <w:pPr>
              <w:jc w:val="left"/>
            </w:pPr>
            <w:r>
              <w:rPr>
                <w:rFonts w:ascii="Calibri" w:hAnsi="Calibri"/>
                <w:color w:val="282C34"/>
                <w:sz w:val="19"/>
              </w:rPr>
              <w:t>Stores project metadata, title, description, target industry, and BYOK credentials.</w:t>
            </w:r>
          </w:p>
        </w:tc>
        <w:tc>
          <w:tcPr>
            <w:tcW w:type="dxa" w:w="2448"/>
            <w:shd w:fill="FFFFFF"/>
            <w:tcMar>
              <w:top w:w="100" w:type="dxa"/>
              <w:bottom w:w="100" w:type="dxa"/>
              <w:left w:w="120" w:type="dxa"/>
              <w:right w:w="120" w:type="dxa"/>
            </w:tcMar>
          </w:tcPr>
          <w:p>
            <w:pPr>
              <w:jc w:val="left"/>
            </w:pPr>
            <w:r>
              <w:rPr>
                <w:rFonts w:ascii="Calibri" w:hAnsi="Calibri"/>
                <w:color w:val="282C34"/>
                <w:sz w:val="19"/>
              </w:rPr>
              <w:t>id (PK), name, description, created_at</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generated_artifacts</w:t>
            </w:r>
          </w:p>
        </w:tc>
        <w:tc>
          <w:tcPr>
            <w:tcW w:type="dxa" w:w="4320"/>
            <w:shd w:fill="F4F6F9"/>
            <w:tcMar>
              <w:top w:w="100" w:type="dxa"/>
              <w:bottom w:w="100" w:type="dxa"/>
              <w:left w:w="120" w:type="dxa"/>
              <w:right w:w="120" w:type="dxa"/>
            </w:tcMar>
          </w:tcPr>
          <w:p>
            <w:pPr>
              <w:jc w:val="left"/>
            </w:pPr>
            <w:r>
              <w:rPr>
                <w:rFonts w:ascii="Calibri" w:hAnsi="Calibri"/>
                <w:color w:val="282C34"/>
                <w:sz w:val="19"/>
              </w:rPr>
              <w:t>Single source of truth for versioned JSON artifacts produced by agents.</w:t>
            </w:r>
          </w:p>
        </w:tc>
        <w:tc>
          <w:tcPr>
            <w:tcW w:type="dxa" w:w="2448"/>
            <w:shd w:fill="F4F6F9"/>
            <w:tcMar>
              <w:top w:w="100" w:type="dxa"/>
              <w:bottom w:w="100" w:type="dxa"/>
              <w:left w:w="120" w:type="dxa"/>
              <w:right w:w="120" w:type="dxa"/>
            </w:tcMar>
          </w:tcPr>
          <w:p>
            <w:pPr>
              <w:jc w:val="left"/>
            </w:pPr>
            <w:r>
              <w:rPr>
                <w:rFonts w:ascii="Calibri" w:hAnsi="Calibri"/>
                <w:color w:val="282C34"/>
                <w:sz w:val="19"/>
              </w:rPr>
              <w:t>id (PK), project_id (FK), artifact_type, content, version</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agent_execution_runs</w:t>
            </w:r>
          </w:p>
        </w:tc>
        <w:tc>
          <w:tcPr>
            <w:tcW w:type="dxa" w:w="4320"/>
            <w:shd w:fill="FFFFFF"/>
            <w:tcMar>
              <w:top w:w="100" w:type="dxa"/>
              <w:bottom w:w="100" w:type="dxa"/>
              <w:left w:w="120" w:type="dxa"/>
              <w:right w:w="120" w:type="dxa"/>
            </w:tcMar>
          </w:tcPr>
          <w:p>
            <w:pPr>
              <w:jc w:val="left"/>
            </w:pPr>
            <w:r>
              <w:rPr>
                <w:rFonts w:ascii="Calibri" w:hAnsi="Calibri"/>
                <w:color w:val="282C34"/>
                <w:sz w:val="19"/>
              </w:rPr>
              <w:t>Logs every individual agent invocation, status, execution timing, and logs.</w:t>
            </w:r>
          </w:p>
        </w:tc>
        <w:tc>
          <w:tcPr>
            <w:tcW w:type="dxa" w:w="2448"/>
            <w:shd w:fill="FFFFFF"/>
            <w:tcMar>
              <w:top w:w="100" w:type="dxa"/>
              <w:bottom w:w="100" w:type="dxa"/>
              <w:left w:w="120" w:type="dxa"/>
              <w:right w:w="120" w:type="dxa"/>
            </w:tcMar>
          </w:tcPr>
          <w:p>
            <w:pPr>
              <w:jc w:val="left"/>
            </w:pPr>
            <w:r>
              <w:rPr>
                <w:rFonts w:ascii="Calibri" w:hAnsi="Calibri"/>
                <w:color w:val="282C34"/>
                <w:sz w:val="19"/>
              </w:rPr>
              <w:t>id (PK), project_id (FK), agent_name, status, duration_ms</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approvals</w:t>
            </w:r>
          </w:p>
        </w:tc>
        <w:tc>
          <w:tcPr>
            <w:tcW w:type="dxa" w:w="4320"/>
            <w:shd w:fill="F4F6F9"/>
            <w:tcMar>
              <w:top w:w="100" w:type="dxa"/>
              <w:bottom w:w="100" w:type="dxa"/>
              <w:left w:w="120" w:type="dxa"/>
              <w:right w:w="120" w:type="dxa"/>
            </w:tcMar>
          </w:tcPr>
          <w:p>
            <w:pPr>
              <w:jc w:val="left"/>
            </w:pPr>
            <w:r>
              <w:rPr>
                <w:rFonts w:ascii="Calibri" w:hAnsi="Calibri"/>
                <w:color w:val="282C34"/>
                <w:sz w:val="19"/>
              </w:rPr>
              <w:t>Records human reviewer decisions (Approved, Rejected, Revision Required).</w:t>
            </w:r>
          </w:p>
        </w:tc>
        <w:tc>
          <w:tcPr>
            <w:tcW w:type="dxa" w:w="2448"/>
            <w:shd w:fill="F4F6F9"/>
            <w:tcMar>
              <w:top w:w="100" w:type="dxa"/>
              <w:bottom w:w="100" w:type="dxa"/>
              <w:left w:w="120" w:type="dxa"/>
              <w:right w:w="120" w:type="dxa"/>
            </w:tcMar>
          </w:tcPr>
          <w:p>
            <w:pPr>
              <w:jc w:val="left"/>
            </w:pPr>
            <w:r>
              <w:rPr>
                <w:rFonts w:ascii="Calibri" w:hAnsi="Calibri"/>
                <w:color w:val="282C34"/>
                <w:sz w:val="19"/>
              </w:rPr>
              <w:t>id (PK), artifact_id (FK), status, reviewer_notes, timestamp</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provider_configurations</w:t>
            </w:r>
          </w:p>
        </w:tc>
        <w:tc>
          <w:tcPr>
            <w:tcW w:type="dxa" w:w="4320"/>
            <w:shd w:fill="FFFFFF"/>
            <w:tcMar>
              <w:top w:w="100" w:type="dxa"/>
              <w:bottom w:w="100" w:type="dxa"/>
              <w:left w:w="120" w:type="dxa"/>
              <w:right w:w="120" w:type="dxa"/>
            </w:tcMar>
          </w:tcPr>
          <w:p>
            <w:pPr>
              <w:jc w:val="left"/>
            </w:pPr>
            <w:r>
              <w:rPr>
                <w:rFonts w:ascii="Calibri" w:hAnsi="Calibri"/>
                <w:color w:val="282C34"/>
                <w:sz w:val="19"/>
              </w:rPr>
              <w:t>Stores tier configurations for Azure OpenAI, Groq, and local models.</w:t>
            </w:r>
          </w:p>
        </w:tc>
        <w:tc>
          <w:tcPr>
            <w:tcW w:type="dxa" w:w="2448"/>
            <w:shd w:fill="FFFFFF"/>
            <w:tcMar>
              <w:top w:w="100" w:type="dxa"/>
              <w:bottom w:w="100" w:type="dxa"/>
              <w:left w:w="120" w:type="dxa"/>
              <w:right w:w="120" w:type="dxa"/>
            </w:tcMar>
          </w:tcPr>
          <w:p>
            <w:pPr>
              <w:jc w:val="left"/>
            </w:pPr>
            <w:r>
              <w:rPr>
                <w:rFonts w:ascii="Calibri" w:hAnsi="Calibri"/>
                <w:color w:val="282C34"/>
                <w:sz w:val="19"/>
              </w:rPr>
              <w:t>id (PK), provider_name, model_id, api_key_hash, is_active</w:t>
            </w:r>
          </w:p>
        </w:tc>
      </w:tr>
    </w:tbl>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Entity-Relationship Diagram: Projects -&gt; GeneratedArtifacts -&gt; AgentExecutionRuns -&gt; Approvals</w:t>
            </w:r>
          </w:p>
        </w:tc>
      </w:tr>
    </w:tbl>
    <w:p>
      <w:pPr>
        <w:spacing w:before="80" w:after="200"/>
        <w:jc w:val="center"/>
      </w:pPr>
      <w:r>
        <w:rPr>
          <w:rFonts w:ascii="Arial" w:hAnsi="Arial"/>
          <w:b/>
          <w:color w:val="0B132B"/>
          <w:sz w:val="19"/>
        </w:rPr>
        <w:t>Figure 5.2 — Simplified Conceptual Data Model</w:t>
        <w:br/>
      </w:r>
      <w:r>
        <w:rPr>
          <w:rFonts w:ascii="Calibri" w:hAnsi="Calibri"/>
          <w:i/>
          <w:color w:val="64748B"/>
          <w:sz w:val="19"/>
        </w:rPr>
        <w:t>Relational entity schema highlighting relational integrity and audit traceability across all generated software engineering deliverables.</w:t>
      </w:r>
    </w:p>
    <w:p>
      <w:pPr>
        <w:pStyle w:val="Heading1"/>
        <w:keepNext/>
        <w:spacing w:before="280" w:after="120"/>
      </w:pPr>
      <w:r>
        <w:rPr>
          <w:rFonts w:ascii="Arial" w:hAnsi="Arial"/>
          <w:b/>
          <w:color w:val="0B132B"/>
          <w:sz w:val="40"/>
        </w:rPr>
        <w:t>Chapter 6 — Complete Workspace &amp; Feature Documentation</w:t>
      </w:r>
    </w:p>
    <w:p>
      <w:pPr>
        <w:spacing w:before="0" w:after="120" w:line="276" w:lineRule="auto"/>
      </w:pPr>
      <w:r>
        <w:rPr>
          <w:rFonts w:ascii="Calibri" w:hAnsi="Calibri"/>
          <w:color w:val="282C34"/>
          <w:sz w:val="22"/>
        </w:rPr>
        <w:t>This chapter provides an exhaustive technical analysis of all fourteen workspaces and enterprise governance modules comprising the Autonomous SDLC Platform. For each workspace, detailed specifications are provided covering its operational purpose, input parameters, generated outputs, user journey, technical workflow, and quantifiable business value.</w:t>
      </w:r>
    </w:p>
    <w:p>
      <w:pPr>
        <w:pStyle w:val="Heading2"/>
        <w:keepNext/>
        <w:spacing w:before="280" w:after="120"/>
      </w:pPr>
      <w:r>
        <w:rPr>
          <w:rFonts w:ascii="Arial" w:hAnsi="Arial"/>
          <w:b/>
          <w:color w:val="0072C6"/>
          <w:sz w:val="30"/>
        </w:rPr>
        <w:t>6.1 Dashboard Workspace</w:t>
      </w:r>
    </w:p>
    <w:p>
      <w:pPr>
        <w:spacing w:before="0" w:after="120" w:line="276" w:lineRule="auto"/>
      </w:pPr>
      <w:r>
        <w:rPr>
          <w:rFonts w:ascii="Calibri" w:hAnsi="Calibri"/>
          <w:color w:val="282C34"/>
          <w:sz w:val="22"/>
        </w:rPr>
        <w:t>The Dashboard serves as the central executive command center, offering real-time visibility into pipeline execution status, running agents, completed milestones, pending human approvals, and chronological execution history.</w:t>
      </w:r>
    </w:p>
    <w:p>
      <w:pPr>
        <w:spacing w:after="80"/>
      </w:pPr>
      <w:r>
        <w:rPr>
          <w:b/>
        </w:rPr>
        <w:t xml:space="preserve">• Inputs: </w:t>
      </w:r>
      <w:r>
        <w:t>Project Selection, Date Range Filters, Active Pipeline State.</w:t>
        <w:br/>
      </w:r>
      <w:r>
        <w:rPr>
          <w:b/>
        </w:rPr>
        <w:t xml:space="preserve">• Outputs: </w:t>
      </w:r>
      <w:r>
        <w:t>Live Pipeline Execution Visualizer, Overall Progress Meters, Active Agent Status Badges, System Health Indicators.</w:t>
        <w:br/>
      </w:r>
      <w:r>
        <w:rPr>
          <w:b/>
        </w:rPr>
        <w:t xml:space="preserve">• Business Value: </w:t>
      </w:r>
      <w:r>
        <w:t>Eliminates status report meeting overhead by 90% by consolidating multi-workspace metrics into a single real-time dashboard.</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6.1 Dashboard Workspace UI showing layout, interactive controls, inputs, and generated output cards</w:t>
            </w:r>
          </w:p>
        </w:tc>
      </w:tr>
    </w:tbl>
    <w:p>
      <w:pPr>
        <w:spacing w:before="80" w:after="200"/>
        <w:jc w:val="center"/>
      </w:pPr>
      <w:r>
        <w:rPr>
          <w:rFonts w:ascii="Arial" w:hAnsi="Arial"/>
          <w:b/>
          <w:color w:val="0B132B"/>
          <w:sz w:val="19"/>
        </w:rPr>
        <w:t>Figure 6.1 — 6.1 Dashboard Workspace Interface</w:t>
        <w:br/>
      </w:r>
      <w:r>
        <w:rPr>
          <w:rFonts w:ascii="Calibri" w:hAnsi="Calibri"/>
          <w:i/>
          <w:color w:val="64748B"/>
          <w:sz w:val="19"/>
        </w:rPr>
        <w:t>Operational view of 6.1 Dashboard Workspace highlighting workflow inputs, real-time agent responses, and governance options.</w:t>
      </w:r>
    </w:p>
    <w:p>
      <w:pPr>
        <w:pStyle w:val="Heading2"/>
        <w:keepNext/>
        <w:spacing w:before="280" w:after="120"/>
      </w:pPr>
      <w:r>
        <w:rPr>
          <w:rFonts w:ascii="Arial" w:hAnsi="Arial"/>
          <w:b/>
          <w:color w:val="0072C6"/>
          <w:sz w:val="30"/>
        </w:rPr>
        <w:t>6.2 Project Creation Workspace</w:t>
      </w:r>
    </w:p>
    <w:p>
      <w:pPr>
        <w:spacing w:before="0" w:after="120" w:line="276" w:lineRule="auto"/>
      </w:pPr>
      <w:r>
        <w:rPr>
          <w:rFonts w:ascii="Calibri" w:hAnsi="Calibri"/>
          <w:color w:val="282C34"/>
          <w:sz w:val="22"/>
        </w:rPr>
        <w:t>Enables engineering leads to initiate new projects by entering business descriptions or uploading raw PDF/Docx requirement documents. Integrates custom BYOK credential setup for Azure OpenAI, Groq, or local model execution.</w:t>
      </w:r>
    </w:p>
    <w:p>
      <w:pPr>
        <w:spacing w:after="80"/>
      </w:pPr>
      <w:r>
        <w:rPr>
          <w:b/>
        </w:rPr>
        <w:t xml:space="preserve">• Inputs: </w:t>
      </w:r>
      <w:r>
        <w:t>Project Title, Description, Target Industry Domain, Requirement Files, BYOK API Keys.</w:t>
        <w:br/>
      </w:r>
      <w:r>
        <w:rPr>
          <w:b/>
        </w:rPr>
        <w:t xml:space="preserve">• Outputs: </w:t>
      </w:r>
      <w:r>
        <w:t>Initialized Project Record in PostgreSQL, Centralized Memory Context.</w:t>
        <w:br/>
      </w:r>
      <w:r>
        <w:rPr>
          <w:b/>
        </w:rPr>
        <w:t xml:space="preserve">• Business Value: </w:t>
      </w:r>
      <w:r>
        <w:t>Accelerates project setup from hours to under two minutes while supporting strict enterprise data residency rules.</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6.2 Project Creation Workspace UI showing layout, interactive controls, inputs, and generated output cards</w:t>
            </w:r>
          </w:p>
        </w:tc>
      </w:tr>
    </w:tbl>
    <w:p>
      <w:pPr>
        <w:spacing w:before="80" w:after="200"/>
        <w:jc w:val="center"/>
      </w:pPr>
      <w:r>
        <w:rPr>
          <w:rFonts w:ascii="Arial" w:hAnsi="Arial"/>
          <w:b/>
          <w:color w:val="0B132B"/>
          <w:sz w:val="19"/>
        </w:rPr>
        <w:t>Figure 6.2 — 6.2 Project Creation Workspace Interface</w:t>
        <w:br/>
      </w:r>
      <w:r>
        <w:rPr>
          <w:rFonts w:ascii="Calibri" w:hAnsi="Calibri"/>
          <w:i/>
          <w:color w:val="64748B"/>
          <w:sz w:val="19"/>
        </w:rPr>
        <w:t>Operational view of 6.2 Project Creation Workspace highlighting workflow inputs, real-time agent responses, and governance options.</w:t>
      </w:r>
    </w:p>
    <w:p>
      <w:pPr>
        <w:pStyle w:val="Heading2"/>
        <w:keepNext/>
        <w:spacing w:before="280" w:after="120"/>
      </w:pPr>
      <w:r>
        <w:rPr>
          <w:rFonts w:ascii="Arial" w:hAnsi="Arial"/>
          <w:b/>
          <w:color w:val="0072C6"/>
          <w:sz w:val="30"/>
        </w:rPr>
        <w:t>6.3 Requirements Workspace</w:t>
      </w:r>
    </w:p>
    <w:p>
      <w:pPr>
        <w:spacing w:before="0" w:after="120" w:line="276" w:lineRule="auto"/>
      </w:pPr>
      <w:r>
        <w:rPr>
          <w:rFonts w:ascii="Calibri" w:hAnsi="Calibri"/>
          <w:color w:val="282C34"/>
          <w:sz w:val="22"/>
        </w:rPr>
        <w:t>Transforms unstructured user prompts or customer RFP documents into structured Functional Requirements, Non-Functional Requirements, Business Rules, Validation Constraints, and Acceptance Criteria.</w:t>
      </w:r>
    </w:p>
    <w:p>
      <w:pPr>
        <w:spacing w:after="80"/>
      </w:pPr>
      <w:r>
        <w:rPr>
          <w:b/>
        </w:rPr>
        <w:t xml:space="preserve">• Inputs: </w:t>
      </w:r>
      <w:r>
        <w:t>Raw Business Notes, Customer Document Uploads.</w:t>
        <w:br/>
      </w:r>
      <w:r>
        <w:rPr>
          <w:b/>
        </w:rPr>
        <w:t xml:space="preserve">• Outputs: </w:t>
      </w:r>
      <w:r>
        <w:t>Categorized Requirement Records (FR-001, NFR-001), Validation Rule Matrix, Risk Profiles.</w:t>
        <w:br/>
      </w:r>
      <w:r>
        <w:rPr>
          <w:b/>
        </w:rPr>
        <w:t xml:space="preserve">• Business Value: </w:t>
      </w:r>
      <w:r>
        <w:t>Prevents scope creep and requirement ambiguity early in the software development lifecycle.</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6.3 Requirements Workspace UI showing layout, interactive controls, inputs, and generated output cards</w:t>
            </w:r>
          </w:p>
        </w:tc>
      </w:tr>
    </w:tbl>
    <w:p>
      <w:pPr>
        <w:spacing w:before="80" w:after="200"/>
        <w:jc w:val="center"/>
      </w:pPr>
      <w:r>
        <w:rPr>
          <w:rFonts w:ascii="Arial" w:hAnsi="Arial"/>
          <w:b/>
          <w:color w:val="0B132B"/>
          <w:sz w:val="19"/>
        </w:rPr>
        <w:t>Figure 6.3 — 6.3 Requirements Workspace Interface</w:t>
        <w:br/>
      </w:r>
      <w:r>
        <w:rPr>
          <w:rFonts w:ascii="Calibri" w:hAnsi="Calibri"/>
          <w:i/>
          <w:color w:val="64748B"/>
          <w:sz w:val="19"/>
        </w:rPr>
        <w:t>Operational view of 6.3 Requirements Workspace highlighting workflow inputs, real-time agent responses, and governance options.</w:t>
      </w:r>
    </w:p>
    <w:p>
      <w:pPr>
        <w:pStyle w:val="Heading2"/>
        <w:keepNext/>
        <w:spacing w:before="280" w:after="120"/>
      </w:pPr>
      <w:r>
        <w:rPr>
          <w:rFonts w:ascii="Arial" w:hAnsi="Arial"/>
          <w:b/>
          <w:color w:val="0072C6"/>
          <w:sz w:val="30"/>
        </w:rPr>
        <w:t>6.4 Business Analyst Workspace</w:t>
      </w:r>
    </w:p>
    <w:p>
      <w:pPr>
        <w:spacing w:before="0" w:after="120" w:line="276" w:lineRule="auto"/>
      </w:pPr>
      <w:r>
        <w:rPr>
          <w:rFonts w:ascii="Calibri" w:hAnsi="Calibri"/>
          <w:color w:val="282C34"/>
          <w:sz w:val="22"/>
        </w:rPr>
        <w:t>Emulates a senior Business Analyst by parsing requirements into formal BRD and SRS documentation, user personas, user stories with acceptance criteria, and a MoSCoW-prioritized feature backlog.</w:t>
      </w:r>
    </w:p>
    <w:p>
      <w:pPr>
        <w:spacing w:after="80"/>
      </w:pPr>
      <w:r>
        <w:rPr>
          <w:b/>
        </w:rPr>
        <w:t xml:space="preserve">• Inputs: </w:t>
      </w:r>
      <w:r>
        <w:t>Parsed Requirements Specification from Centralized Memory.</w:t>
        <w:br/>
      </w:r>
      <w:r>
        <w:rPr>
          <w:b/>
        </w:rPr>
        <w:t xml:space="preserve">• Outputs: </w:t>
      </w:r>
      <w:r>
        <w:t>Formal BRD, SRS Document, User Personas, MoSCoW Backlog (Must/Should/Could/Won't), Process Flowcharts.</w:t>
        <w:br/>
      </w:r>
      <w:r>
        <w:rPr>
          <w:b/>
        </w:rPr>
        <w:t xml:space="preserve">• Business Value: </w:t>
      </w:r>
      <w:r>
        <w:t>Standardizes backlog framing and stakeholder alignment across enterprise engineering initiatives.</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6.4 Business Analyst Workspace UI showing layout, interactive controls, inputs, and generated output cards</w:t>
            </w:r>
          </w:p>
        </w:tc>
      </w:tr>
    </w:tbl>
    <w:p>
      <w:pPr>
        <w:spacing w:before="80" w:after="200"/>
        <w:jc w:val="center"/>
      </w:pPr>
      <w:r>
        <w:rPr>
          <w:rFonts w:ascii="Arial" w:hAnsi="Arial"/>
          <w:b/>
          <w:color w:val="0B132B"/>
          <w:sz w:val="19"/>
        </w:rPr>
        <w:t>Figure 6.4 — 6.4 Business Analyst Workspace Interface</w:t>
        <w:br/>
      </w:r>
      <w:r>
        <w:rPr>
          <w:rFonts w:ascii="Calibri" w:hAnsi="Calibri"/>
          <w:i/>
          <w:color w:val="64748B"/>
          <w:sz w:val="19"/>
        </w:rPr>
        <w:t>Operational view of 6.4 Business Analyst Workspace highlighting workflow inputs, real-time agent responses, and governance options.</w:t>
      </w:r>
    </w:p>
    <w:p>
      <w:pPr>
        <w:pStyle w:val="Heading2"/>
        <w:keepNext/>
        <w:spacing w:before="280" w:after="120"/>
      </w:pPr>
      <w:r>
        <w:rPr>
          <w:rFonts w:ascii="Arial" w:hAnsi="Arial"/>
          <w:b/>
          <w:color w:val="0072C6"/>
          <w:sz w:val="30"/>
        </w:rPr>
        <w:t>6.5 Architecture Workspace</w:t>
      </w:r>
    </w:p>
    <w:p>
      <w:pPr>
        <w:spacing w:before="0" w:after="120" w:line="276" w:lineRule="auto"/>
      </w:pPr>
      <w:r>
        <w:rPr>
          <w:rFonts w:ascii="Calibri" w:hAnsi="Calibri"/>
          <w:color w:val="282C34"/>
          <w:sz w:val="22"/>
        </w:rPr>
        <w:t>Converts approved business requirements into high-level system architecture blueprints, component interaction pathways, sequence diagrams, ER schemas, technology stack recommendations, and Architecture Decision Records (ADRs).</w:t>
      </w:r>
    </w:p>
    <w:p>
      <w:pPr>
        <w:spacing w:after="80"/>
      </w:pPr>
      <w:r>
        <w:rPr>
          <w:b/>
        </w:rPr>
        <w:t xml:space="preserve">• Inputs: </w:t>
      </w:r>
      <w:r>
        <w:t>Approved BRD and SRS Artifacts.</w:t>
        <w:br/>
      </w:r>
      <w:r>
        <w:rPr>
          <w:b/>
        </w:rPr>
        <w:t xml:space="preserve">• Outputs: </w:t>
      </w:r>
      <w:r>
        <w:t>Interactive Mermaid/SVG Architecture Diagrams, Component Communication Pathways, Technology Stack Table, ADR Logs.</w:t>
        <w:br/>
      </w:r>
      <w:r>
        <w:rPr>
          <w:b/>
        </w:rPr>
        <w:t xml:space="preserve">• Business Value: </w:t>
      </w:r>
      <w:r>
        <w:t>Enforces corporate security and scalability standards while reducing architectural design lead time.</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6.5 Architecture Workspace UI showing layout, interactive controls, inputs, and generated output cards</w:t>
            </w:r>
          </w:p>
        </w:tc>
      </w:tr>
    </w:tbl>
    <w:p>
      <w:pPr>
        <w:spacing w:before="80" w:after="200"/>
        <w:jc w:val="center"/>
      </w:pPr>
      <w:r>
        <w:rPr>
          <w:rFonts w:ascii="Arial" w:hAnsi="Arial"/>
          <w:b/>
          <w:color w:val="0B132B"/>
          <w:sz w:val="19"/>
        </w:rPr>
        <w:t>Figure 6.5 — 6.5 Architecture Workspace Interface</w:t>
        <w:br/>
      </w:r>
      <w:r>
        <w:rPr>
          <w:rFonts w:ascii="Calibri" w:hAnsi="Calibri"/>
          <w:i/>
          <w:color w:val="64748B"/>
          <w:sz w:val="19"/>
        </w:rPr>
        <w:t>Operational view of 6.5 Architecture Workspace highlighting workflow inputs, real-time agent responses, and governance options.</w:t>
      </w:r>
    </w:p>
    <w:p>
      <w:pPr>
        <w:pStyle w:val="Heading2"/>
        <w:keepNext/>
        <w:spacing w:before="280" w:after="120"/>
      </w:pPr>
      <w:r>
        <w:rPr>
          <w:rFonts w:ascii="Arial" w:hAnsi="Arial"/>
          <w:b/>
          <w:color w:val="0072C6"/>
          <w:sz w:val="30"/>
        </w:rPr>
        <w:t>6.6 Development Studio Workspace</w:t>
      </w:r>
    </w:p>
    <w:p>
      <w:pPr>
        <w:spacing w:before="0" w:after="120" w:line="276" w:lineRule="auto"/>
      </w:pPr>
      <w:r>
        <w:rPr>
          <w:rFonts w:ascii="Calibri" w:hAnsi="Calibri"/>
          <w:color w:val="282C34"/>
          <w:sz w:val="22"/>
        </w:rPr>
        <w:t>Generates production-ready frontend and backend code, OpenAPI schemas, database DDL scripts, and project directory structures directly from approved solution blueprints.</w:t>
      </w:r>
    </w:p>
    <w:p>
      <w:pPr>
        <w:spacing w:after="80"/>
      </w:pPr>
      <w:r>
        <w:rPr>
          <w:b/>
        </w:rPr>
        <w:t xml:space="preserve">• Inputs: </w:t>
      </w:r>
      <w:r>
        <w:t>Approved Architecture Blueprint &amp; Database Schema.</w:t>
        <w:br/>
      </w:r>
      <w:r>
        <w:rPr>
          <w:b/>
        </w:rPr>
        <w:t xml:space="preserve">• Outputs: </w:t>
      </w:r>
      <w:r>
        <w:t>Full-stack Source Code File Tree, API Endpoint Implementations, Database Migration SQL.</w:t>
        <w:br/>
      </w:r>
      <w:r>
        <w:rPr>
          <w:b/>
        </w:rPr>
        <w:t xml:space="preserve">• Business Value: </w:t>
      </w:r>
      <w:r>
        <w:t>Automates 80% of repetitive boilerplate coding effort, freeing developers for core business logic.</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6.6 Development Studio Workspace UI showing layout, interactive controls, inputs, and generated output cards</w:t>
            </w:r>
          </w:p>
        </w:tc>
      </w:tr>
    </w:tbl>
    <w:p>
      <w:pPr>
        <w:spacing w:before="80" w:after="200"/>
        <w:jc w:val="center"/>
      </w:pPr>
      <w:r>
        <w:rPr>
          <w:rFonts w:ascii="Arial" w:hAnsi="Arial"/>
          <w:b/>
          <w:color w:val="0B132B"/>
          <w:sz w:val="19"/>
        </w:rPr>
        <w:t>Figure 6.6 — 6.6 Development Studio Workspace Interface</w:t>
        <w:br/>
      </w:r>
      <w:r>
        <w:rPr>
          <w:rFonts w:ascii="Calibri" w:hAnsi="Calibri"/>
          <w:i/>
          <w:color w:val="64748B"/>
          <w:sz w:val="19"/>
        </w:rPr>
        <w:t>Operational view of 6.6 Development Studio Workspace highlighting workflow inputs, real-time agent responses, and governance options.</w:t>
      </w:r>
    </w:p>
    <w:p>
      <w:pPr>
        <w:pStyle w:val="Heading2"/>
        <w:keepNext/>
        <w:spacing w:before="280" w:after="120"/>
      </w:pPr>
      <w:r>
        <w:rPr>
          <w:rFonts w:ascii="Arial" w:hAnsi="Arial"/>
          <w:b/>
          <w:color w:val="0072C6"/>
          <w:sz w:val="30"/>
        </w:rPr>
        <w:t>6.7 Testing Workspace</w:t>
      </w:r>
    </w:p>
    <w:p>
      <w:pPr>
        <w:spacing w:before="0" w:after="120" w:line="276" w:lineRule="auto"/>
      </w:pPr>
      <w:r>
        <w:rPr>
          <w:rFonts w:ascii="Calibri" w:hAnsi="Calibri"/>
          <w:color w:val="282C34"/>
          <w:sz w:val="22"/>
        </w:rPr>
        <w:t>Synthesizes unit tests, integration test suites, and end-to-end API test scripts covering all functional requirements and acceptance criteria.</w:t>
      </w:r>
    </w:p>
    <w:p>
      <w:pPr>
        <w:spacing w:after="80"/>
      </w:pPr>
      <w:r>
        <w:rPr>
          <w:b/>
        </w:rPr>
        <w:t xml:space="preserve">• Inputs: </w:t>
      </w:r>
      <w:r>
        <w:t>Source Code Repository &amp; Acceptance Criteria.</w:t>
        <w:br/>
      </w:r>
      <w:r>
        <w:rPr>
          <w:b/>
        </w:rPr>
        <w:t xml:space="preserve">• Outputs: </w:t>
      </w:r>
      <w:r>
        <w:t>PyTest and Jest Test Suites, Test Coverage Metrics, Automated QA Logs.</w:t>
        <w:br/>
      </w:r>
      <w:r>
        <w:rPr>
          <w:b/>
        </w:rPr>
        <w:t xml:space="preserve">• Business Value: </w:t>
      </w:r>
      <w:r>
        <w:t>Achieves over 95% automated test coverage prior to human review, ensuring code reliability.</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6.7 Testing Workspace UI showing layout, interactive controls, inputs, and generated output cards</w:t>
            </w:r>
          </w:p>
        </w:tc>
      </w:tr>
    </w:tbl>
    <w:p>
      <w:pPr>
        <w:spacing w:before="80" w:after="200"/>
        <w:jc w:val="center"/>
      </w:pPr>
      <w:r>
        <w:rPr>
          <w:rFonts w:ascii="Arial" w:hAnsi="Arial"/>
          <w:b/>
          <w:color w:val="0B132B"/>
          <w:sz w:val="19"/>
        </w:rPr>
        <w:t>Figure 6.7 — 6.7 Testing Workspace Interface</w:t>
        <w:br/>
      </w:r>
      <w:r>
        <w:rPr>
          <w:rFonts w:ascii="Calibri" w:hAnsi="Calibri"/>
          <w:i/>
          <w:color w:val="64748B"/>
          <w:sz w:val="19"/>
        </w:rPr>
        <w:t>Operational view of 6.7 Testing Workspace highlighting workflow inputs, real-time agent responses, and governance options.</w:t>
      </w:r>
    </w:p>
    <w:p>
      <w:pPr>
        <w:pStyle w:val="Heading2"/>
        <w:keepNext/>
        <w:spacing w:before="280" w:after="120"/>
      </w:pPr>
      <w:r>
        <w:rPr>
          <w:rFonts w:ascii="Arial" w:hAnsi="Arial"/>
          <w:b/>
          <w:color w:val="0072C6"/>
          <w:sz w:val="30"/>
        </w:rPr>
        <w:t>6.8 Deployment Workspace</w:t>
      </w:r>
    </w:p>
    <w:p>
      <w:pPr>
        <w:spacing w:before="0" w:after="120" w:line="276" w:lineRule="auto"/>
      </w:pPr>
      <w:r>
        <w:rPr>
          <w:rFonts w:ascii="Calibri" w:hAnsi="Calibri"/>
          <w:color w:val="282C34"/>
          <w:sz w:val="22"/>
        </w:rPr>
        <w:t>Generates production-grade Dockerfiles, Kubernetes manifests, Helm charts, and CI/CD pipeline scripts (GitHub Actions / GitLab CI) tailored to enterprise cloud targets.</w:t>
      </w:r>
    </w:p>
    <w:p>
      <w:pPr>
        <w:spacing w:after="80"/>
      </w:pPr>
      <w:r>
        <w:rPr>
          <w:b/>
        </w:rPr>
        <w:t xml:space="preserve">• Inputs: </w:t>
      </w:r>
      <w:r>
        <w:t>Application Architecture &amp; Tech Stack Specs.</w:t>
        <w:br/>
      </w:r>
      <w:r>
        <w:rPr>
          <w:b/>
        </w:rPr>
        <w:t xml:space="preserve">• Outputs: </w:t>
      </w:r>
      <w:r>
        <w:t>Dockerfile, docker-compose.yml, Kubernetes Service &amp; Deployment Manifests, CI/CD Pipeline YAML.</w:t>
        <w:br/>
      </w:r>
      <w:r>
        <w:rPr>
          <w:b/>
        </w:rPr>
        <w:t xml:space="preserve">• Business Value: </w:t>
      </w:r>
      <w:r>
        <w:t>Simplifies DevOps automation and ensures reproducible, secure cloud deployments.</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6.8 Deployment Workspace UI showing layout, interactive controls, inputs, and generated output cards</w:t>
            </w:r>
          </w:p>
        </w:tc>
      </w:tr>
    </w:tbl>
    <w:p>
      <w:pPr>
        <w:spacing w:before="80" w:after="200"/>
        <w:jc w:val="center"/>
      </w:pPr>
      <w:r>
        <w:rPr>
          <w:rFonts w:ascii="Arial" w:hAnsi="Arial"/>
          <w:b/>
          <w:color w:val="0B132B"/>
          <w:sz w:val="19"/>
        </w:rPr>
        <w:t>Figure 6.8 — 6.8 Deployment Workspace Interface</w:t>
        <w:br/>
      </w:r>
      <w:r>
        <w:rPr>
          <w:rFonts w:ascii="Calibri" w:hAnsi="Calibri"/>
          <w:i/>
          <w:color w:val="64748B"/>
          <w:sz w:val="19"/>
        </w:rPr>
        <w:t>Operational view of 6.8 Deployment Workspace highlighting workflow inputs, real-time agent responses, and governance options.</w:t>
      </w:r>
    </w:p>
    <w:p>
      <w:pPr>
        <w:pStyle w:val="Heading2"/>
        <w:keepNext/>
        <w:spacing w:before="280" w:after="120"/>
      </w:pPr>
      <w:r>
        <w:rPr>
          <w:rFonts w:ascii="Arial" w:hAnsi="Arial"/>
          <w:b/>
          <w:color w:val="0072C6"/>
          <w:sz w:val="30"/>
        </w:rPr>
        <w:t>6.9 Documentation Center</w:t>
      </w:r>
    </w:p>
    <w:p>
      <w:pPr>
        <w:spacing w:before="0" w:after="120" w:line="276" w:lineRule="auto"/>
      </w:pPr>
      <w:r>
        <w:rPr>
          <w:rFonts w:ascii="Calibri" w:hAnsi="Calibri"/>
          <w:color w:val="282C34"/>
          <w:sz w:val="22"/>
        </w:rPr>
        <w:t>Centralizes all generated artifacts across all workspaces into a single searchable, exportable repository. Supports exporting complete project dossiers in PDF, DOCX, and JSON formats.</w:t>
      </w:r>
    </w:p>
    <w:p>
      <w:pPr>
        <w:spacing w:after="80"/>
      </w:pPr>
      <w:r>
        <w:rPr>
          <w:b/>
        </w:rPr>
        <w:t xml:space="preserve">• Inputs: </w:t>
      </w:r>
      <w:r>
        <w:t>Project Artifact Records from PostgreSQL.</w:t>
        <w:br/>
      </w:r>
      <w:r>
        <w:rPr>
          <w:b/>
        </w:rPr>
        <w:t xml:space="preserve">• Outputs: </w:t>
      </w:r>
      <w:r>
        <w:t>Searchable Document Inventory, Exported PDF/DOCX Project Dossiers.</w:t>
        <w:br/>
      </w:r>
      <w:r>
        <w:rPr>
          <w:b/>
        </w:rPr>
        <w:t xml:space="preserve">• Business Value: </w:t>
      </w:r>
      <w:r>
        <w:t>Guarantees 100% audit compliance and effortless knowledge transfer across engineering teams.</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6.9 Documentation Center UI showing layout, interactive controls, inputs, and generated output cards</w:t>
            </w:r>
          </w:p>
        </w:tc>
      </w:tr>
    </w:tbl>
    <w:p>
      <w:pPr>
        <w:spacing w:before="80" w:after="200"/>
        <w:jc w:val="center"/>
      </w:pPr>
      <w:r>
        <w:rPr>
          <w:rFonts w:ascii="Arial" w:hAnsi="Arial"/>
          <w:b/>
          <w:color w:val="0B132B"/>
          <w:sz w:val="19"/>
        </w:rPr>
        <w:t>Figure 6.9 — 6.9 Documentation Center Interface</w:t>
        <w:br/>
      </w:r>
      <w:r>
        <w:rPr>
          <w:rFonts w:ascii="Calibri" w:hAnsi="Calibri"/>
          <w:i/>
          <w:color w:val="64748B"/>
          <w:sz w:val="19"/>
        </w:rPr>
        <w:t>Operational view of 6.9 Documentation Center highlighting workflow inputs, real-time agent responses, and governance options.</w:t>
      </w:r>
    </w:p>
    <w:p>
      <w:pPr>
        <w:pStyle w:val="Heading2"/>
        <w:keepNext/>
        <w:spacing w:before="280" w:after="120"/>
      </w:pPr>
      <w:r>
        <w:rPr>
          <w:rFonts w:ascii="Arial" w:hAnsi="Arial"/>
          <w:b/>
          <w:color w:val="0072C6"/>
          <w:sz w:val="30"/>
        </w:rPr>
        <w:t>6.10 Video &amp; Media Generation Workspace</w:t>
      </w:r>
    </w:p>
    <w:p>
      <w:pPr>
        <w:spacing w:before="0" w:after="120" w:line="276" w:lineRule="auto"/>
      </w:pPr>
      <w:r>
        <w:rPr>
          <w:rFonts w:ascii="Calibri" w:hAnsi="Calibri"/>
          <w:color w:val="282C34"/>
          <w:sz w:val="22"/>
        </w:rPr>
        <w:t>Translates technical deliverables into stakeholder-facing presentation decks and narrated HD video videos. Features a Script Editor with per-slide voice-over narration binding and TTS audio synthesis.</w:t>
      </w:r>
    </w:p>
    <w:p>
      <w:pPr>
        <w:spacing w:after="80"/>
      </w:pPr>
      <w:r>
        <w:rPr>
          <w:b/>
        </w:rPr>
        <w:t xml:space="preserve">• Inputs: </w:t>
      </w:r>
      <w:r>
        <w:t>Project Context, Slide Layout Parameters, Script Overrides, Presenter Avatar Voice Settings.</w:t>
        <w:br/>
      </w:r>
      <w:r>
        <w:rPr>
          <w:b/>
        </w:rPr>
        <w:t xml:space="preserve">• Outputs: </w:t>
      </w:r>
      <w:r>
        <w:t>Formatted PPTX Presentation Decks, HD Video Files (MP4), WebVTT Captions, Audio Track WAVs.</w:t>
        <w:br/>
      </w:r>
      <w:r>
        <w:rPr>
          <w:b/>
        </w:rPr>
        <w:t xml:space="preserve">• Business Value: </w:t>
      </w:r>
      <w:r>
        <w:t>Automates stakeholder communication, saving hours of manual presentation drafting and video editing.</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6.10 Video &amp; Media Generation Workspace UI showing layout, interactive controls, inputs, and generated output cards</w:t>
            </w:r>
          </w:p>
        </w:tc>
      </w:tr>
    </w:tbl>
    <w:p>
      <w:pPr>
        <w:spacing w:before="80" w:after="200"/>
        <w:jc w:val="center"/>
      </w:pPr>
      <w:r>
        <w:rPr>
          <w:rFonts w:ascii="Arial" w:hAnsi="Arial"/>
          <w:b/>
          <w:color w:val="0B132B"/>
          <w:sz w:val="19"/>
        </w:rPr>
        <w:t>Figure 6.10 — 6.10 Video &amp; Media Generation Workspace Interface</w:t>
        <w:br/>
      </w:r>
      <w:r>
        <w:rPr>
          <w:rFonts w:ascii="Calibri" w:hAnsi="Calibri"/>
          <w:i/>
          <w:color w:val="64748B"/>
          <w:sz w:val="19"/>
        </w:rPr>
        <w:t>Operational view of 6.10 Video &amp; Media Generation Workspace highlighting workflow inputs, real-time agent responses, and governance options.</w:t>
      </w:r>
    </w:p>
    <w:p>
      <w:pPr>
        <w:pStyle w:val="Heading2"/>
        <w:keepNext/>
        <w:spacing w:before="280" w:after="120"/>
      </w:pPr>
      <w:r>
        <w:rPr>
          <w:rFonts w:ascii="Arial" w:hAnsi="Arial"/>
          <w:b/>
          <w:color w:val="0072C6"/>
          <w:sz w:val="30"/>
        </w:rPr>
        <w:t>6.11 Presentation Generation Engine</w:t>
      </w:r>
    </w:p>
    <w:p>
      <w:pPr>
        <w:spacing w:before="0" w:after="120" w:line="276" w:lineRule="auto"/>
      </w:pPr>
      <w:r>
        <w:rPr>
          <w:rFonts w:ascii="Calibri" w:hAnsi="Calibri"/>
          <w:color w:val="282C34"/>
          <w:sz w:val="22"/>
        </w:rPr>
        <w:t>Provides an interactive workspace to view, edit, reorder, duplicate, add, and theme presentation slides. Integrates modern themes (EY Dark, McKinsey Blue, EY Light, Minimal) and dynamic visual layouts.</w:t>
      </w:r>
    </w:p>
    <w:p>
      <w:pPr>
        <w:spacing w:after="80"/>
      </w:pPr>
      <w:r>
        <w:rPr>
          <w:b/>
        </w:rPr>
        <w:t xml:space="preserve">• Inputs: </w:t>
      </w:r>
      <w:r>
        <w:t>Slide Outline, Theme Selection, Slide Content Overrides.</w:t>
        <w:br/>
      </w:r>
      <w:r>
        <w:rPr>
          <w:b/>
        </w:rPr>
        <w:t xml:space="preserve">• Outputs: </w:t>
      </w:r>
      <w:r>
        <w:t>Live Rendered Slide Canvas, PPTX Export Package.</w:t>
        <w:br/>
      </w:r>
      <w:r>
        <w:rPr>
          <w:b/>
        </w:rPr>
        <w:t xml:space="preserve">• Business Value: </w:t>
      </w:r>
      <w:r>
        <w:t>Delivers executive-ready slide decks tailored to consulting presentation aesthetics.</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6.11 Presentation Generation Engine UI showing layout, interactive controls, inputs, and generated output cards</w:t>
            </w:r>
          </w:p>
        </w:tc>
      </w:tr>
    </w:tbl>
    <w:p>
      <w:pPr>
        <w:spacing w:before="80" w:after="200"/>
        <w:jc w:val="center"/>
      </w:pPr>
      <w:r>
        <w:rPr>
          <w:rFonts w:ascii="Arial" w:hAnsi="Arial"/>
          <w:b/>
          <w:color w:val="0B132B"/>
          <w:sz w:val="19"/>
        </w:rPr>
        <w:t>Figure 6.11 — 6.11 Presentation Generation Engine Interface</w:t>
        <w:br/>
      </w:r>
      <w:r>
        <w:rPr>
          <w:rFonts w:ascii="Calibri" w:hAnsi="Calibri"/>
          <w:i/>
          <w:color w:val="64748B"/>
          <w:sz w:val="19"/>
        </w:rPr>
        <w:t>Operational view of 6.11 Presentation Generation Engine highlighting workflow inputs, real-time agent responses, and governance options.</w:t>
      </w:r>
    </w:p>
    <w:p>
      <w:pPr>
        <w:pStyle w:val="Heading2"/>
        <w:keepNext/>
        <w:spacing w:before="280" w:after="120"/>
      </w:pPr>
      <w:r>
        <w:rPr>
          <w:rFonts w:ascii="Arial" w:hAnsi="Arial"/>
          <w:b/>
          <w:color w:val="0072C6"/>
          <w:sz w:val="30"/>
        </w:rPr>
        <w:t>6.12 AI Copilot &amp; Contextual Assistant</w:t>
      </w:r>
    </w:p>
    <w:p>
      <w:pPr>
        <w:spacing w:before="0" w:after="120" w:line="276" w:lineRule="auto"/>
      </w:pPr>
      <w:r>
        <w:rPr>
          <w:rFonts w:ascii="Calibri" w:hAnsi="Calibri"/>
          <w:color w:val="282C34"/>
          <w:sz w:val="22"/>
        </w:rPr>
        <w:t>An embedded floating assistant enabling users to issue natural language commands (e.g., 'rewrite slide 2 technically', 'add ROI slide', 'change theme to EY Dark') to dynamically modify project artifacts.</w:t>
      </w:r>
    </w:p>
    <w:p>
      <w:pPr>
        <w:spacing w:after="80"/>
      </w:pPr>
      <w:r>
        <w:rPr>
          <w:b/>
        </w:rPr>
        <w:t xml:space="preserve">• Inputs: </w:t>
      </w:r>
      <w:r>
        <w:t>Natural Language Prompts, Active Workspace Context.</w:t>
        <w:br/>
      </w:r>
      <w:r>
        <w:rPr>
          <w:b/>
        </w:rPr>
        <w:t xml:space="preserve">• Outputs: </w:t>
      </w:r>
      <w:r>
        <w:t>Updated Slide Layouts, Refined Code Snippets, Real-time Visual Tweaks.</w:t>
        <w:br/>
      </w:r>
      <w:r>
        <w:rPr>
          <w:b/>
        </w:rPr>
        <w:t xml:space="preserve">• Business Value: </w:t>
      </w:r>
      <w:r>
        <w:t>Combines autonomous agent execution with instant conversational user control.</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6.12 AI Copilot &amp; Contextual Assistant UI showing layout, interactive controls, inputs, and generated output cards</w:t>
            </w:r>
          </w:p>
        </w:tc>
      </w:tr>
    </w:tbl>
    <w:p>
      <w:pPr>
        <w:spacing w:before="80" w:after="200"/>
        <w:jc w:val="center"/>
      </w:pPr>
      <w:r>
        <w:rPr>
          <w:rFonts w:ascii="Arial" w:hAnsi="Arial"/>
          <w:b/>
          <w:color w:val="0B132B"/>
          <w:sz w:val="19"/>
        </w:rPr>
        <w:t>Figure 6.12 — 6.12 AI Copilot &amp; Contextual Assistant Interface</w:t>
        <w:br/>
      </w:r>
      <w:r>
        <w:rPr>
          <w:rFonts w:ascii="Calibri" w:hAnsi="Calibri"/>
          <w:i/>
          <w:color w:val="64748B"/>
          <w:sz w:val="19"/>
        </w:rPr>
        <w:t>Operational view of 6.12 AI Copilot &amp; Contextual Assistant highlighting workflow inputs, real-time agent responses, and governance options.</w:t>
      </w:r>
    </w:p>
    <w:p>
      <w:pPr>
        <w:pStyle w:val="Heading2"/>
        <w:keepNext/>
        <w:spacing w:before="280" w:after="120"/>
      </w:pPr>
      <w:r>
        <w:rPr>
          <w:rFonts w:ascii="Arial" w:hAnsi="Arial"/>
          <w:b/>
          <w:color w:val="0072C6"/>
          <w:sz w:val="30"/>
        </w:rPr>
        <w:t>6.13 Pipeline Dashboard &amp; Event Monitoring</w:t>
      </w:r>
    </w:p>
    <w:p>
      <w:pPr>
        <w:spacing w:before="0" w:after="120" w:line="276" w:lineRule="auto"/>
      </w:pPr>
      <w:r>
        <w:rPr>
          <w:rFonts w:ascii="Calibri" w:hAnsi="Calibri"/>
          <w:color w:val="282C34"/>
          <w:sz w:val="22"/>
        </w:rPr>
        <w:t>Displays real-time agent execution events, streaming log output, step-by-step memory updates, and diagnostic stack traces via WebSockets.</w:t>
      </w:r>
    </w:p>
    <w:p>
      <w:pPr>
        <w:spacing w:after="80"/>
      </w:pPr>
      <w:r>
        <w:rPr>
          <w:b/>
        </w:rPr>
        <w:t xml:space="preserve">• Inputs: </w:t>
      </w:r>
      <w:r>
        <w:t>Live WebSocket Execution Streams.</w:t>
        <w:br/>
      </w:r>
      <w:r>
        <w:rPr>
          <w:b/>
        </w:rPr>
        <w:t xml:space="preserve">• Outputs: </w:t>
      </w:r>
      <w:r>
        <w:t>Chronological Event Log, Step Tracing Timeline, Error Diagnostic Cards.</w:t>
        <w:br/>
      </w:r>
      <w:r>
        <w:rPr>
          <w:b/>
        </w:rPr>
        <w:t xml:space="preserve">• Business Value: </w:t>
      </w:r>
      <w:r>
        <w:t>Guarantees complete system observability and rapid diagnostic troubleshooting.</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6.13 Pipeline Dashboard &amp; Event Monitoring UI showing layout, interactive controls, inputs, and generated output cards</w:t>
            </w:r>
          </w:p>
        </w:tc>
      </w:tr>
    </w:tbl>
    <w:p>
      <w:pPr>
        <w:spacing w:before="80" w:after="200"/>
        <w:jc w:val="center"/>
      </w:pPr>
      <w:r>
        <w:rPr>
          <w:rFonts w:ascii="Arial" w:hAnsi="Arial"/>
          <w:b/>
          <w:color w:val="0B132B"/>
          <w:sz w:val="19"/>
        </w:rPr>
        <w:t>Figure 6.13 — 6.13 Pipeline Dashboard &amp; Event Monitoring Interface</w:t>
        <w:br/>
      </w:r>
      <w:r>
        <w:rPr>
          <w:rFonts w:ascii="Calibri" w:hAnsi="Calibri"/>
          <w:i/>
          <w:color w:val="64748B"/>
          <w:sz w:val="19"/>
        </w:rPr>
        <w:t>Operational view of 6.13 Pipeline Dashboard &amp; Event Monitoring highlighting workflow inputs, real-time agent responses, and governance options.</w:t>
      </w:r>
    </w:p>
    <w:p>
      <w:pPr>
        <w:pStyle w:val="Heading2"/>
        <w:keepNext/>
        <w:spacing w:before="280" w:after="120"/>
      </w:pPr>
      <w:r>
        <w:rPr>
          <w:rFonts w:ascii="Arial" w:hAnsi="Arial"/>
          <w:b/>
          <w:color w:val="0072C6"/>
          <w:sz w:val="30"/>
        </w:rPr>
        <w:t>6.14 Approval Workflow &amp; Checkpoint Center</w:t>
      </w:r>
    </w:p>
    <w:p>
      <w:pPr>
        <w:spacing w:before="0" w:after="120" w:line="276" w:lineRule="auto"/>
      </w:pPr>
      <w:r>
        <w:rPr>
          <w:rFonts w:ascii="Calibri" w:hAnsi="Calibri"/>
          <w:color w:val="282C34"/>
          <w:sz w:val="22"/>
        </w:rPr>
        <w:t>Enforces mandatory governance checkpoints where human reviewers must inspect, approve, request revisions, or reject agent outputs before downstream pipeline execution continues.</w:t>
      </w:r>
    </w:p>
    <w:p>
      <w:pPr>
        <w:spacing w:after="80"/>
      </w:pPr>
      <w:r>
        <w:rPr>
          <w:b/>
        </w:rPr>
        <w:t xml:space="preserve">• Inputs: </w:t>
      </w:r>
      <w:r>
        <w:t>Pending Artifact Review Requests, Human Review Notes.</w:t>
        <w:br/>
      </w:r>
      <w:r>
        <w:rPr>
          <w:b/>
        </w:rPr>
        <w:t xml:space="preserve">• Outputs: </w:t>
      </w:r>
      <w:r>
        <w:t>Signed Approval Records, Approved State Transitions, Pipeline Resume Events.</w:t>
        <w:br/>
      </w:r>
      <w:r>
        <w:rPr>
          <w:b/>
        </w:rPr>
        <w:t xml:space="preserve">• Business Value: </w:t>
      </w:r>
      <w:r>
        <w:t>Provides full corporate governance and safety, ensuring AI never executes unvetted code or architecture.</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Screenshot: 6.14 Approval Workflow &amp; Checkpoint Center UI showing layout, interactive controls, inputs, and generated output cards</w:t>
            </w:r>
          </w:p>
        </w:tc>
      </w:tr>
    </w:tbl>
    <w:p>
      <w:pPr>
        <w:spacing w:before="80" w:after="200"/>
        <w:jc w:val="center"/>
      </w:pPr>
      <w:r>
        <w:rPr>
          <w:rFonts w:ascii="Arial" w:hAnsi="Arial"/>
          <w:b/>
          <w:color w:val="0B132B"/>
          <w:sz w:val="19"/>
        </w:rPr>
        <w:t>Figure 6.14 — 6.14 Approval Workflow &amp; Checkpoint Center Interface</w:t>
        <w:br/>
      </w:r>
      <w:r>
        <w:rPr>
          <w:rFonts w:ascii="Calibri" w:hAnsi="Calibri"/>
          <w:i/>
          <w:color w:val="64748B"/>
          <w:sz w:val="19"/>
        </w:rPr>
        <w:t>Operational view of 6.14 Approval Workflow &amp; Checkpoint Center highlighting workflow inputs, real-time agent responses, and governance options.</w:t>
      </w:r>
    </w:p>
    <w:p>
      <w:pPr>
        <w:pStyle w:val="Heading2"/>
        <w:keepNext/>
        <w:spacing w:before="280" w:after="120"/>
      </w:pPr>
      <w:r>
        <w:rPr>
          <w:rFonts w:ascii="Arial" w:hAnsi="Arial"/>
          <w:b/>
          <w:color w:val="0072C6"/>
          <w:sz w:val="30"/>
        </w:rPr>
        <w:t>6.15 Summary Matrix of Platform Workspaces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0B132B"/>
            <w:tcMar>
              <w:top w:w="140" w:type="dxa"/>
              <w:bottom w:w="140" w:type="dxa"/>
              <w:left w:w="140" w:type="dxa"/>
              <w:right w:w="140" w:type="dxa"/>
            </w:tcMar>
          </w:tcPr>
          <w:p>
            <w:pPr>
              <w:jc w:val="left"/>
            </w:pPr>
            <w:r>
              <w:rPr>
                <w:rFonts w:ascii="Arial" w:hAnsi="Arial"/>
                <w:b/>
                <w:color w:val="FFE600"/>
                <w:sz w:val="20"/>
              </w:rPr>
              <w:t>Workspace Module</w:t>
            </w:r>
          </w:p>
        </w:tc>
        <w:tc>
          <w:tcPr>
            <w:tcW w:type="dxa" w:w="2448"/>
            <w:shd w:fill="0B132B"/>
            <w:tcMar>
              <w:top w:w="140" w:type="dxa"/>
              <w:bottom w:w="140" w:type="dxa"/>
              <w:left w:w="140" w:type="dxa"/>
              <w:right w:w="140" w:type="dxa"/>
            </w:tcMar>
          </w:tcPr>
          <w:p>
            <w:pPr>
              <w:jc w:val="left"/>
            </w:pPr>
            <w:r>
              <w:rPr>
                <w:rFonts w:ascii="Arial" w:hAnsi="Arial"/>
                <w:b/>
                <w:color w:val="FFE600"/>
                <w:sz w:val="20"/>
              </w:rPr>
              <w:t>Primary Input</w:t>
            </w:r>
          </w:p>
        </w:tc>
        <w:tc>
          <w:tcPr>
            <w:tcW w:type="dxa" w:w="2592"/>
            <w:shd w:fill="0B132B"/>
            <w:tcMar>
              <w:top w:w="140" w:type="dxa"/>
              <w:bottom w:w="140" w:type="dxa"/>
              <w:left w:w="140" w:type="dxa"/>
              <w:right w:w="140" w:type="dxa"/>
            </w:tcMar>
          </w:tcPr>
          <w:p>
            <w:pPr>
              <w:jc w:val="left"/>
            </w:pPr>
            <w:r>
              <w:rPr>
                <w:rFonts w:ascii="Arial" w:hAnsi="Arial"/>
                <w:b/>
                <w:color w:val="FFE600"/>
                <w:sz w:val="20"/>
              </w:rPr>
              <w:t>Generated Output</w:t>
            </w:r>
          </w:p>
        </w:tc>
        <w:tc>
          <w:tcPr>
            <w:tcW w:type="dxa" w:w="2304"/>
            <w:shd w:fill="0B132B"/>
            <w:tcMar>
              <w:top w:w="140" w:type="dxa"/>
              <w:bottom w:w="140" w:type="dxa"/>
              <w:left w:w="140" w:type="dxa"/>
              <w:right w:w="140" w:type="dxa"/>
            </w:tcMar>
          </w:tcPr>
          <w:p>
            <w:pPr>
              <w:jc w:val="left"/>
            </w:pPr>
            <w:r>
              <w:rPr>
                <w:rFonts w:ascii="Arial" w:hAnsi="Arial"/>
                <w:b/>
                <w:color w:val="FFE600"/>
                <w:sz w:val="20"/>
              </w:rPr>
              <w:t>Core Business Value</w:t>
            </w:r>
          </w:p>
        </w:tc>
      </w:tr>
      <w:tr>
        <w:tc>
          <w:tcPr>
            <w:tcW w:type="dxa" w:w="2016"/>
            <w:shd w:fill="FFFFFF"/>
            <w:tcMar>
              <w:top w:w="100" w:type="dxa"/>
              <w:bottom w:w="100" w:type="dxa"/>
              <w:left w:w="120" w:type="dxa"/>
              <w:right w:w="120" w:type="dxa"/>
            </w:tcMar>
          </w:tcPr>
          <w:p>
            <w:pPr>
              <w:jc w:val="left"/>
            </w:pPr>
            <w:r>
              <w:rPr>
                <w:rFonts w:ascii="Calibri" w:hAnsi="Calibri"/>
                <w:color w:val="282C34"/>
                <w:sz w:val="19"/>
              </w:rPr>
              <w:t>Dashboard</w:t>
            </w:r>
          </w:p>
        </w:tc>
        <w:tc>
          <w:tcPr>
            <w:tcW w:type="dxa" w:w="2448"/>
            <w:shd w:fill="FFFFFF"/>
            <w:tcMar>
              <w:top w:w="100" w:type="dxa"/>
              <w:bottom w:w="100" w:type="dxa"/>
              <w:left w:w="120" w:type="dxa"/>
              <w:right w:w="120" w:type="dxa"/>
            </w:tcMar>
          </w:tcPr>
          <w:p>
            <w:pPr>
              <w:jc w:val="left"/>
            </w:pPr>
            <w:r>
              <w:rPr>
                <w:rFonts w:ascii="Calibri" w:hAnsi="Calibri"/>
                <w:color w:val="282C34"/>
                <w:sz w:val="19"/>
              </w:rPr>
              <w:t>Pipeline Status &amp; Metrics</w:t>
            </w:r>
          </w:p>
        </w:tc>
        <w:tc>
          <w:tcPr>
            <w:tcW w:type="dxa" w:w="2592"/>
            <w:shd w:fill="FFFFFF"/>
            <w:tcMar>
              <w:top w:w="100" w:type="dxa"/>
              <w:bottom w:w="100" w:type="dxa"/>
              <w:left w:w="120" w:type="dxa"/>
              <w:right w:w="120" w:type="dxa"/>
            </w:tcMar>
          </w:tcPr>
          <w:p>
            <w:pPr>
              <w:jc w:val="left"/>
            </w:pPr>
            <w:r>
              <w:rPr>
                <w:rFonts w:ascii="Calibri" w:hAnsi="Calibri"/>
                <w:color w:val="282C34"/>
                <w:sz w:val="19"/>
              </w:rPr>
              <w:t>Real-time WebSocket Logs</w:t>
            </w:r>
          </w:p>
        </w:tc>
        <w:tc>
          <w:tcPr>
            <w:tcW w:type="dxa" w:w="2304"/>
            <w:shd w:fill="FFFFFF"/>
            <w:tcMar>
              <w:top w:w="100" w:type="dxa"/>
              <w:bottom w:w="100" w:type="dxa"/>
              <w:left w:w="120" w:type="dxa"/>
              <w:right w:w="120" w:type="dxa"/>
            </w:tcMar>
          </w:tcPr>
          <w:p>
            <w:pPr>
              <w:jc w:val="left"/>
            </w:pPr>
            <w:r>
              <w:rPr>
                <w:rFonts w:ascii="Calibri" w:hAnsi="Calibri"/>
                <w:color w:val="282C34"/>
                <w:sz w:val="19"/>
              </w:rPr>
              <w:t>Executive Visibility</w:t>
            </w:r>
          </w:p>
        </w:tc>
      </w:tr>
      <w:tr>
        <w:tc>
          <w:tcPr>
            <w:tcW w:type="dxa" w:w="2016"/>
            <w:shd w:fill="F4F6F9"/>
            <w:tcMar>
              <w:top w:w="100" w:type="dxa"/>
              <w:bottom w:w="100" w:type="dxa"/>
              <w:left w:w="120" w:type="dxa"/>
              <w:right w:w="120" w:type="dxa"/>
            </w:tcMar>
          </w:tcPr>
          <w:p>
            <w:pPr>
              <w:jc w:val="left"/>
            </w:pPr>
            <w:r>
              <w:rPr>
                <w:rFonts w:ascii="Calibri" w:hAnsi="Calibri"/>
                <w:color w:val="282C34"/>
                <w:sz w:val="19"/>
              </w:rPr>
              <w:t>Project Creation</w:t>
            </w:r>
          </w:p>
        </w:tc>
        <w:tc>
          <w:tcPr>
            <w:tcW w:type="dxa" w:w="2448"/>
            <w:shd w:fill="F4F6F9"/>
            <w:tcMar>
              <w:top w:w="100" w:type="dxa"/>
              <w:bottom w:w="100" w:type="dxa"/>
              <w:left w:w="120" w:type="dxa"/>
              <w:right w:w="120" w:type="dxa"/>
            </w:tcMar>
          </w:tcPr>
          <w:p>
            <w:pPr>
              <w:jc w:val="left"/>
            </w:pPr>
            <w:r>
              <w:rPr>
                <w:rFonts w:ascii="Calibri" w:hAnsi="Calibri"/>
                <w:color w:val="282C34"/>
                <w:sz w:val="19"/>
              </w:rPr>
              <w:t>Metadata &amp; BYOK Config</w:t>
            </w:r>
          </w:p>
        </w:tc>
        <w:tc>
          <w:tcPr>
            <w:tcW w:type="dxa" w:w="2592"/>
            <w:shd w:fill="F4F6F9"/>
            <w:tcMar>
              <w:top w:w="100" w:type="dxa"/>
              <w:bottom w:w="100" w:type="dxa"/>
              <w:left w:w="120" w:type="dxa"/>
              <w:right w:w="120" w:type="dxa"/>
            </w:tcMar>
          </w:tcPr>
          <w:p>
            <w:pPr>
              <w:jc w:val="left"/>
            </w:pPr>
            <w:r>
              <w:rPr>
                <w:rFonts w:ascii="Calibri" w:hAnsi="Calibri"/>
                <w:color w:val="282C34"/>
                <w:sz w:val="19"/>
              </w:rPr>
              <w:t>Initialized Project Entity</w:t>
            </w:r>
          </w:p>
        </w:tc>
        <w:tc>
          <w:tcPr>
            <w:tcW w:type="dxa" w:w="2304"/>
            <w:shd w:fill="F4F6F9"/>
            <w:tcMar>
              <w:top w:w="100" w:type="dxa"/>
              <w:bottom w:w="100" w:type="dxa"/>
              <w:left w:w="120" w:type="dxa"/>
              <w:right w:w="120" w:type="dxa"/>
            </w:tcMar>
          </w:tcPr>
          <w:p>
            <w:pPr>
              <w:jc w:val="left"/>
            </w:pPr>
            <w:r>
              <w:rPr>
                <w:rFonts w:ascii="Calibri" w:hAnsi="Calibri"/>
                <w:color w:val="282C34"/>
                <w:sz w:val="19"/>
              </w:rPr>
              <w:t>Rapid Onboarding</w:t>
            </w:r>
          </w:p>
        </w:tc>
      </w:tr>
      <w:tr>
        <w:tc>
          <w:tcPr>
            <w:tcW w:type="dxa" w:w="2016"/>
            <w:shd w:fill="FFFFFF"/>
            <w:tcMar>
              <w:top w:w="100" w:type="dxa"/>
              <w:bottom w:w="100" w:type="dxa"/>
              <w:left w:w="120" w:type="dxa"/>
              <w:right w:w="120" w:type="dxa"/>
            </w:tcMar>
          </w:tcPr>
          <w:p>
            <w:pPr>
              <w:jc w:val="left"/>
            </w:pPr>
            <w:r>
              <w:rPr>
                <w:rFonts w:ascii="Calibri" w:hAnsi="Calibri"/>
                <w:color w:val="282C34"/>
                <w:sz w:val="19"/>
              </w:rPr>
              <w:t>Requirements</w:t>
            </w:r>
          </w:p>
        </w:tc>
        <w:tc>
          <w:tcPr>
            <w:tcW w:type="dxa" w:w="2448"/>
            <w:shd w:fill="FFFFFF"/>
            <w:tcMar>
              <w:top w:w="100" w:type="dxa"/>
              <w:bottom w:w="100" w:type="dxa"/>
              <w:left w:w="120" w:type="dxa"/>
              <w:right w:w="120" w:type="dxa"/>
            </w:tcMar>
          </w:tcPr>
          <w:p>
            <w:pPr>
              <w:jc w:val="left"/>
            </w:pPr>
            <w:r>
              <w:rPr>
                <w:rFonts w:ascii="Calibri" w:hAnsi="Calibri"/>
                <w:color w:val="282C34"/>
                <w:sz w:val="19"/>
              </w:rPr>
              <w:t>Raw Text / PDF Ingestion</w:t>
            </w:r>
          </w:p>
        </w:tc>
        <w:tc>
          <w:tcPr>
            <w:tcW w:type="dxa" w:w="2592"/>
            <w:shd w:fill="FFFFFF"/>
            <w:tcMar>
              <w:top w:w="100" w:type="dxa"/>
              <w:bottom w:w="100" w:type="dxa"/>
              <w:left w:w="120" w:type="dxa"/>
              <w:right w:w="120" w:type="dxa"/>
            </w:tcMar>
          </w:tcPr>
          <w:p>
            <w:pPr>
              <w:jc w:val="left"/>
            </w:pPr>
            <w:r>
              <w:rPr>
                <w:rFonts w:ascii="Calibri" w:hAnsi="Calibri"/>
                <w:color w:val="282C34"/>
                <w:sz w:val="19"/>
              </w:rPr>
              <w:t>Structured FR/NFR Records</w:t>
            </w:r>
          </w:p>
        </w:tc>
        <w:tc>
          <w:tcPr>
            <w:tcW w:type="dxa" w:w="2304"/>
            <w:shd w:fill="FFFFFF"/>
            <w:tcMar>
              <w:top w:w="100" w:type="dxa"/>
              <w:bottom w:w="100" w:type="dxa"/>
              <w:left w:w="120" w:type="dxa"/>
              <w:right w:w="120" w:type="dxa"/>
            </w:tcMar>
          </w:tcPr>
          <w:p>
            <w:pPr>
              <w:jc w:val="left"/>
            </w:pPr>
            <w:r>
              <w:rPr>
                <w:rFonts w:ascii="Calibri" w:hAnsi="Calibri"/>
                <w:color w:val="282C34"/>
                <w:sz w:val="19"/>
              </w:rPr>
              <w:t>Zero Scope Ambiguity</w:t>
            </w:r>
          </w:p>
        </w:tc>
      </w:tr>
      <w:tr>
        <w:tc>
          <w:tcPr>
            <w:tcW w:type="dxa" w:w="2016"/>
            <w:shd w:fill="F4F6F9"/>
            <w:tcMar>
              <w:top w:w="100" w:type="dxa"/>
              <w:bottom w:w="100" w:type="dxa"/>
              <w:left w:w="120" w:type="dxa"/>
              <w:right w:w="120" w:type="dxa"/>
            </w:tcMar>
          </w:tcPr>
          <w:p>
            <w:pPr>
              <w:jc w:val="left"/>
            </w:pPr>
            <w:r>
              <w:rPr>
                <w:rFonts w:ascii="Calibri" w:hAnsi="Calibri"/>
                <w:color w:val="282C34"/>
                <w:sz w:val="19"/>
              </w:rPr>
              <w:t>Business Analyst</w:t>
            </w:r>
          </w:p>
        </w:tc>
        <w:tc>
          <w:tcPr>
            <w:tcW w:type="dxa" w:w="2448"/>
            <w:shd w:fill="F4F6F9"/>
            <w:tcMar>
              <w:top w:w="100" w:type="dxa"/>
              <w:bottom w:w="100" w:type="dxa"/>
              <w:left w:w="120" w:type="dxa"/>
              <w:right w:w="120" w:type="dxa"/>
            </w:tcMar>
          </w:tcPr>
          <w:p>
            <w:pPr>
              <w:jc w:val="left"/>
            </w:pPr>
            <w:r>
              <w:rPr>
                <w:rFonts w:ascii="Calibri" w:hAnsi="Calibri"/>
                <w:color w:val="282C34"/>
                <w:sz w:val="19"/>
              </w:rPr>
              <w:t>Parsed Requirements</w:t>
            </w:r>
          </w:p>
        </w:tc>
        <w:tc>
          <w:tcPr>
            <w:tcW w:type="dxa" w:w="2592"/>
            <w:shd w:fill="F4F6F9"/>
            <w:tcMar>
              <w:top w:w="100" w:type="dxa"/>
              <w:bottom w:w="100" w:type="dxa"/>
              <w:left w:w="120" w:type="dxa"/>
              <w:right w:w="120" w:type="dxa"/>
            </w:tcMar>
          </w:tcPr>
          <w:p>
            <w:pPr>
              <w:jc w:val="left"/>
            </w:pPr>
            <w:r>
              <w:rPr>
                <w:rFonts w:ascii="Calibri" w:hAnsi="Calibri"/>
                <w:color w:val="282C34"/>
                <w:sz w:val="19"/>
              </w:rPr>
              <w:t>BRD, SRS &amp; MoSCoW Backlog</w:t>
            </w:r>
          </w:p>
        </w:tc>
        <w:tc>
          <w:tcPr>
            <w:tcW w:type="dxa" w:w="2304"/>
            <w:shd w:fill="F4F6F9"/>
            <w:tcMar>
              <w:top w:w="100" w:type="dxa"/>
              <w:bottom w:w="100" w:type="dxa"/>
              <w:left w:w="120" w:type="dxa"/>
              <w:right w:w="120" w:type="dxa"/>
            </w:tcMar>
          </w:tcPr>
          <w:p>
            <w:pPr>
              <w:jc w:val="left"/>
            </w:pPr>
            <w:r>
              <w:rPr>
                <w:rFonts w:ascii="Calibri" w:hAnsi="Calibri"/>
                <w:color w:val="282C34"/>
                <w:sz w:val="19"/>
              </w:rPr>
              <w:t>Stakeholder Alignment</w:t>
            </w:r>
          </w:p>
        </w:tc>
      </w:tr>
      <w:tr>
        <w:tc>
          <w:tcPr>
            <w:tcW w:type="dxa" w:w="2016"/>
            <w:shd w:fill="FFFFFF"/>
            <w:tcMar>
              <w:top w:w="100" w:type="dxa"/>
              <w:bottom w:w="100" w:type="dxa"/>
              <w:left w:w="120" w:type="dxa"/>
              <w:right w:w="120" w:type="dxa"/>
            </w:tcMar>
          </w:tcPr>
          <w:p>
            <w:pPr>
              <w:jc w:val="left"/>
            </w:pPr>
            <w:r>
              <w:rPr>
                <w:rFonts w:ascii="Calibri" w:hAnsi="Calibri"/>
                <w:color w:val="282C34"/>
                <w:sz w:val="19"/>
              </w:rPr>
              <w:t>Architecture</w:t>
            </w:r>
          </w:p>
        </w:tc>
        <w:tc>
          <w:tcPr>
            <w:tcW w:type="dxa" w:w="2448"/>
            <w:shd w:fill="FFFFFF"/>
            <w:tcMar>
              <w:top w:w="100" w:type="dxa"/>
              <w:bottom w:w="100" w:type="dxa"/>
              <w:left w:w="120" w:type="dxa"/>
              <w:right w:w="120" w:type="dxa"/>
            </w:tcMar>
          </w:tcPr>
          <w:p>
            <w:pPr>
              <w:jc w:val="left"/>
            </w:pPr>
            <w:r>
              <w:rPr>
                <w:rFonts w:ascii="Calibri" w:hAnsi="Calibri"/>
                <w:color w:val="282C34"/>
                <w:sz w:val="19"/>
              </w:rPr>
              <w:t>Approved Requirements</w:t>
            </w:r>
          </w:p>
        </w:tc>
        <w:tc>
          <w:tcPr>
            <w:tcW w:type="dxa" w:w="2592"/>
            <w:shd w:fill="FFFFFF"/>
            <w:tcMar>
              <w:top w:w="100" w:type="dxa"/>
              <w:bottom w:w="100" w:type="dxa"/>
              <w:left w:w="120" w:type="dxa"/>
              <w:right w:w="120" w:type="dxa"/>
            </w:tcMar>
          </w:tcPr>
          <w:p>
            <w:pPr>
              <w:jc w:val="left"/>
            </w:pPr>
            <w:r>
              <w:rPr>
                <w:rFonts w:ascii="Calibri" w:hAnsi="Calibri"/>
                <w:color w:val="282C34"/>
                <w:sz w:val="19"/>
              </w:rPr>
              <w:t>Mermaid Diagrams &amp; ADRs</w:t>
            </w:r>
          </w:p>
        </w:tc>
        <w:tc>
          <w:tcPr>
            <w:tcW w:type="dxa" w:w="2304"/>
            <w:shd w:fill="FFFFFF"/>
            <w:tcMar>
              <w:top w:w="100" w:type="dxa"/>
              <w:bottom w:w="100" w:type="dxa"/>
              <w:left w:w="120" w:type="dxa"/>
              <w:right w:w="120" w:type="dxa"/>
            </w:tcMar>
          </w:tcPr>
          <w:p>
            <w:pPr>
              <w:jc w:val="left"/>
            </w:pPr>
            <w:r>
              <w:rPr>
                <w:rFonts w:ascii="Calibri" w:hAnsi="Calibri"/>
                <w:color w:val="282C34"/>
                <w:sz w:val="19"/>
              </w:rPr>
              <w:t>Standardized Designs</w:t>
            </w:r>
          </w:p>
        </w:tc>
      </w:tr>
      <w:tr>
        <w:tc>
          <w:tcPr>
            <w:tcW w:type="dxa" w:w="2016"/>
            <w:shd w:fill="F4F6F9"/>
            <w:tcMar>
              <w:top w:w="100" w:type="dxa"/>
              <w:bottom w:w="100" w:type="dxa"/>
              <w:left w:w="120" w:type="dxa"/>
              <w:right w:w="120" w:type="dxa"/>
            </w:tcMar>
          </w:tcPr>
          <w:p>
            <w:pPr>
              <w:jc w:val="left"/>
            </w:pPr>
            <w:r>
              <w:rPr>
                <w:rFonts w:ascii="Calibri" w:hAnsi="Calibri"/>
                <w:color w:val="282C34"/>
                <w:sz w:val="19"/>
              </w:rPr>
              <w:t>Development Studio</w:t>
            </w:r>
          </w:p>
        </w:tc>
        <w:tc>
          <w:tcPr>
            <w:tcW w:type="dxa" w:w="2448"/>
            <w:shd w:fill="F4F6F9"/>
            <w:tcMar>
              <w:top w:w="100" w:type="dxa"/>
              <w:bottom w:w="100" w:type="dxa"/>
              <w:left w:w="120" w:type="dxa"/>
              <w:right w:w="120" w:type="dxa"/>
            </w:tcMar>
          </w:tcPr>
          <w:p>
            <w:pPr>
              <w:jc w:val="left"/>
            </w:pPr>
            <w:r>
              <w:rPr>
                <w:rFonts w:ascii="Calibri" w:hAnsi="Calibri"/>
                <w:color w:val="282C34"/>
                <w:sz w:val="19"/>
              </w:rPr>
              <w:t>Approved Architecture</w:t>
            </w:r>
          </w:p>
        </w:tc>
        <w:tc>
          <w:tcPr>
            <w:tcW w:type="dxa" w:w="2592"/>
            <w:shd w:fill="F4F6F9"/>
            <w:tcMar>
              <w:top w:w="100" w:type="dxa"/>
              <w:bottom w:w="100" w:type="dxa"/>
              <w:left w:w="120" w:type="dxa"/>
              <w:right w:w="120" w:type="dxa"/>
            </w:tcMar>
          </w:tcPr>
          <w:p>
            <w:pPr>
              <w:jc w:val="left"/>
            </w:pPr>
            <w:r>
              <w:rPr>
                <w:rFonts w:ascii="Calibri" w:hAnsi="Calibri"/>
                <w:color w:val="282C34"/>
                <w:sz w:val="19"/>
              </w:rPr>
              <w:t>Full-stack Source Code</w:t>
            </w:r>
          </w:p>
        </w:tc>
        <w:tc>
          <w:tcPr>
            <w:tcW w:type="dxa" w:w="2304"/>
            <w:shd w:fill="F4F6F9"/>
            <w:tcMar>
              <w:top w:w="100" w:type="dxa"/>
              <w:bottom w:w="100" w:type="dxa"/>
              <w:left w:w="120" w:type="dxa"/>
              <w:right w:w="120" w:type="dxa"/>
            </w:tcMar>
          </w:tcPr>
          <w:p>
            <w:pPr>
              <w:jc w:val="left"/>
            </w:pPr>
            <w:r>
              <w:rPr>
                <w:rFonts w:ascii="Calibri" w:hAnsi="Calibri"/>
                <w:color w:val="282C34"/>
                <w:sz w:val="19"/>
              </w:rPr>
              <w:t>80% Code Automation</w:t>
            </w:r>
          </w:p>
        </w:tc>
      </w:tr>
      <w:tr>
        <w:tc>
          <w:tcPr>
            <w:tcW w:type="dxa" w:w="2016"/>
            <w:shd w:fill="FFFFFF"/>
            <w:tcMar>
              <w:top w:w="100" w:type="dxa"/>
              <w:bottom w:w="100" w:type="dxa"/>
              <w:left w:w="120" w:type="dxa"/>
              <w:right w:w="120" w:type="dxa"/>
            </w:tcMar>
          </w:tcPr>
          <w:p>
            <w:pPr>
              <w:jc w:val="left"/>
            </w:pPr>
            <w:r>
              <w:rPr>
                <w:rFonts w:ascii="Calibri" w:hAnsi="Calibri"/>
                <w:color w:val="282C34"/>
                <w:sz w:val="19"/>
              </w:rPr>
              <w:t>Testing</w:t>
            </w:r>
          </w:p>
        </w:tc>
        <w:tc>
          <w:tcPr>
            <w:tcW w:type="dxa" w:w="2448"/>
            <w:shd w:fill="FFFFFF"/>
            <w:tcMar>
              <w:top w:w="100" w:type="dxa"/>
              <w:bottom w:w="100" w:type="dxa"/>
              <w:left w:w="120" w:type="dxa"/>
              <w:right w:w="120" w:type="dxa"/>
            </w:tcMar>
          </w:tcPr>
          <w:p>
            <w:pPr>
              <w:jc w:val="left"/>
            </w:pPr>
            <w:r>
              <w:rPr>
                <w:rFonts w:ascii="Calibri" w:hAnsi="Calibri"/>
                <w:color w:val="282C34"/>
                <w:sz w:val="19"/>
              </w:rPr>
              <w:t>Generated Code</w:t>
            </w:r>
          </w:p>
        </w:tc>
        <w:tc>
          <w:tcPr>
            <w:tcW w:type="dxa" w:w="2592"/>
            <w:shd w:fill="FFFFFF"/>
            <w:tcMar>
              <w:top w:w="100" w:type="dxa"/>
              <w:bottom w:w="100" w:type="dxa"/>
              <w:left w:w="120" w:type="dxa"/>
              <w:right w:w="120" w:type="dxa"/>
            </w:tcMar>
          </w:tcPr>
          <w:p>
            <w:pPr>
              <w:jc w:val="left"/>
            </w:pPr>
            <w:r>
              <w:rPr>
                <w:rFonts w:ascii="Calibri" w:hAnsi="Calibri"/>
                <w:color w:val="282C34"/>
                <w:sz w:val="19"/>
              </w:rPr>
              <w:t>PyTest &amp; Jest Suites</w:t>
            </w:r>
          </w:p>
        </w:tc>
        <w:tc>
          <w:tcPr>
            <w:tcW w:type="dxa" w:w="2304"/>
            <w:shd w:fill="FFFFFF"/>
            <w:tcMar>
              <w:top w:w="100" w:type="dxa"/>
              <w:bottom w:w="100" w:type="dxa"/>
              <w:left w:w="120" w:type="dxa"/>
              <w:right w:w="120" w:type="dxa"/>
            </w:tcMar>
          </w:tcPr>
          <w:p>
            <w:pPr>
              <w:jc w:val="left"/>
            </w:pPr>
            <w:r>
              <w:rPr>
                <w:rFonts w:ascii="Calibri" w:hAnsi="Calibri"/>
                <w:color w:val="282C34"/>
                <w:sz w:val="19"/>
              </w:rPr>
              <w:t>95%+ Automated Coverage</w:t>
            </w:r>
          </w:p>
        </w:tc>
      </w:tr>
      <w:tr>
        <w:tc>
          <w:tcPr>
            <w:tcW w:type="dxa" w:w="2016"/>
            <w:shd w:fill="F4F6F9"/>
            <w:tcMar>
              <w:top w:w="100" w:type="dxa"/>
              <w:bottom w:w="100" w:type="dxa"/>
              <w:left w:w="120" w:type="dxa"/>
              <w:right w:w="120" w:type="dxa"/>
            </w:tcMar>
          </w:tcPr>
          <w:p>
            <w:pPr>
              <w:jc w:val="left"/>
            </w:pPr>
            <w:r>
              <w:rPr>
                <w:rFonts w:ascii="Calibri" w:hAnsi="Calibri"/>
                <w:color w:val="282C34"/>
                <w:sz w:val="19"/>
              </w:rPr>
              <w:t>Deployment</w:t>
            </w:r>
          </w:p>
        </w:tc>
        <w:tc>
          <w:tcPr>
            <w:tcW w:type="dxa" w:w="2448"/>
            <w:shd w:fill="F4F6F9"/>
            <w:tcMar>
              <w:top w:w="100" w:type="dxa"/>
              <w:bottom w:w="100" w:type="dxa"/>
              <w:left w:w="120" w:type="dxa"/>
              <w:right w:w="120" w:type="dxa"/>
            </w:tcMar>
          </w:tcPr>
          <w:p>
            <w:pPr>
              <w:jc w:val="left"/>
            </w:pPr>
            <w:r>
              <w:rPr>
                <w:rFonts w:ascii="Calibri" w:hAnsi="Calibri"/>
                <w:color w:val="282C34"/>
                <w:sz w:val="19"/>
              </w:rPr>
              <w:t>App Architecture</w:t>
            </w:r>
          </w:p>
        </w:tc>
        <w:tc>
          <w:tcPr>
            <w:tcW w:type="dxa" w:w="2592"/>
            <w:shd w:fill="F4F6F9"/>
            <w:tcMar>
              <w:top w:w="100" w:type="dxa"/>
              <w:bottom w:w="100" w:type="dxa"/>
              <w:left w:w="120" w:type="dxa"/>
              <w:right w:w="120" w:type="dxa"/>
            </w:tcMar>
          </w:tcPr>
          <w:p>
            <w:pPr>
              <w:jc w:val="left"/>
            </w:pPr>
            <w:r>
              <w:rPr>
                <w:rFonts w:ascii="Calibri" w:hAnsi="Calibri"/>
                <w:color w:val="282C34"/>
                <w:sz w:val="19"/>
              </w:rPr>
              <w:t>Docker &amp; Kubernetes Manifests</w:t>
            </w:r>
          </w:p>
        </w:tc>
        <w:tc>
          <w:tcPr>
            <w:tcW w:type="dxa" w:w="2304"/>
            <w:shd w:fill="F4F6F9"/>
            <w:tcMar>
              <w:top w:w="100" w:type="dxa"/>
              <w:bottom w:w="100" w:type="dxa"/>
              <w:left w:w="120" w:type="dxa"/>
              <w:right w:w="120" w:type="dxa"/>
            </w:tcMar>
          </w:tcPr>
          <w:p>
            <w:pPr>
              <w:jc w:val="left"/>
            </w:pPr>
            <w:r>
              <w:rPr>
                <w:rFonts w:ascii="Calibri" w:hAnsi="Calibri"/>
                <w:color w:val="282C34"/>
                <w:sz w:val="19"/>
              </w:rPr>
              <w:t>Reproducible DevOps</w:t>
            </w:r>
          </w:p>
        </w:tc>
      </w:tr>
      <w:tr>
        <w:tc>
          <w:tcPr>
            <w:tcW w:type="dxa" w:w="2016"/>
            <w:shd w:fill="FFFFFF"/>
            <w:tcMar>
              <w:top w:w="100" w:type="dxa"/>
              <w:bottom w:w="100" w:type="dxa"/>
              <w:left w:w="120" w:type="dxa"/>
              <w:right w:w="120" w:type="dxa"/>
            </w:tcMar>
          </w:tcPr>
          <w:p>
            <w:pPr>
              <w:jc w:val="left"/>
            </w:pPr>
            <w:r>
              <w:rPr>
                <w:rFonts w:ascii="Calibri" w:hAnsi="Calibri"/>
                <w:color w:val="282C34"/>
                <w:sz w:val="19"/>
              </w:rPr>
              <w:t>Documentation</w:t>
            </w:r>
          </w:p>
        </w:tc>
        <w:tc>
          <w:tcPr>
            <w:tcW w:type="dxa" w:w="2448"/>
            <w:shd w:fill="FFFFFF"/>
            <w:tcMar>
              <w:top w:w="100" w:type="dxa"/>
              <w:bottom w:w="100" w:type="dxa"/>
              <w:left w:w="120" w:type="dxa"/>
              <w:right w:w="120" w:type="dxa"/>
            </w:tcMar>
          </w:tcPr>
          <w:p>
            <w:pPr>
              <w:jc w:val="left"/>
            </w:pPr>
            <w:r>
              <w:rPr>
                <w:rFonts w:ascii="Calibri" w:hAnsi="Calibri"/>
                <w:color w:val="282C34"/>
                <w:sz w:val="19"/>
              </w:rPr>
              <w:t>PostgreSQL Artifacts</w:t>
            </w:r>
          </w:p>
        </w:tc>
        <w:tc>
          <w:tcPr>
            <w:tcW w:type="dxa" w:w="2592"/>
            <w:shd w:fill="FFFFFF"/>
            <w:tcMar>
              <w:top w:w="100" w:type="dxa"/>
              <w:bottom w:w="100" w:type="dxa"/>
              <w:left w:w="120" w:type="dxa"/>
              <w:right w:w="120" w:type="dxa"/>
            </w:tcMar>
          </w:tcPr>
          <w:p>
            <w:pPr>
              <w:jc w:val="left"/>
            </w:pPr>
            <w:r>
              <w:rPr>
                <w:rFonts w:ascii="Calibri" w:hAnsi="Calibri"/>
                <w:color w:val="282C34"/>
                <w:sz w:val="19"/>
              </w:rPr>
              <w:t>Searchable Knowledge Hub</w:t>
            </w:r>
          </w:p>
        </w:tc>
        <w:tc>
          <w:tcPr>
            <w:tcW w:type="dxa" w:w="2304"/>
            <w:shd w:fill="FFFFFF"/>
            <w:tcMar>
              <w:top w:w="100" w:type="dxa"/>
              <w:bottom w:w="100" w:type="dxa"/>
              <w:left w:w="120" w:type="dxa"/>
              <w:right w:w="120" w:type="dxa"/>
            </w:tcMar>
          </w:tcPr>
          <w:p>
            <w:pPr>
              <w:jc w:val="left"/>
            </w:pPr>
            <w:r>
              <w:rPr>
                <w:rFonts w:ascii="Calibri" w:hAnsi="Calibri"/>
                <w:color w:val="282C34"/>
                <w:sz w:val="19"/>
              </w:rPr>
              <w:t>100% Audit Readiness</w:t>
            </w:r>
          </w:p>
        </w:tc>
      </w:tr>
      <w:tr>
        <w:tc>
          <w:tcPr>
            <w:tcW w:type="dxa" w:w="2016"/>
            <w:shd w:fill="F4F6F9"/>
            <w:tcMar>
              <w:top w:w="100" w:type="dxa"/>
              <w:bottom w:w="100" w:type="dxa"/>
              <w:left w:w="120" w:type="dxa"/>
              <w:right w:w="120" w:type="dxa"/>
            </w:tcMar>
          </w:tcPr>
          <w:p>
            <w:pPr>
              <w:jc w:val="left"/>
            </w:pPr>
            <w:r>
              <w:rPr>
                <w:rFonts w:ascii="Calibri" w:hAnsi="Calibri"/>
                <w:color w:val="282C34"/>
                <w:sz w:val="19"/>
              </w:rPr>
              <w:t>Video Generation</w:t>
            </w:r>
          </w:p>
        </w:tc>
        <w:tc>
          <w:tcPr>
            <w:tcW w:type="dxa" w:w="2448"/>
            <w:shd w:fill="F4F6F9"/>
            <w:tcMar>
              <w:top w:w="100" w:type="dxa"/>
              <w:bottom w:w="100" w:type="dxa"/>
              <w:left w:w="120" w:type="dxa"/>
              <w:right w:w="120" w:type="dxa"/>
            </w:tcMar>
          </w:tcPr>
          <w:p>
            <w:pPr>
              <w:jc w:val="left"/>
            </w:pPr>
            <w:r>
              <w:rPr>
                <w:rFonts w:ascii="Calibri" w:hAnsi="Calibri"/>
                <w:color w:val="282C34"/>
                <w:sz w:val="19"/>
              </w:rPr>
              <w:t>Project Artifacts &amp; Script</w:t>
            </w:r>
          </w:p>
        </w:tc>
        <w:tc>
          <w:tcPr>
            <w:tcW w:type="dxa" w:w="2592"/>
            <w:shd w:fill="F4F6F9"/>
            <w:tcMar>
              <w:top w:w="100" w:type="dxa"/>
              <w:bottom w:w="100" w:type="dxa"/>
              <w:left w:w="120" w:type="dxa"/>
              <w:right w:w="120" w:type="dxa"/>
            </w:tcMar>
          </w:tcPr>
          <w:p>
            <w:pPr>
              <w:jc w:val="left"/>
            </w:pPr>
            <w:r>
              <w:rPr>
                <w:rFonts w:ascii="Calibri" w:hAnsi="Calibri"/>
                <w:color w:val="282C34"/>
                <w:sz w:val="19"/>
              </w:rPr>
              <w:t>HD Video (MP4) &amp; Audio WAV</w:t>
            </w:r>
          </w:p>
        </w:tc>
        <w:tc>
          <w:tcPr>
            <w:tcW w:type="dxa" w:w="2304"/>
            <w:shd w:fill="F4F6F9"/>
            <w:tcMar>
              <w:top w:w="100" w:type="dxa"/>
              <w:bottom w:w="100" w:type="dxa"/>
              <w:left w:w="120" w:type="dxa"/>
              <w:right w:w="120" w:type="dxa"/>
            </w:tcMar>
          </w:tcPr>
          <w:p>
            <w:pPr>
              <w:jc w:val="left"/>
            </w:pPr>
            <w:r>
              <w:rPr>
                <w:rFonts w:ascii="Calibri" w:hAnsi="Calibri"/>
                <w:color w:val="282C34"/>
                <w:sz w:val="19"/>
              </w:rPr>
              <w:t>Automated Media Synthesis</w:t>
            </w:r>
          </w:p>
        </w:tc>
      </w:tr>
      <w:tr>
        <w:tc>
          <w:tcPr>
            <w:tcW w:type="dxa" w:w="2016"/>
            <w:shd w:fill="FFFFFF"/>
            <w:tcMar>
              <w:top w:w="100" w:type="dxa"/>
              <w:bottom w:w="100" w:type="dxa"/>
              <w:left w:w="120" w:type="dxa"/>
              <w:right w:w="120" w:type="dxa"/>
            </w:tcMar>
          </w:tcPr>
          <w:p>
            <w:pPr>
              <w:jc w:val="left"/>
            </w:pPr>
            <w:r>
              <w:rPr>
                <w:rFonts w:ascii="Calibri" w:hAnsi="Calibri"/>
                <w:color w:val="282C34"/>
                <w:sz w:val="19"/>
              </w:rPr>
              <w:t>Presentation</w:t>
            </w:r>
          </w:p>
        </w:tc>
        <w:tc>
          <w:tcPr>
            <w:tcW w:type="dxa" w:w="2448"/>
            <w:shd w:fill="FFFFFF"/>
            <w:tcMar>
              <w:top w:w="100" w:type="dxa"/>
              <w:bottom w:w="100" w:type="dxa"/>
              <w:left w:w="120" w:type="dxa"/>
              <w:right w:w="120" w:type="dxa"/>
            </w:tcMar>
          </w:tcPr>
          <w:p>
            <w:pPr>
              <w:jc w:val="left"/>
            </w:pPr>
            <w:r>
              <w:rPr>
                <w:rFonts w:ascii="Calibri" w:hAnsi="Calibri"/>
                <w:color w:val="282C34"/>
                <w:sz w:val="19"/>
              </w:rPr>
              <w:t>Slide Outline</w:t>
            </w:r>
          </w:p>
        </w:tc>
        <w:tc>
          <w:tcPr>
            <w:tcW w:type="dxa" w:w="2592"/>
            <w:shd w:fill="FFFFFF"/>
            <w:tcMar>
              <w:top w:w="100" w:type="dxa"/>
              <w:bottom w:w="100" w:type="dxa"/>
              <w:left w:w="120" w:type="dxa"/>
              <w:right w:w="120" w:type="dxa"/>
            </w:tcMar>
          </w:tcPr>
          <w:p>
            <w:pPr>
              <w:jc w:val="left"/>
            </w:pPr>
            <w:r>
              <w:rPr>
                <w:rFonts w:ascii="Calibri" w:hAnsi="Calibri"/>
                <w:color w:val="282C34"/>
                <w:sz w:val="19"/>
              </w:rPr>
              <w:t>Formatted PPTX Deck</w:t>
            </w:r>
          </w:p>
        </w:tc>
        <w:tc>
          <w:tcPr>
            <w:tcW w:type="dxa" w:w="2304"/>
            <w:shd w:fill="FFFFFF"/>
            <w:tcMar>
              <w:top w:w="100" w:type="dxa"/>
              <w:bottom w:w="100" w:type="dxa"/>
              <w:left w:w="120" w:type="dxa"/>
              <w:right w:w="120" w:type="dxa"/>
            </w:tcMar>
          </w:tcPr>
          <w:p>
            <w:pPr>
              <w:jc w:val="left"/>
            </w:pPr>
            <w:r>
              <w:rPr>
                <w:rFonts w:ascii="Calibri" w:hAnsi="Calibri"/>
                <w:color w:val="282C34"/>
                <w:sz w:val="19"/>
              </w:rPr>
              <w:t>Consulting Presentation</w:t>
            </w:r>
          </w:p>
        </w:tc>
      </w:tr>
      <w:tr>
        <w:tc>
          <w:tcPr>
            <w:tcW w:type="dxa" w:w="2016"/>
            <w:shd w:fill="F4F6F9"/>
            <w:tcMar>
              <w:top w:w="100" w:type="dxa"/>
              <w:bottom w:w="100" w:type="dxa"/>
              <w:left w:w="120" w:type="dxa"/>
              <w:right w:w="120" w:type="dxa"/>
            </w:tcMar>
          </w:tcPr>
          <w:p>
            <w:pPr>
              <w:jc w:val="left"/>
            </w:pPr>
            <w:r>
              <w:rPr>
                <w:rFonts w:ascii="Calibri" w:hAnsi="Calibri"/>
                <w:color w:val="282C34"/>
                <w:sz w:val="19"/>
              </w:rPr>
              <w:t>AI Copilot</w:t>
            </w:r>
          </w:p>
        </w:tc>
        <w:tc>
          <w:tcPr>
            <w:tcW w:type="dxa" w:w="2448"/>
            <w:shd w:fill="F4F6F9"/>
            <w:tcMar>
              <w:top w:w="100" w:type="dxa"/>
              <w:bottom w:w="100" w:type="dxa"/>
              <w:left w:w="120" w:type="dxa"/>
              <w:right w:w="120" w:type="dxa"/>
            </w:tcMar>
          </w:tcPr>
          <w:p>
            <w:pPr>
              <w:jc w:val="left"/>
            </w:pPr>
            <w:r>
              <w:rPr>
                <w:rFonts w:ascii="Calibri" w:hAnsi="Calibri"/>
                <w:color w:val="282C34"/>
                <w:sz w:val="19"/>
              </w:rPr>
              <w:t>Natural Language Prompts</w:t>
            </w:r>
          </w:p>
        </w:tc>
        <w:tc>
          <w:tcPr>
            <w:tcW w:type="dxa" w:w="2592"/>
            <w:shd w:fill="F4F6F9"/>
            <w:tcMar>
              <w:top w:w="100" w:type="dxa"/>
              <w:bottom w:w="100" w:type="dxa"/>
              <w:left w:w="120" w:type="dxa"/>
              <w:right w:w="120" w:type="dxa"/>
            </w:tcMar>
          </w:tcPr>
          <w:p>
            <w:pPr>
              <w:jc w:val="left"/>
            </w:pPr>
            <w:r>
              <w:rPr>
                <w:rFonts w:ascii="Calibri" w:hAnsi="Calibri"/>
                <w:color w:val="282C34"/>
                <w:sz w:val="19"/>
              </w:rPr>
              <w:t>Real-time Artifact Tweaks</w:t>
            </w:r>
          </w:p>
        </w:tc>
        <w:tc>
          <w:tcPr>
            <w:tcW w:type="dxa" w:w="2304"/>
            <w:shd w:fill="F4F6F9"/>
            <w:tcMar>
              <w:top w:w="100" w:type="dxa"/>
              <w:bottom w:w="100" w:type="dxa"/>
              <w:left w:w="120" w:type="dxa"/>
              <w:right w:w="120" w:type="dxa"/>
            </w:tcMar>
          </w:tcPr>
          <w:p>
            <w:pPr>
              <w:jc w:val="left"/>
            </w:pPr>
            <w:r>
              <w:rPr>
                <w:rFonts w:ascii="Calibri" w:hAnsi="Calibri"/>
                <w:color w:val="282C34"/>
                <w:sz w:val="19"/>
              </w:rPr>
              <w:t>Interactive Control</w:t>
            </w:r>
          </w:p>
        </w:tc>
      </w:tr>
      <w:tr>
        <w:tc>
          <w:tcPr>
            <w:tcW w:type="dxa" w:w="2016"/>
            <w:shd w:fill="FFFFFF"/>
            <w:tcMar>
              <w:top w:w="100" w:type="dxa"/>
              <w:bottom w:w="100" w:type="dxa"/>
              <w:left w:w="120" w:type="dxa"/>
              <w:right w:w="120" w:type="dxa"/>
            </w:tcMar>
          </w:tcPr>
          <w:p>
            <w:pPr>
              <w:jc w:val="left"/>
            </w:pPr>
            <w:r>
              <w:rPr>
                <w:rFonts w:ascii="Calibri" w:hAnsi="Calibri"/>
                <w:color w:val="282C34"/>
                <w:sz w:val="19"/>
              </w:rPr>
              <w:t>Event Monitoring</w:t>
            </w:r>
          </w:p>
        </w:tc>
        <w:tc>
          <w:tcPr>
            <w:tcW w:type="dxa" w:w="2448"/>
            <w:shd w:fill="FFFFFF"/>
            <w:tcMar>
              <w:top w:w="100" w:type="dxa"/>
              <w:bottom w:w="100" w:type="dxa"/>
              <w:left w:w="120" w:type="dxa"/>
              <w:right w:w="120" w:type="dxa"/>
            </w:tcMar>
          </w:tcPr>
          <w:p>
            <w:pPr>
              <w:jc w:val="left"/>
            </w:pPr>
            <w:r>
              <w:rPr>
                <w:rFonts w:ascii="Calibri" w:hAnsi="Calibri"/>
                <w:color w:val="282C34"/>
                <w:sz w:val="19"/>
              </w:rPr>
              <w:t>WebSocket Events</w:t>
            </w:r>
          </w:p>
        </w:tc>
        <w:tc>
          <w:tcPr>
            <w:tcW w:type="dxa" w:w="2592"/>
            <w:shd w:fill="FFFFFF"/>
            <w:tcMar>
              <w:top w:w="100" w:type="dxa"/>
              <w:bottom w:w="100" w:type="dxa"/>
              <w:left w:w="120" w:type="dxa"/>
              <w:right w:w="120" w:type="dxa"/>
            </w:tcMar>
          </w:tcPr>
          <w:p>
            <w:pPr>
              <w:jc w:val="left"/>
            </w:pPr>
            <w:r>
              <w:rPr>
                <w:rFonts w:ascii="Calibri" w:hAnsi="Calibri"/>
                <w:color w:val="282C34"/>
                <w:sz w:val="19"/>
              </w:rPr>
              <w:t>Chronological Log Trace</w:t>
            </w:r>
          </w:p>
        </w:tc>
        <w:tc>
          <w:tcPr>
            <w:tcW w:type="dxa" w:w="2304"/>
            <w:shd w:fill="FFFFFF"/>
            <w:tcMar>
              <w:top w:w="100" w:type="dxa"/>
              <w:bottom w:w="100" w:type="dxa"/>
              <w:left w:w="120" w:type="dxa"/>
              <w:right w:w="120" w:type="dxa"/>
            </w:tcMar>
          </w:tcPr>
          <w:p>
            <w:pPr>
              <w:jc w:val="left"/>
            </w:pPr>
            <w:r>
              <w:rPr>
                <w:rFonts w:ascii="Calibri" w:hAnsi="Calibri"/>
                <w:color w:val="282C34"/>
                <w:sz w:val="19"/>
              </w:rPr>
              <w:t>System Observability</w:t>
            </w:r>
          </w:p>
        </w:tc>
      </w:tr>
      <w:tr>
        <w:tc>
          <w:tcPr>
            <w:tcW w:type="dxa" w:w="2016"/>
            <w:shd w:fill="F4F6F9"/>
            <w:tcMar>
              <w:top w:w="100" w:type="dxa"/>
              <w:bottom w:w="100" w:type="dxa"/>
              <w:left w:w="120" w:type="dxa"/>
              <w:right w:w="120" w:type="dxa"/>
            </w:tcMar>
          </w:tcPr>
          <w:p>
            <w:pPr>
              <w:jc w:val="left"/>
            </w:pPr>
            <w:r>
              <w:rPr>
                <w:rFonts w:ascii="Calibri" w:hAnsi="Calibri"/>
                <w:color w:val="282C34"/>
                <w:sz w:val="19"/>
              </w:rPr>
              <w:t>Approval Center</w:t>
            </w:r>
          </w:p>
        </w:tc>
        <w:tc>
          <w:tcPr>
            <w:tcW w:type="dxa" w:w="2448"/>
            <w:shd w:fill="F4F6F9"/>
            <w:tcMar>
              <w:top w:w="100" w:type="dxa"/>
              <w:bottom w:w="100" w:type="dxa"/>
              <w:left w:w="120" w:type="dxa"/>
              <w:right w:w="120" w:type="dxa"/>
            </w:tcMar>
          </w:tcPr>
          <w:p>
            <w:pPr>
              <w:jc w:val="left"/>
            </w:pPr>
            <w:r>
              <w:rPr>
                <w:rFonts w:ascii="Calibri" w:hAnsi="Calibri"/>
                <w:color w:val="282C34"/>
                <w:sz w:val="19"/>
              </w:rPr>
              <w:t>Artifact Reviews</w:t>
            </w:r>
          </w:p>
        </w:tc>
        <w:tc>
          <w:tcPr>
            <w:tcW w:type="dxa" w:w="2592"/>
            <w:shd w:fill="F4F6F9"/>
            <w:tcMar>
              <w:top w:w="100" w:type="dxa"/>
              <w:bottom w:w="100" w:type="dxa"/>
              <w:left w:w="120" w:type="dxa"/>
              <w:right w:w="120" w:type="dxa"/>
            </w:tcMar>
          </w:tcPr>
          <w:p>
            <w:pPr>
              <w:jc w:val="left"/>
            </w:pPr>
            <w:r>
              <w:rPr>
                <w:rFonts w:ascii="Calibri" w:hAnsi="Calibri"/>
                <w:color w:val="282C34"/>
                <w:sz w:val="19"/>
              </w:rPr>
              <w:t>Signed Approval Records</w:t>
            </w:r>
          </w:p>
        </w:tc>
        <w:tc>
          <w:tcPr>
            <w:tcW w:type="dxa" w:w="2304"/>
            <w:shd w:fill="F4F6F9"/>
            <w:tcMar>
              <w:top w:w="100" w:type="dxa"/>
              <w:bottom w:w="100" w:type="dxa"/>
              <w:left w:w="120" w:type="dxa"/>
              <w:right w:w="120" w:type="dxa"/>
            </w:tcMar>
          </w:tcPr>
          <w:p>
            <w:pPr>
              <w:jc w:val="left"/>
            </w:pPr>
            <w:r>
              <w:rPr>
                <w:rFonts w:ascii="Calibri" w:hAnsi="Calibri"/>
                <w:color w:val="282C34"/>
                <w:sz w:val="19"/>
              </w:rPr>
              <w:t>Human Governance Gate</w:t>
            </w:r>
          </w:p>
        </w:tc>
      </w:tr>
    </w:tbl>
    <w:p>
      <w:pPr>
        <w:pStyle w:val="Heading1"/>
        <w:keepNext/>
        <w:spacing w:before="280" w:after="120"/>
      </w:pPr>
      <w:r>
        <w:rPr>
          <w:rFonts w:ascii="Arial" w:hAnsi="Arial"/>
          <w:b/>
          <w:color w:val="0B132B"/>
          <w:sz w:val="40"/>
        </w:rPr>
        <w:t>Chapter 7 — Technical Implementation Details</w:t>
      </w:r>
    </w:p>
    <w:p>
      <w:pPr>
        <w:pStyle w:val="Heading2"/>
        <w:keepNext/>
        <w:spacing w:before="280" w:after="120"/>
      </w:pPr>
      <w:r>
        <w:rPr>
          <w:rFonts w:ascii="Arial" w:hAnsi="Arial"/>
          <w:b/>
          <w:color w:val="0072C6"/>
          <w:sz w:val="30"/>
        </w:rPr>
        <w:t>7.1 Technology Stack Matrix</w:t>
      </w:r>
    </w:p>
    <w:tbl>
      <w:tblPr>
        <w:tblW w:type="auto" w:w="0"/>
        <w:jc w:val="center"/>
        <w:tblLayout w:type="fixed"/>
        <w:tblLook w:firstColumn="1" w:firstRow="1" w:lastColumn="0" w:lastRow="0" w:noHBand="0" w:noVBand="1" w:val="04A0"/>
      </w:tblPr>
      <w:tblGrid>
        <w:gridCol w:w="4680"/>
        <w:gridCol w:w="4680"/>
      </w:tblGrid>
      <w:tr>
        <w:tc>
          <w:tcPr>
            <w:tcW w:type="dxa" w:w="3168"/>
            <w:shd w:fill="0B132B"/>
            <w:tcMar>
              <w:top w:w="140" w:type="dxa"/>
              <w:bottom w:w="140" w:type="dxa"/>
              <w:left w:w="140" w:type="dxa"/>
              <w:right w:w="140" w:type="dxa"/>
            </w:tcMar>
          </w:tcPr>
          <w:p>
            <w:pPr>
              <w:jc w:val="left"/>
            </w:pPr>
            <w:r>
              <w:rPr>
                <w:rFonts w:ascii="Arial" w:hAnsi="Arial"/>
                <w:b/>
                <w:color w:val="FFE600"/>
                <w:sz w:val="20"/>
              </w:rPr>
              <w:t>Category</w:t>
            </w:r>
          </w:p>
        </w:tc>
        <w:tc>
          <w:tcPr>
            <w:tcW w:type="dxa" w:w="6192"/>
            <w:shd w:fill="0B132B"/>
            <w:tcMar>
              <w:top w:w="140" w:type="dxa"/>
              <w:bottom w:w="140" w:type="dxa"/>
              <w:left w:w="140" w:type="dxa"/>
              <w:right w:w="140" w:type="dxa"/>
            </w:tcMar>
          </w:tcPr>
          <w:p>
            <w:pPr>
              <w:jc w:val="left"/>
            </w:pPr>
            <w:r>
              <w:rPr>
                <w:rFonts w:ascii="Arial" w:hAnsi="Arial"/>
                <w:b/>
                <w:color w:val="FFE600"/>
                <w:sz w:val="20"/>
              </w:rPr>
              <w:t>Technology / Framework Selected</w:t>
            </w:r>
          </w:p>
        </w:tc>
      </w:tr>
      <w:tr>
        <w:tc>
          <w:tcPr>
            <w:tcW w:type="dxa" w:w="3168"/>
            <w:shd w:fill="FFFFFF"/>
            <w:tcMar>
              <w:top w:w="100" w:type="dxa"/>
              <w:bottom w:w="100" w:type="dxa"/>
              <w:left w:w="120" w:type="dxa"/>
              <w:right w:w="120" w:type="dxa"/>
            </w:tcMar>
          </w:tcPr>
          <w:p>
            <w:pPr>
              <w:jc w:val="left"/>
            </w:pPr>
            <w:r>
              <w:rPr>
                <w:rFonts w:ascii="Calibri" w:hAnsi="Calibri"/>
                <w:color w:val="282C34"/>
                <w:sz w:val="19"/>
              </w:rPr>
              <w:t>Frontend Framework</w:t>
            </w:r>
          </w:p>
        </w:tc>
        <w:tc>
          <w:tcPr>
            <w:tcW w:type="dxa" w:w="6192"/>
            <w:shd w:fill="FFFFFF"/>
            <w:tcMar>
              <w:top w:w="100" w:type="dxa"/>
              <w:bottom w:w="100" w:type="dxa"/>
              <w:left w:w="120" w:type="dxa"/>
              <w:right w:w="120" w:type="dxa"/>
            </w:tcMar>
          </w:tcPr>
          <w:p>
            <w:pPr>
              <w:jc w:val="left"/>
            </w:pPr>
            <w:r>
              <w:rPr>
                <w:rFonts w:ascii="Calibri" w:hAnsi="Calibri"/>
                <w:color w:val="282C34"/>
                <w:sz w:val="19"/>
              </w:rPr>
              <w:t>React 18, TypeScript, Vite, Tailwind CSS, Lucide Icons</w:t>
            </w:r>
          </w:p>
        </w:tc>
      </w:tr>
      <w:tr>
        <w:tc>
          <w:tcPr>
            <w:tcW w:type="dxa" w:w="3168"/>
            <w:shd w:fill="F4F6F9"/>
            <w:tcMar>
              <w:top w:w="100" w:type="dxa"/>
              <w:bottom w:w="100" w:type="dxa"/>
              <w:left w:w="120" w:type="dxa"/>
              <w:right w:w="120" w:type="dxa"/>
            </w:tcMar>
          </w:tcPr>
          <w:p>
            <w:pPr>
              <w:jc w:val="left"/>
            </w:pPr>
            <w:r>
              <w:rPr>
                <w:rFonts w:ascii="Calibri" w:hAnsi="Calibri"/>
                <w:color w:val="282C34"/>
                <w:sz w:val="19"/>
              </w:rPr>
              <w:t>Backend Services</w:t>
            </w:r>
          </w:p>
        </w:tc>
        <w:tc>
          <w:tcPr>
            <w:tcW w:type="dxa" w:w="6192"/>
            <w:shd w:fill="F4F6F9"/>
            <w:tcMar>
              <w:top w:w="100" w:type="dxa"/>
              <w:bottom w:w="100" w:type="dxa"/>
              <w:left w:w="120" w:type="dxa"/>
              <w:right w:w="120" w:type="dxa"/>
            </w:tcMar>
          </w:tcPr>
          <w:p>
            <w:pPr>
              <w:jc w:val="left"/>
            </w:pPr>
            <w:r>
              <w:rPr>
                <w:rFonts w:ascii="Calibri" w:hAnsi="Calibri"/>
                <w:color w:val="282C34"/>
                <w:sz w:val="19"/>
              </w:rPr>
              <w:t>FastAPI, Python 3.11, Pydantic v2, Uvicorn Async Server</w:t>
            </w:r>
          </w:p>
        </w:tc>
      </w:tr>
      <w:tr>
        <w:tc>
          <w:tcPr>
            <w:tcW w:type="dxa" w:w="3168"/>
            <w:shd w:fill="FFFFFF"/>
            <w:tcMar>
              <w:top w:w="100" w:type="dxa"/>
              <w:bottom w:w="100" w:type="dxa"/>
              <w:left w:w="120" w:type="dxa"/>
              <w:right w:w="120" w:type="dxa"/>
            </w:tcMar>
          </w:tcPr>
          <w:p>
            <w:pPr>
              <w:jc w:val="left"/>
            </w:pPr>
            <w:r>
              <w:rPr>
                <w:rFonts w:ascii="Calibri" w:hAnsi="Calibri"/>
                <w:color w:val="282C34"/>
                <w:sz w:val="19"/>
              </w:rPr>
              <w:t>Database &amp; ORM</w:t>
            </w:r>
          </w:p>
        </w:tc>
        <w:tc>
          <w:tcPr>
            <w:tcW w:type="dxa" w:w="6192"/>
            <w:shd w:fill="FFFFFF"/>
            <w:tcMar>
              <w:top w:w="100" w:type="dxa"/>
              <w:bottom w:w="100" w:type="dxa"/>
              <w:left w:w="120" w:type="dxa"/>
              <w:right w:w="120" w:type="dxa"/>
            </w:tcMar>
          </w:tcPr>
          <w:p>
            <w:pPr>
              <w:jc w:val="left"/>
            </w:pPr>
            <w:r>
              <w:rPr>
                <w:rFonts w:ascii="Calibri" w:hAnsi="Calibri"/>
                <w:color w:val="282C34"/>
                <w:sz w:val="19"/>
              </w:rPr>
              <w:t>PostgreSQL 15, SQLAlchemy ORM, Psycopg2 Driver</w:t>
            </w:r>
          </w:p>
        </w:tc>
      </w:tr>
      <w:tr>
        <w:tc>
          <w:tcPr>
            <w:tcW w:type="dxa" w:w="3168"/>
            <w:shd w:fill="F4F6F9"/>
            <w:tcMar>
              <w:top w:w="100" w:type="dxa"/>
              <w:bottom w:w="100" w:type="dxa"/>
              <w:left w:w="120" w:type="dxa"/>
              <w:right w:w="120" w:type="dxa"/>
            </w:tcMar>
          </w:tcPr>
          <w:p>
            <w:pPr>
              <w:jc w:val="left"/>
            </w:pPr>
            <w:r>
              <w:rPr>
                <w:rFonts w:ascii="Calibri" w:hAnsi="Calibri"/>
                <w:color w:val="282C34"/>
                <w:sz w:val="19"/>
              </w:rPr>
              <w:t>AI &amp; LLM Integration</w:t>
            </w:r>
          </w:p>
        </w:tc>
        <w:tc>
          <w:tcPr>
            <w:tcW w:type="dxa" w:w="6192"/>
            <w:shd w:fill="F4F6F9"/>
            <w:tcMar>
              <w:top w:w="100" w:type="dxa"/>
              <w:bottom w:w="100" w:type="dxa"/>
              <w:left w:w="120" w:type="dxa"/>
              <w:right w:w="120" w:type="dxa"/>
            </w:tcMar>
          </w:tcPr>
          <w:p>
            <w:pPr>
              <w:jc w:val="left"/>
            </w:pPr>
            <w:r>
              <w:rPr>
                <w:rFonts w:ascii="Calibri" w:hAnsi="Calibri"/>
                <w:color w:val="282C34"/>
                <w:sz w:val="19"/>
              </w:rPr>
              <w:t>Azure OpenAI, Groq, Ollama (Local Models), Custom BYOK Router</w:t>
            </w:r>
          </w:p>
        </w:tc>
      </w:tr>
      <w:tr>
        <w:tc>
          <w:tcPr>
            <w:tcW w:type="dxa" w:w="3168"/>
            <w:shd w:fill="FFFFFF"/>
            <w:tcMar>
              <w:top w:w="100" w:type="dxa"/>
              <w:bottom w:w="100" w:type="dxa"/>
              <w:left w:w="120" w:type="dxa"/>
              <w:right w:w="120" w:type="dxa"/>
            </w:tcMar>
          </w:tcPr>
          <w:p>
            <w:pPr>
              <w:jc w:val="left"/>
            </w:pPr>
            <w:r>
              <w:rPr>
                <w:rFonts w:ascii="Calibri" w:hAnsi="Calibri"/>
                <w:color w:val="282C34"/>
                <w:sz w:val="19"/>
              </w:rPr>
              <w:t>Media &amp; Video Pipeline</w:t>
            </w:r>
          </w:p>
        </w:tc>
        <w:tc>
          <w:tcPr>
            <w:tcW w:type="dxa" w:w="6192"/>
            <w:shd w:fill="FFFFFF"/>
            <w:tcMar>
              <w:top w:w="100" w:type="dxa"/>
              <w:bottom w:w="100" w:type="dxa"/>
              <w:left w:w="120" w:type="dxa"/>
              <w:right w:w="120" w:type="dxa"/>
            </w:tcMar>
          </w:tcPr>
          <w:p>
            <w:pPr>
              <w:jc w:val="left"/>
            </w:pPr>
            <w:r>
              <w:rPr>
                <w:rFonts w:ascii="Calibri" w:hAnsi="Calibri"/>
                <w:color w:val="282C34"/>
                <w:sz w:val="19"/>
              </w:rPr>
              <w:t>Pillow, Python-PPTX, Edge-TTS, FFmpeg, SadTalker Lip-Sync</w:t>
            </w:r>
          </w:p>
        </w:tc>
      </w:tr>
      <w:tr>
        <w:tc>
          <w:tcPr>
            <w:tcW w:type="dxa" w:w="3168"/>
            <w:shd w:fill="F4F6F9"/>
            <w:tcMar>
              <w:top w:w="100" w:type="dxa"/>
              <w:bottom w:w="100" w:type="dxa"/>
              <w:left w:w="120" w:type="dxa"/>
              <w:right w:w="120" w:type="dxa"/>
            </w:tcMar>
          </w:tcPr>
          <w:p>
            <w:pPr>
              <w:jc w:val="left"/>
            </w:pPr>
            <w:r>
              <w:rPr>
                <w:rFonts w:ascii="Calibri" w:hAnsi="Calibri"/>
                <w:color w:val="282C34"/>
                <w:sz w:val="19"/>
              </w:rPr>
              <w:t>Diagramming &amp; Visualization</w:t>
            </w:r>
          </w:p>
        </w:tc>
        <w:tc>
          <w:tcPr>
            <w:tcW w:type="dxa" w:w="6192"/>
            <w:shd w:fill="F4F6F9"/>
            <w:tcMar>
              <w:top w:w="100" w:type="dxa"/>
              <w:bottom w:w="100" w:type="dxa"/>
              <w:left w:w="120" w:type="dxa"/>
              <w:right w:w="120" w:type="dxa"/>
            </w:tcMar>
          </w:tcPr>
          <w:p>
            <w:pPr>
              <w:jc w:val="left"/>
            </w:pPr>
            <w:r>
              <w:rPr>
                <w:rFonts w:ascii="Calibri" w:hAnsi="Calibri"/>
                <w:color w:val="282C34"/>
                <w:sz w:val="19"/>
              </w:rPr>
              <w:t>Mermaid.js, SVG Renderer, Canvas Rendering Engine</w:t>
            </w:r>
          </w:p>
        </w:tc>
      </w:tr>
    </w:tbl>
    <w:p>
      <w:pPr>
        <w:pStyle w:val="Heading2"/>
        <w:keepNext/>
        <w:spacing w:before="280" w:after="120"/>
      </w:pPr>
      <w:r>
        <w:rPr>
          <w:rFonts w:ascii="Arial" w:hAnsi="Arial"/>
          <w:b/>
          <w:color w:val="0072C6"/>
          <w:sz w:val="30"/>
        </w:rPr>
        <w:t>7.2 Media Generation Pipeline Details</w:t>
      </w:r>
    </w:p>
    <w:p>
      <w:pPr>
        <w:spacing w:before="0" w:after="120" w:line="276" w:lineRule="auto"/>
      </w:pPr>
      <w:r>
        <w:rPr>
          <w:rFonts w:ascii="Calibri" w:hAnsi="Calibri"/>
          <w:color w:val="282C34"/>
          <w:sz w:val="22"/>
        </w:rPr>
        <w:t>A key innovation implemented during the internship was the Media Generation Pipeline, which converts technical project artifacts into structured presentation decks and narrated HD video videos. The pipeline functions through six swappable stages:</w:t>
      </w:r>
    </w:p>
    <w:p>
      <w:pPr>
        <w:spacing w:before="0" w:after="120" w:line="276" w:lineRule="auto"/>
      </w:pPr>
      <w:r>
        <w:rPr>
          <w:rFonts w:ascii="Calibri" w:hAnsi="Calibri"/>
          <w:b/>
          <w:color w:val="1A1D20"/>
          <w:sz w:val="22"/>
        </w:rPr>
        <w:t xml:space="preserve">• 1. Story Planning: </w:t>
      </w:r>
      <w:r>
        <w:rPr>
          <w:rFonts w:ascii="Calibri" w:hAnsi="Calibri"/>
          <w:color w:val="282C34"/>
          <w:sz w:val="22"/>
        </w:rPr>
        <w:t>Analyzes project memory to organize a consulting narrative covering Problem, Solution, Architecture, and Business ROI.</w:t>
      </w:r>
    </w:p>
    <w:p>
      <w:pPr>
        <w:spacing w:before="0" w:after="120" w:line="276" w:lineRule="auto"/>
      </w:pPr>
      <w:r>
        <w:rPr>
          <w:rFonts w:ascii="Calibri" w:hAnsi="Calibri"/>
          <w:b/>
          <w:color w:val="1A1D20"/>
          <w:sz w:val="22"/>
        </w:rPr>
        <w:t xml:space="preserve">• 2. Slide Rendering Engine: </w:t>
      </w:r>
      <w:r>
        <w:rPr>
          <w:rFonts w:ascii="Calibri" w:hAnsi="Calibri"/>
          <w:color w:val="282C34"/>
          <w:sz w:val="22"/>
        </w:rPr>
        <w:t>Uses Python-PPTX and Pillow to render 16:9 widescreen slide frames with crisp typography and card layouts.</w:t>
      </w:r>
    </w:p>
    <w:p>
      <w:pPr>
        <w:spacing w:before="0" w:after="120" w:line="276" w:lineRule="auto"/>
      </w:pPr>
      <w:r>
        <w:rPr>
          <w:rFonts w:ascii="Calibri" w:hAnsi="Calibri"/>
          <w:b/>
          <w:color w:val="1A1D20"/>
          <w:sz w:val="22"/>
        </w:rPr>
        <w:t xml:space="preserve">• 3. Script Editor &amp; Binding: </w:t>
      </w:r>
      <w:r>
        <w:rPr>
          <w:rFonts w:ascii="Calibri" w:hAnsi="Calibri"/>
          <w:color w:val="282C34"/>
          <w:sz w:val="22"/>
        </w:rPr>
        <w:t>Provides per-slide voice-over narration text binding, ensuring user edits in the UI persist directly to PostgreSQL.</w:t>
      </w:r>
    </w:p>
    <w:p>
      <w:pPr>
        <w:spacing w:before="0" w:after="120" w:line="276" w:lineRule="auto"/>
      </w:pPr>
      <w:r>
        <w:rPr>
          <w:rFonts w:ascii="Calibri" w:hAnsi="Calibri"/>
          <w:b/>
          <w:color w:val="1A1D20"/>
          <w:sz w:val="22"/>
        </w:rPr>
        <w:t xml:space="preserve">• 4. Text-to-Speech (TTS) Engine: </w:t>
      </w:r>
      <w:r>
        <w:rPr>
          <w:rFonts w:ascii="Calibri" w:hAnsi="Calibri"/>
          <w:color w:val="282C34"/>
          <w:sz w:val="22"/>
        </w:rPr>
        <w:t>Synthesizes high-quality audio WAV files using Edge-TTS with customizable voice styles and speech speeds.</w:t>
      </w:r>
    </w:p>
    <w:p>
      <w:pPr>
        <w:spacing w:before="0" w:after="120" w:line="276" w:lineRule="auto"/>
      </w:pPr>
      <w:r>
        <w:rPr>
          <w:rFonts w:ascii="Calibri" w:hAnsi="Calibri"/>
          <w:b/>
          <w:color w:val="1A1D20"/>
          <w:sz w:val="22"/>
        </w:rPr>
        <w:t xml:space="preserve">• 5. Presenter Avatar Rendering: </w:t>
      </w:r>
      <w:r>
        <w:rPr>
          <w:rFonts w:ascii="Calibri" w:hAnsi="Calibri"/>
          <w:color w:val="282C34"/>
          <w:sz w:val="22"/>
        </w:rPr>
        <w:t>Applies optional SadTalker lip-sync or animated avatar overlays onto slide videos.</w:t>
      </w:r>
    </w:p>
    <w:p>
      <w:pPr>
        <w:spacing w:before="0" w:after="120" w:line="276" w:lineRule="auto"/>
      </w:pPr>
      <w:r>
        <w:rPr>
          <w:rFonts w:ascii="Calibri" w:hAnsi="Calibri"/>
          <w:b/>
          <w:color w:val="1A1D20"/>
          <w:sz w:val="22"/>
        </w:rPr>
        <w:t xml:space="preserve">• 6. Video Composition Engine: </w:t>
      </w:r>
      <w:r>
        <w:rPr>
          <w:rFonts w:ascii="Calibri" w:hAnsi="Calibri"/>
          <w:color w:val="282C34"/>
          <w:sz w:val="22"/>
        </w:rPr>
        <w:t>FFmpeg stitches slide images, synthesized audio WAV tracks, and presenter video into a final MP4 container with WebVTT captions.</w:t>
      </w:r>
    </w:p>
    <w:p>
      <w:pPr>
        <w:spacing w:before="200" w:after="80"/>
        <w:jc w:val="center"/>
      </w:pPr>
    </w:p>
    <w:tbl>
      <w:tblPr>
        <w:tblW w:type="auto" w:w="0"/>
        <w:jc w:val="center"/>
        <w:tblLook w:firstColumn="1" w:firstRow="1" w:lastColumn="0" w:lastRow="0" w:noHBand="0" w:noVBand="1" w:val="04A0"/>
      </w:tblPr>
      <w:tblGrid>
        <w:gridCol w:w="9360"/>
      </w:tblGrid>
      <w:tr>
        <w:tc>
          <w:tcPr>
            <w:tcW w:type="dxa" w:w="9360"/>
            <w:shd w:fill="F8F9FA"/>
            <w:tcMar>
              <w:top w:w="200" w:type="dxa"/>
              <w:bottom w:w="200" w:type="dxa"/>
              <w:left w:w="200" w:type="dxa"/>
              <w:right w:w="200" w:type="dxa"/>
            </w:tcMar>
            <w:tcBorders>
              <w:left w:val="single" w:sz="12" w:space="0" w:color="CBD5E1"/>
              <w:top w:val="single" w:sz="12" w:space="0" w:color="CBD5E1"/>
              <w:right w:val="single" w:sz="12" w:space="0" w:color="CBD5E1"/>
              <w:bottom w:val="single" w:sz="12" w:space="0" w:color="CBD5E1"/>
            </w:tcBorders>
          </w:tcPr>
          <w:p>
            <w:pPr>
              <w:jc w:val="center"/>
            </w:pPr>
            <w:r>
              <w:rPr>
                <w:rFonts w:ascii="Arial" w:hAnsi="Arial"/>
                <w:b/>
                <w:color w:val="64748B"/>
                <w:sz w:val="20"/>
              </w:rPr>
              <w:t>📷 [ SCREENSHOT PLACEHOLDER ]</w:t>
              <w:br/>
              <w:t>Flowchart: Story Planning -&gt; Slide Rendering Engine -&gt; AI Narration -&gt; TTS Engine -&gt; Avatar Rendering -&gt; Video Composition</w:t>
            </w:r>
          </w:p>
        </w:tc>
      </w:tr>
    </w:tbl>
    <w:p>
      <w:pPr>
        <w:spacing w:before="80" w:after="200"/>
        <w:jc w:val="center"/>
      </w:pPr>
      <w:r>
        <w:rPr>
          <w:rFonts w:ascii="Arial" w:hAnsi="Arial"/>
          <w:b/>
          <w:color w:val="0B132B"/>
          <w:sz w:val="19"/>
        </w:rPr>
        <w:t>Figure 7.1 — Media Generation Pipeline: Presentation to HD Video</w:t>
        <w:br/>
      </w:r>
      <w:r>
        <w:rPr>
          <w:rFonts w:ascii="Calibri" w:hAnsi="Calibri"/>
          <w:i/>
          <w:color w:val="64748B"/>
          <w:sz w:val="19"/>
        </w:rPr>
        <w:t>Swappable multi-stage media pipeline converting structured project context into HD presentation videos.</w:t>
      </w:r>
    </w:p>
    <w:p>
      <w:pPr>
        <w:pStyle w:val="Heading1"/>
        <w:keepNext/>
        <w:spacing w:before="280" w:after="120"/>
      </w:pPr>
      <w:r>
        <w:rPr>
          <w:rFonts w:ascii="Arial" w:hAnsi="Arial"/>
          <w:b/>
          <w:color w:val="0B132B"/>
          <w:sz w:val="40"/>
        </w:rPr>
        <w:t>Chapter 8 — Testing, Validation &amp; Results</w:t>
      </w:r>
    </w:p>
    <w:p>
      <w:pPr>
        <w:spacing w:before="0" w:after="120" w:line="276" w:lineRule="auto"/>
      </w:pPr>
      <w:r>
        <w:rPr>
          <w:rFonts w:ascii="Calibri" w:hAnsi="Calibri"/>
          <w:color w:val="282C34"/>
          <w:sz w:val="22"/>
        </w:rPr>
        <w:t>Rigorous verification and automated testing were performed across all platform modules. End-to-end testing verified that projects created from raw PDF requirements successfully progressed through all agent stages, generated consistent artifacts, passed human approval gates, and produced complete video deliverables.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0B132B"/>
            <w:tcMar>
              <w:top w:w="140" w:type="dxa"/>
              <w:bottom w:w="140" w:type="dxa"/>
              <w:left w:w="140" w:type="dxa"/>
              <w:right w:w="140" w:type="dxa"/>
            </w:tcMar>
          </w:tcPr>
          <w:p>
            <w:pPr>
              <w:jc w:val="left"/>
            </w:pPr>
            <w:r>
              <w:rPr>
                <w:rFonts w:ascii="Arial" w:hAnsi="Arial"/>
                <w:b/>
                <w:color w:val="FFE600"/>
                <w:sz w:val="20"/>
              </w:rPr>
              <w:t>Metric / Activity</w:t>
            </w:r>
          </w:p>
        </w:tc>
        <w:tc>
          <w:tcPr>
            <w:tcW w:type="dxa" w:w="2160"/>
            <w:shd w:fill="0B132B"/>
            <w:tcMar>
              <w:top w:w="140" w:type="dxa"/>
              <w:bottom w:w="140" w:type="dxa"/>
              <w:left w:w="140" w:type="dxa"/>
              <w:right w:w="140" w:type="dxa"/>
            </w:tcMar>
          </w:tcPr>
          <w:p>
            <w:pPr>
              <w:jc w:val="left"/>
            </w:pPr>
            <w:r>
              <w:rPr>
                <w:rFonts w:ascii="Arial" w:hAnsi="Arial"/>
                <w:b/>
                <w:color w:val="FFE600"/>
                <w:sz w:val="20"/>
              </w:rPr>
              <w:t>Traditional Manual Baseline</w:t>
            </w:r>
          </w:p>
        </w:tc>
        <w:tc>
          <w:tcPr>
            <w:tcW w:type="dxa" w:w="2160"/>
            <w:shd w:fill="0B132B"/>
            <w:tcMar>
              <w:top w:w="140" w:type="dxa"/>
              <w:bottom w:w="140" w:type="dxa"/>
              <w:left w:w="140" w:type="dxa"/>
              <w:right w:w="140" w:type="dxa"/>
            </w:tcMar>
          </w:tcPr>
          <w:p>
            <w:pPr>
              <w:jc w:val="left"/>
            </w:pPr>
            <w:r>
              <w:rPr>
                <w:rFonts w:ascii="Arial" w:hAnsi="Arial"/>
                <w:b/>
                <w:color w:val="FFE600"/>
                <w:sz w:val="20"/>
              </w:rPr>
              <w:t>Autonomous Platform Metric</w:t>
            </w:r>
          </w:p>
        </w:tc>
        <w:tc>
          <w:tcPr>
            <w:tcW w:type="dxa" w:w="2160"/>
            <w:shd w:fill="0B132B"/>
            <w:tcMar>
              <w:top w:w="140" w:type="dxa"/>
              <w:bottom w:w="140" w:type="dxa"/>
              <w:left w:w="140" w:type="dxa"/>
              <w:right w:w="140" w:type="dxa"/>
            </w:tcMar>
          </w:tcPr>
          <w:p>
            <w:pPr>
              <w:jc w:val="left"/>
            </w:pPr>
            <w:r>
              <w:rPr>
                <w:rFonts w:ascii="Arial" w:hAnsi="Arial"/>
                <w:b/>
                <w:color w:val="FFE600"/>
                <w:sz w:val="20"/>
              </w:rPr>
              <w:t>Performance Gain</w:t>
            </w:r>
          </w:p>
        </w:tc>
      </w:tr>
      <w:tr>
        <w:tc>
          <w:tcPr>
            <w:tcW w:type="dxa" w:w="2880"/>
            <w:shd w:fill="FFFFFF"/>
            <w:tcMar>
              <w:top w:w="100" w:type="dxa"/>
              <w:bottom w:w="100" w:type="dxa"/>
              <w:left w:w="120" w:type="dxa"/>
              <w:right w:w="120" w:type="dxa"/>
            </w:tcMar>
          </w:tcPr>
          <w:p>
            <w:pPr>
              <w:jc w:val="left"/>
            </w:pPr>
            <w:r>
              <w:rPr>
                <w:rFonts w:ascii="Calibri" w:hAnsi="Calibri"/>
                <w:color w:val="282C34"/>
                <w:sz w:val="19"/>
              </w:rPr>
              <w:t>Requirement Elicitation Lead Time</w:t>
            </w:r>
          </w:p>
        </w:tc>
        <w:tc>
          <w:tcPr>
            <w:tcW w:type="dxa" w:w="2160"/>
            <w:shd w:fill="FFFFFF"/>
            <w:tcMar>
              <w:top w:w="100" w:type="dxa"/>
              <w:bottom w:w="100" w:type="dxa"/>
              <w:left w:w="120" w:type="dxa"/>
              <w:right w:w="120" w:type="dxa"/>
            </w:tcMar>
          </w:tcPr>
          <w:p>
            <w:pPr>
              <w:jc w:val="left"/>
            </w:pPr>
            <w:r>
              <w:rPr>
                <w:rFonts w:ascii="Calibri" w:hAnsi="Calibri"/>
                <w:color w:val="282C34"/>
                <w:sz w:val="19"/>
              </w:rPr>
              <w:t>2-3 Days Manual</w:t>
            </w:r>
          </w:p>
        </w:tc>
        <w:tc>
          <w:tcPr>
            <w:tcW w:type="dxa" w:w="2160"/>
            <w:shd w:fill="FFFFFF"/>
            <w:tcMar>
              <w:top w:w="100" w:type="dxa"/>
              <w:bottom w:w="100" w:type="dxa"/>
              <w:left w:w="120" w:type="dxa"/>
              <w:right w:w="120" w:type="dxa"/>
            </w:tcMar>
          </w:tcPr>
          <w:p>
            <w:pPr>
              <w:jc w:val="left"/>
            </w:pPr>
            <w:r>
              <w:rPr>
                <w:rFonts w:ascii="Calibri" w:hAnsi="Calibri"/>
                <w:color w:val="282C34"/>
                <w:sz w:val="19"/>
              </w:rPr>
              <w:t>&lt; 3 Minutes Automated</w:t>
            </w:r>
          </w:p>
        </w:tc>
        <w:tc>
          <w:tcPr>
            <w:tcW w:type="dxa" w:w="2160"/>
            <w:shd w:fill="FFFFFF"/>
            <w:tcMar>
              <w:top w:w="100" w:type="dxa"/>
              <w:bottom w:w="100" w:type="dxa"/>
              <w:left w:w="120" w:type="dxa"/>
              <w:right w:w="120" w:type="dxa"/>
            </w:tcMar>
          </w:tcPr>
          <w:p>
            <w:pPr>
              <w:jc w:val="left"/>
            </w:pPr>
            <w:r>
              <w:rPr>
                <w:rFonts w:ascii="Calibri" w:hAnsi="Calibri"/>
                <w:color w:val="282C34"/>
                <w:sz w:val="19"/>
              </w:rPr>
              <w:t>98% Reduction</w:t>
            </w:r>
          </w:p>
        </w:tc>
      </w:tr>
      <w:tr>
        <w:tc>
          <w:tcPr>
            <w:tcW w:type="dxa" w:w="2880"/>
            <w:shd w:fill="F4F6F9"/>
            <w:tcMar>
              <w:top w:w="100" w:type="dxa"/>
              <w:bottom w:w="100" w:type="dxa"/>
              <w:left w:w="120" w:type="dxa"/>
              <w:right w:w="120" w:type="dxa"/>
            </w:tcMar>
          </w:tcPr>
          <w:p>
            <w:pPr>
              <w:jc w:val="left"/>
            </w:pPr>
            <w:r>
              <w:rPr>
                <w:rFonts w:ascii="Calibri" w:hAnsi="Calibri"/>
                <w:color w:val="282C34"/>
                <w:sz w:val="19"/>
              </w:rPr>
              <w:t>BRD / SRS Document Creation</w:t>
            </w:r>
          </w:p>
        </w:tc>
        <w:tc>
          <w:tcPr>
            <w:tcW w:type="dxa" w:w="2160"/>
            <w:shd w:fill="F4F6F9"/>
            <w:tcMar>
              <w:top w:w="100" w:type="dxa"/>
              <w:bottom w:w="100" w:type="dxa"/>
              <w:left w:w="120" w:type="dxa"/>
              <w:right w:w="120" w:type="dxa"/>
            </w:tcMar>
          </w:tcPr>
          <w:p>
            <w:pPr>
              <w:jc w:val="left"/>
            </w:pPr>
            <w:r>
              <w:rPr>
                <w:rFonts w:ascii="Calibri" w:hAnsi="Calibri"/>
                <w:color w:val="282C34"/>
                <w:sz w:val="19"/>
              </w:rPr>
              <w:t>5-7 Days Manual</w:t>
            </w:r>
          </w:p>
        </w:tc>
        <w:tc>
          <w:tcPr>
            <w:tcW w:type="dxa" w:w="2160"/>
            <w:shd w:fill="F4F6F9"/>
            <w:tcMar>
              <w:top w:w="100" w:type="dxa"/>
              <w:bottom w:w="100" w:type="dxa"/>
              <w:left w:w="120" w:type="dxa"/>
              <w:right w:w="120" w:type="dxa"/>
            </w:tcMar>
          </w:tcPr>
          <w:p>
            <w:pPr>
              <w:jc w:val="left"/>
            </w:pPr>
            <w:r>
              <w:rPr>
                <w:rFonts w:ascii="Calibri" w:hAnsi="Calibri"/>
                <w:color w:val="282C34"/>
                <w:sz w:val="19"/>
              </w:rPr>
              <w:t>&lt; 5 Minutes Automated</w:t>
            </w:r>
          </w:p>
        </w:tc>
        <w:tc>
          <w:tcPr>
            <w:tcW w:type="dxa" w:w="2160"/>
            <w:shd w:fill="F4F6F9"/>
            <w:tcMar>
              <w:top w:w="100" w:type="dxa"/>
              <w:bottom w:w="100" w:type="dxa"/>
              <w:left w:w="120" w:type="dxa"/>
              <w:right w:w="120" w:type="dxa"/>
            </w:tcMar>
          </w:tcPr>
          <w:p>
            <w:pPr>
              <w:jc w:val="left"/>
            </w:pPr>
            <w:r>
              <w:rPr>
                <w:rFonts w:ascii="Calibri" w:hAnsi="Calibri"/>
                <w:color w:val="282C34"/>
                <w:sz w:val="19"/>
              </w:rPr>
              <w:t>99% Reduction</w:t>
            </w:r>
          </w:p>
        </w:tc>
      </w:tr>
      <w:tr>
        <w:tc>
          <w:tcPr>
            <w:tcW w:type="dxa" w:w="2880"/>
            <w:shd w:fill="FFFFFF"/>
            <w:tcMar>
              <w:top w:w="100" w:type="dxa"/>
              <w:bottom w:w="100" w:type="dxa"/>
              <w:left w:w="120" w:type="dxa"/>
              <w:right w:w="120" w:type="dxa"/>
            </w:tcMar>
          </w:tcPr>
          <w:p>
            <w:pPr>
              <w:jc w:val="left"/>
            </w:pPr>
            <w:r>
              <w:rPr>
                <w:rFonts w:ascii="Calibri" w:hAnsi="Calibri"/>
                <w:color w:val="282C34"/>
                <w:sz w:val="19"/>
              </w:rPr>
              <w:t>Architecture Blueprinting</w:t>
            </w:r>
          </w:p>
        </w:tc>
        <w:tc>
          <w:tcPr>
            <w:tcW w:type="dxa" w:w="2160"/>
            <w:shd w:fill="FFFFFF"/>
            <w:tcMar>
              <w:top w:w="100" w:type="dxa"/>
              <w:bottom w:w="100" w:type="dxa"/>
              <w:left w:w="120" w:type="dxa"/>
              <w:right w:w="120" w:type="dxa"/>
            </w:tcMar>
          </w:tcPr>
          <w:p>
            <w:pPr>
              <w:jc w:val="left"/>
            </w:pPr>
            <w:r>
              <w:rPr>
                <w:rFonts w:ascii="Calibri" w:hAnsi="Calibri"/>
                <w:color w:val="282C34"/>
                <w:sz w:val="19"/>
              </w:rPr>
              <w:t>3-5 Days Manual</w:t>
            </w:r>
          </w:p>
        </w:tc>
        <w:tc>
          <w:tcPr>
            <w:tcW w:type="dxa" w:w="2160"/>
            <w:shd w:fill="FFFFFF"/>
            <w:tcMar>
              <w:top w:w="100" w:type="dxa"/>
              <w:bottom w:w="100" w:type="dxa"/>
              <w:left w:w="120" w:type="dxa"/>
              <w:right w:w="120" w:type="dxa"/>
            </w:tcMar>
          </w:tcPr>
          <w:p>
            <w:pPr>
              <w:jc w:val="left"/>
            </w:pPr>
            <w:r>
              <w:rPr>
                <w:rFonts w:ascii="Calibri" w:hAnsi="Calibri"/>
                <w:color w:val="282C34"/>
                <w:sz w:val="19"/>
              </w:rPr>
              <w:t>&lt; 4 Minutes Automated</w:t>
            </w:r>
          </w:p>
        </w:tc>
        <w:tc>
          <w:tcPr>
            <w:tcW w:type="dxa" w:w="2160"/>
            <w:shd w:fill="FFFFFF"/>
            <w:tcMar>
              <w:top w:w="100" w:type="dxa"/>
              <w:bottom w:w="100" w:type="dxa"/>
              <w:left w:w="120" w:type="dxa"/>
              <w:right w:w="120" w:type="dxa"/>
            </w:tcMar>
          </w:tcPr>
          <w:p>
            <w:pPr>
              <w:jc w:val="left"/>
            </w:pPr>
            <w:r>
              <w:rPr>
                <w:rFonts w:ascii="Calibri" w:hAnsi="Calibri"/>
                <w:color w:val="282C34"/>
                <w:sz w:val="19"/>
              </w:rPr>
              <w:t>98% Reduction</w:t>
            </w:r>
          </w:p>
        </w:tc>
      </w:tr>
      <w:tr>
        <w:tc>
          <w:tcPr>
            <w:tcW w:type="dxa" w:w="2880"/>
            <w:shd w:fill="F4F6F9"/>
            <w:tcMar>
              <w:top w:w="100" w:type="dxa"/>
              <w:bottom w:w="100" w:type="dxa"/>
              <w:left w:w="120" w:type="dxa"/>
              <w:right w:w="120" w:type="dxa"/>
            </w:tcMar>
          </w:tcPr>
          <w:p>
            <w:pPr>
              <w:jc w:val="left"/>
            </w:pPr>
            <w:r>
              <w:rPr>
                <w:rFonts w:ascii="Calibri" w:hAnsi="Calibri"/>
                <w:color w:val="282C34"/>
                <w:sz w:val="19"/>
              </w:rPr>
              <w:t>Code Boilerplate Generation</w:t>
            </w:r>
          </w:p>
        </w:tc>
        <w:tc>
          <w:tcPr>
            <w:tcW w:type="dxa" w:w="2160"/>
            <w:shd w:fill="F4F6F9"/>
            <w:tcMar>
              <w:top w:w="100" w:type="dxa"/>
              <w:bottom w:w="100" w:type="dxa"/>
              <w:left w:w="120" w:type="dxa"/>
              <w:right w:w="120" w:type="dxa"/>
            </w:tcMar>
          </w:tcPr>
          <w:p>
            <w:pPr>
              <w:jc w:val="left"/>
            </w:pPr>
            <w:r>
              <w:rPr>
                <w:rFonts w:ascii="Calibri" w:hAnsi="Calibri"/>
                <w:color w:val="282C34"/>
                <w:sz w:val="19"/>
              </w:rPr>
              <w:t>4-6 Days Manual</w:t>
            </w:r>
          </w:p>
        </w:tc>
        <w:tc>
          <w:tcPr>
            <w:tcW w:type="dxa" w:w="2160"/>
            <w:shd w:fill="F4F6F9"/>
            <w:tcMar>
              <w:top w:w="100" w:type="dxa"/>
              <w:bottom w:w="100" w:type="dxa"/>
              <w:left w:w="120" w:type="dxa"/>
              <w:right w:w="120" w:type="dxa"/>
            </w:tcMar>
          </w:tcPr>
          <w:p>
            <w:pPr>
              <w:jc w:val="left"/>
            </w:pPr>
            <w:r>
              <w:rPr>
                <w:rFonts w:ascii="Calibri" w:hAnsi="Calibri"/>
                <w:color w:val="282C34"/>
                <w:sz w:val="19"/>
              </w:rPr>
              <w:t>&lt; 2 Minutes Automated</w:t>
            </w:r>
          </w:p>
        </w:tc>
        <w:tc>
          <w:tcPr>
            <w:tcW w:type="dxa" w:w="2160"/>
            <w:shd w:fill="F4F6F9"/>
            <w:tcMar>
              <w:top w:w="100" w:type="dxa"/>
              <w:bottom w:w="100" w:type="dxa"/>
              <w:left w:w="120" w:type="dxa"/>
              <w:right w:w="120" w:type="dxa"/>
            </w:tcMar>
          </w:tcPr>
          <w:p>
            <w:pPr>
              <w:jc w:val="left"/>
            </w:pPr>
            <w:r>
              <w:rPr>
                <w:rFonts w:ascii="Calibri" w:hAnsi="Calibri"/>
                <w:color w:val="282C34"/>
                <w:sz w:val="19"/>
              </w:rPr>
              <w:t>99% Reduction</w:t>
            </w:r>
          </w:p>
        </w:tc>
      </w:tr>
      <w:tr>
        <w:tc>
          <w:tcPr>
            <w:tcW w:type="dxa" w:w="2880"/>
            <w:shd w:fill="FFFFFF"/>
            <w:tcMar>
              <w:top w:w="100" w:type="dxa"/>
              <w:bottom w:w="100" w:type="dxa"/>
              <w:left w:w="120" w:type="dxa"/>
              <w:right w:w="120" w:type="dxa"/>
            </w:tcMar>
          </w:tcPr>
          <w:p>
            <w:pPr>
              <w:jc w:val="left"/>
            </w:pPr>
            <w:r>
              <w:rPr>
                <w:rFonts w:ascii="Calibri" w:hAnsi="Calibri"/>
                <w:color w:val="282C34"/>
                <w:sz w:val="19"/>
              </w:rPr>
              <w:t>Test Coverage Across Artifacts</w:t>
            </w:r>
          </w:p>
        </w:tc>
        <w:tc>
          <w:tcPr>
            <w:tcW w:type="dxa" w:w="2160"/>
            <w:shd w:fill="FFFFFF"/>
            <w:tcMar>
              <w:top w:w="100" w:type="dxa"/>
              <w:bottom w:w="100" w:type="dxa"/>
              <w:left w:w="120" w:type="dxa"/>
              <w:right w:w="120" w:type="dxa"/>
            </w:tcMar>
          </w:tcPr>
          <w:p>
            <w:pPr>
              <w:jc w:val="left"/>
            </w:pPr>
            <w:r>
              <w:rPr>
                <w:rFonts w:ascii="Calibri" w:hAnsi="Calibri"/>
                <w:color w:val="282C34"/>
                <w:sz w:val="19"/>
              </w:rPr>
              <w:t>50-60% Manual QA</w:t>
            </w:r>
          </w:p>
        </w:tc>
        <w:tc>
          <w:tcPr>
            <w:tcW w:type="dxa" w:w="2160"/>
            <w:shd w:fill="FFFFFF"/>
            <w:tcMar>
              <w:top w:w="100" w:type="dxa"/>
              <w:bottom w:w="100" w:type="dxa"/>
              <w:left w:w="120" w:type="dxa"/>
              <w:right w:w="120" w:type="dxa"/>
            </w:tcMar>
          </w:tcPr>
          <w:p>
            <w:pPr>
              <w:jc w:val="left"/>
            </w:pPr>
            <w:r>
              <w:rPr>
                <w:rFonts w:ascii="Calibri" w:hAnsi="Calibri"/>
                <w:color w:val="282C34"/>
                <w:sz w:val="19"/>
              </w:rPr>
              <w:t>95%+ Automated Suite</w:t>
            </w:r>
          </w:p>
        </w:tc>
        <w:tc>
          <w:tcPr>
            <w:tcW w:type="dxa" w:w="2160"/>
            <w:shd w:fill="FFFFFF"/>
            <w:tcMar>
              <w:top w:w="100" w:type="dxa"/>
              <w:bottom w:w="100" w:type="dxa"/>
              <w:left w:w="120" w:type="dxa"/>
              <w:right w:w="120" w:type="dxa"/>
            </w:tcMar>
          </w:tcPr>
          <w:p>
            <w:pPr>
              <w:jc w:val="left"/>
            </w:pPr>
            <w:r>
              <w:rPr>
                <w:rFonts w:ascii="Calibri" w:hAnsi="Calibri"/>
                <w:color w:val="282C34"/>
                <w:sz w:val="19"/>
              </w:rPr>
              <w:t>+35% Improvement</w:t>
            </w:r>
          </w:p>
        </w:tc>
      </w:tr>
      <w:tr>
        <w:tc>
          <w:tcPr>
            <w:tcW w:type="dxa" w:w="2880"/>
            <w:shd w:fill="F4F6F9"/>
            <w:tcMar>
              <w:top w:w="100" w:type="dxa"/>
              <w:bottom w:w="100" w:type="dxa"/>
              <w:left w:w="120" w:type="dxa"/>
              <w:right w:w="120" w:type="dxa"/>
            </w:tcMar>
          </w:tcPr>
          <w:p>
            <w:pPr>
              <w:jc w:val="left"/>
            </w:pPr>
            <w:r>
              <w:rPr>
                <w:rFonts w:ascii="Calibri" w:hAnsi="Calibri"/>
                <w:color w:val="282C34"/>
                <w:sz w:val="19"/>
              </w:rPr>
              <w:t>Executive Presentation Video Creation</w:t>
            </w:r>
          </w:p>
        </w:tc>
        <w:tc>
          <w:tcPr>
            <w:tcW w:type="dxa" w:w="2160"/>
            <w:shd w:fill="F4F6F9"/>
            <w:tcMar>
              <w:top w:w="100" w:type="dxa"/>
              <w:bottom w:w="100" w:type="dxa"/>
              <w:left w:w="120" w:type="dxa"/>
              <w:right w:w="120" w:type="dxa"/>
            </w:tcMar>
          </w:tcPr>
          <w:p>
            <w:pPr>
              <w:jc w:val="left"/>
            </w:pPr>
            <w:r>
              <w:rPr>
                <w:rFonts w:ascii="Calibri" w:hAnsi="Calibri"/>
                <w:color w:val="282C34"/>
                <w:sz w:val="19"/>
              </w:rPr>
              <w:t>2 Days Manual Design</w:t>
            </w:r>
          </w:p>
        </w:tc>
        <w:tc>
          <w:tcPr>
            <w:tcW w:type="dxa" w:w="2160"/>
            <w:shd w:fill="F4F6F9"/>
            <w:tcMar>
              <w:top w:w="100" w:type="dxa"/>
              <w:bottom w:w="100" w:type="dxa"/>
              <w:left w:w="120" w:type="dxa"/>
              <w:right w:w="120" w:type="dxa"/>
            </w:tcMar>
          </w:tcPr>
          <w:p>
            <w:pPr>
              <w:jc w:val="left"/>
            </w:pPr>
            <w:r>
              <w:rPr>
                <w:rFonts w:ascii="Calibri" w:hAnsi="Calibri"/>
                <w:color w:val="282C34"/>
                <w:sz w:val="19"/>
              </w:rPr>
              <w:t>&lt; 6 Minutes Automated</w:t>
            </w:r>
          </w:p>
        </w:tc>
        <w:tc>
          <w:tcPr>
            <w:tcW w:type="dxa" w:w="2160"/>
            <w:shd w:fill="F4F6F9"/>
            <w:tcMar>
              <w:top w:w="100" w:type="dxa"/>
              <w:bottom w:w="100" w:type="dxa"/>
              <w:left w:w="120" w:type="dxa"/>
              <w:right w:w="120" w:type="dxa"/>
            </w:tcMar>
          </w:tcPr>
          <w:p>
            <w:pPr>
              <w:jc w:val="left"/>
            </w:pPr>
            <w:r>
              <w:rPr>
                <w:rFonts w:ascii="Calibri" w:hAnsi="Calibri"/>
                <w:color w:val="282C34"/>
                <w:sz w:val="19"/>
              </w:rPr>
              <w:t>96% Reduction</w:t>
            </w:r>
          </w:p>
        </w:tc>
      </w:tr>
    </w:tbl>
    <w:p>
      <w:pPr>
        <w:pStyle w:val="Heading1"/>
        <w:keepNext/>
        <w:spacing w:before="280" w:after="120"/>
      </w:pPr>
      <w:r>
        <w:rPr>
          <w:rFonts w:ascii="Arial" w:hAnsi="Arial"/>
          <w:b/>
          <w:color w:val="0B132B"/>
          <w:sz w:val="40"/>
        </w:rPr>
        <w:t>Chapter 9 — Challenges Faced &amp; Solutions Implemented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B132B"/>
            <w:tcMar>
              <w:top w:w="140" w:type="dxa"/>
              <w:bottom w:w="140" w:type="dxa"/>
              <w:left w:w="140" w:type="dxa"/>
              <w:right w:w="140" w:type="dxa"/>
            </w:tcMar>
          </w:tcPr>
          <w:p>
            <w:pPr>
              <w:jc w:val="left"/>
            </w:pPr>
            <w:r>
              <w:rPr>
                <w:rFonts w:ascii="Arial" w:hAnsi="Arial"/>
                <w:b/>
                <w:color w:val="FFE600"/>
                <w:sz w:val="20"/>
              </w:rPr>
              <w:t>Identified Technical Challenge</w:t>
            </w:r>
          </w:p>
        </w:tc>
        <w:tc>
          <w:tcPr>
            <w:tcW w:type="dxa" w:w="3312"/>
            <w:shd w:fill="0B132B"/>
            <w:tcMar>
              <w:top w:w="140" w:type="dxa"/>
              <w:bottom w:w="140" w:type="dxa"/>
              <w:left w:w="140" w:type="dxa"/>
              <w:right w:w="140" w:type="dxa"/>
            </w:tcMar>
          </w:tcPr>
          <w:p>
            <w:pPr>
              <w:jc w:val="left"/>
            </w:pPr>
            <w:r>
              <w:rPr>
                <w:rFonts w:ascii="Arial" w:hAnsi="Arial"/>
                <w:b/>
                <w:color w:val="FFE600"/>
                <w:sz w:val="20"/>
              </w:rPr>
              <w:t>Root Cause &amp; Impact</w:t>
            </w:r>
          </w:p>
        </w:tc>
        <w:tc>
          <w:tcPr>
            <w:tcW w:type="dxa" w:w="3456"/>
            <w:shd w:fill="0B132B"/>
            <w:tcMar>
              <w:top w:w="140" w:type="dxa"/>
              <w:bottom w:w="140" w:type="dxa"/>
              <w:left w:w="140" w:type="dxa"/>
              <w:right w:w="140" w:type="dxa"/>
            </w:tcMar>
          </w:tcPr>
          <w:p>
            <w:pPr>
              <w:jc w:val="left"/>
            </w:pPr>
            <w:r>
              <w:rPr>
                <w:rFonts w:ascii="Arial" w:hAnsi="Arial"/>
                <w:b/>
                <w:color w:val="FFE600"/>
                <w:sz w:val="20"/>
              </w:rPr>
              <w:t>Engineering Solution Implemented</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Cross-Discipline Artifact Drift</w:t>
            </w:r>
          </w:p>
        </w:tc>
        <w:tc>
          <w:tcPr>
            <w:tcW w:type="dxa" w:w="3312"/>
            <w:shd w:fill="FFFFFF"/>
            <w:tcMar>
              <w:top w:w="100" w:type="dxa"/>
              <w:bottom w:w="100" w:type="dxa"/>
              <w:left w:w="120" w:type="dxa"/>
              <w:right w:w="120" w:type="dxa"/>
            </w:tcMar>
          </w:tcPr>
          <w:p>
            <w:pPr>
              <w:jc w:val="left"/>
            </w:pPr>
            <w:r>
              <w:rPr>
                <w:rFonts w:ascii="Calibri" w:hAnsi="Calibri"/>
                <w:color w:val="282C34"/>
                <w:sz w:val="19"/>
              </w:rPr>
              <w:t>Independent agents generated mismatched API schemas and ER models.</w:t>
            </w:r>
          </w:p>
        </w:tc>
        <w:tc>
          <w:tcPr>
            <w:tcW w:type="dxa" w:w="3456"/>
            <w:shd w:fill="FFFFFF"/>
            <w:tcMar>
              <w:top w:w="100" w:type="dxa"/>
              <w:bottom w:w="100" w:type="dxa"/>
              <w:left w:w="120" w:type="dxa"/>
              <w:right w:w="120" w:type="dxa"/>
            </w:tcMar>
          </w:tcPr>
          <w:p>
            <w:pPr>
              <w:jc w:val="left"/>
            </w:pPr>
            <w:r>
              <w:rPr>
                <w:rFonts w:ascii="Calibri" w:hAnsi="Calibri"/>
                <w:color w:val="282C34"/>
                <w:sz w:val="19"/>
              </w:rPr>
              <w:t>Architected Centralized Memory Agent as single source of truth in PostgreSQL.</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UI Narration Script Overwrites</w:t>
            </w:r>
          </w:p>
        </w:tc>
        <w:tc>
          <w:tcPr>
            <w:tcW w:type="dxa" w:w="3312"/>
            <w:shd w:fill="F4F6F9"/>
            <w:tcMar>
              <w:top w:w="100" w:type="dxa"/>
              <w:bottom w:w="100" w:type="dxa"/>
              <w:left w:w="120" w:type="dxa"/>
              <w:right w:w="120" w:type="dxa"/>
            </w:tcMar>
          </w:tcPr>
          <w:p>
            <w:pPr>
              <w:jc w:val="left"/>
            </w:pPr>
            <w:r>
              <w:rPr>
                <w:rFonts w:ascii="Calibri" w:hAnsi="Calibri"/>
                <w:color w:val="282C34"/>
                <w:sz w:val="19"/>
              </w:rPr>
              <w:t>Script Editor overwritten user edits with original AI text upon reload.</w:t>
            </w:r>
          </w:p>
        </w:tc>
        <w:tc>
          <w:tcPr>
            <w:tcW w:type="dxa" w:w="3456"/>
            <w:shd w:fill="F4F6F9"/>
            <w:tcMar>
              <w:top w:w="100" w:type="dxa"/>
              <w:bottom w:w="100" w:type="dxa"/>
              <w:left w:w="120" w:type="dxa"/>
              <w:right w:w="120" w:type="dxa"/>
            </w:tcMar>
          </w:tcPr>
          <w:p>
            <w:pPr>
              <w:jc w:val="left"/>
            </w:pPr>
            <w:r>
              <w:rPr>
                <w:rFonts w:ascii="Calibri" w:hAnsi="Calibri"/>
                <w:color w:val="282C34"/>
                <w:sz w:val="19"/>
              </w:rPr>
              <w:t>Implemented direct per-slide state binding and PostgreSQL persistence in presentation_routes.py.</w:t>
            </w:r>
          </w:p>
        </w:tc>
      </w:tr>
      <w:tr>
        <w:tc>
          <w:tcPr>
            <w:tcW w:type="dxa" w:w="2592"/>
            <w:shd w:fill="FFFFFF"/>
            <w:tcMar>
              <w:top w:w="100" w:type="dxa"/>
              <w:bottom w:w="100" w:type="dxa"/>
              <w:left w:w="120" w:type="dxa"/>
              <w:right w:w="120" w:type="dxa"/>
            </w:tcMar>
          </w:tcPr>
          <w:p>
            <w:pPr>
              <w:jc w:val="left"/>
            </w:pPr>
            <w:r>
              <w:rPr>
                <w:rFonts w:ascii="Calibri" w:hAnsi="Calibri"/>
                <w:color w:val="282C34"/>
                <w:sz w:val="19"/>
              </w:rPr>
              <w:t>LLM Vendor Rate Limits &amp; Outages</w:t>
            </w:r>
          </w:p>
        </w:tc>
        <w:tc>
          <w:tcPr>
            <w:tcW w:type="dxa" w:w="3312"/>
            <w:shd w:fill="FFFFFF"/>
            <w:tcMar>
              <w:top w:w="100" w:type="dxa"/>
              <w:bottom w:w="100" w:type="dxa"/>
              <w:left w:w="120" w:type="dxa"/>
              <w:right w:w="120" w:type="dxa"/>
            </w:tcMar>
          </w:tcPr>
          <w:p>
            <w:pPr>
              <w:jc w:val="left"/>
            </w:pPr>
            <w:r>
              <w:rPr>
                <w:rFonts w:ascii="Calibri" w:hAnsi="Calibri"/>
                <w:color w:val="282C34"/>
                <w:sz w:val="19"/>
              </w:rPr>
              <w:t>Third-party cloud APIs occasionally rate-limited long agent runs.</w:t>
            </w:r>
          </w:p>
        </w:tc>
        <w:tc>
          <w:tcPr>
            <w:tcW w:type="dxa" w:w="3456"/>
            <w:shd w:fill="FFFFFF"/>
            <w:tcMar>
              <w:top w:w="100" w:type="dxa"/>
              <w:bottom w:w="100" w:type="dxa"/>
              <w:left w:w="120" w:type="dxa"/>
              <w:right w:w="120" w:type="dxa"/>
            </w:tcMar>
          </w:tcPr>
          <w:p>
            <w:pPr>
              <w:jc w:val="left"/>
            </w:pPr>
            <w:r>
              <w:rPr>
                <w:rFonts w:ascii="Calibri" w:hAnsi="Calibri"/>
                <w:color w:val="282C34"/>
                <w:sz w:val="19"/>
              </w:rPr>
              <w:t>Engineered multi-tier BYOK router with graceful fallback to local Ollama models.</w:t>
            </w:r>
          </w:p>
        </w:tc>
      </w:tr>
      <w:tr>
        <w:tc>
          <w:tcPr>
            <w:tcW w:type="dxa" w:w="2592"/>
            <w:shd w:fill="F4F6F9"/>
            <w:tcMar>
              <w:top w:w="100" w:type="dxa"/>
              <w:bottom w:w="100" w:type="dxa"/>
              <w:left w:w="120" w:type="dxa"/>
              <w:right w:w="120" w:type="dxa"/>
            </w:tcMar>
          </w:tcPr>
          <w:p>
            <w:pPr>
              <w:jc w:val="left"/>
            </w:pPr>
            <w:r>
              <w:rPr>
                <w:rFonts w:ascii="Calibri" w:hAnsi="Calibri"/>
                <w:color w:val="282C34"/>
                <w:sz w:val="19"/>
              </w:rPr>
              <w:t>Audio/Video Lip-Sync Desynchronization</w:t>
            </w:r>
          </w:p>
        </w:tc>
        <w:tc>
          <w:tcPr>
            <w:tcW w:type="dxa" w:w="3312"/>
            <w:shd w:fill="F4F6F9"/>
            <w:tcMar>
              <w:top w:w="100" w:type="dxa"/>
              <w:bottom w:w="100" w:type="dxa"/>
              <w:left w:w="120" w:type="dxa"/>
              <w:right w:w="120" w:type="dxa"/>
            </w:tcMar>
          </w:tcPr>
          <w:p>
            <w:pPr>
              <w:jc w:val="left"/>
            </w:pPr>
            <w:r>
              <w:rPr>
                <w:rFonts w:ascii="Calibri" w:hAnsi="Calibri"/>
                <w:color w:val="282C34"/>
                <w:sz w:val="19"/>
              </w:rPr>
              <w:t>TTS audio durations mismatched slide video lengths during composition.</w:t>
            </w:r>
          </w:p>
        </w:tc>
        <w:tc>
          <w:tcPr>
            <w:tcW w:type="dxa" w:w="3456"/>
            <w:shd w:fill="F4F6F9"/>
            <w:tcMar>
              <w:top w:w="100" w:type="dxa"/>
              <w:bottom w:w="100" w:type="dxa"/>
              <w:left w:w="120" w:type="dxa"/>
              <w:right w:w="120" w:type="dxa"/>
            </w:tcMar>
          </w:tcPr>
          <w:p>
            <w:pPr>
              <w:jc w:val="left"/>
            </w:pPr>
            <w:r>
              <w:rPr>
                <w:rFonts w:ascii="Calibri" w:hAnsi="Calibri"/>
                <w:color w:val="282C34"/>
                <w:sz w:val="19"/>
              </w:rPr>
              <w:t>Implemented dynamic frame-rate calculation and audio-driven clip duration scaling in FFmpeg.</w:t>
            </w:r>
          </w:p>
        </w:tc>
      </w:tr>
    </w:tbl>
    <w:p>
      <w:pPr>
        <w:pStyle w:val="Heading1"/>
        <w:keepNext/>
        <w:spacing w:before="280" w:after="120"/>
      </w:pPr>
      <w:r>
        <w:rPr>
          <w:rFonts w:ascii="Arial" w:hAnsi="Arial"/>
          <w:b/>
          <w:color w:val="0B132B"/>
          <w:sz w:val="40"/>
        </w:rPr>
        <w:t>Chapter 10 — Professional Reflection &amp; Learning Outcomes</w:t>
      </w:r>
    </w:p>
    <w:p>
      <w:pPr>
        <w:spacing w:before="0" w:after="120" w:line="276" w:lineRule="auto"/>
      </w:pPr>
      <w:r>
        <w:rPr>
          <w:rFonts w:ascii="Calibri" w:hAnsi="Calibri"/>
          <w:color w:val="282C34"/>
          <w:sz w:val="22"/>
        </w:rPr>
        <w:t>Working on this enterprise AI initiative provided immense professional growth across full-stack engineering, artificial intelligence system design, and enterprise software architecture. Key takeaways include:</w:t>
      </w:r>
    </w:p>
    <w:p>
      <w:pPr>
        <w:spacing w:before="0" w:after="120" w:line="276" w:lineRule="auto"/>
      </w:pPr>
      <w:r>
        <w:rPr>
          <w:rFonts w:ascii="Calibri" w:hAnsi="Calibri"/>
          <w:b/>
          <w:color w:val="1A1D20"/>
          <w:sz w:val="22"/>
        </w:rPr>
        <w:t xml:space="preserve">• Agentic AI System Design: </w:t>
      </w:r>
      <w:r>
        <w:rPr>
          <w:rFonts w:ascii="Calibri" w:hAnsi="Calibri"/>
          <w:color w:val="282C34"/>
          <w:sz w:val="22"/>
        </w:rPr>
        <w:t>Gained practical experience in orchestrating multi-agent networks, prompt engineering, and structured output formatting.</w:t>
      </w:r>
    </w:p>
    <w:p>
      <w:pPr>
        <w:spacing w:before="0" w:after="120" w:line="276" w:lineRule="auto"/>
      </w:pPr>
      <w:r>
        <w:rPr>
          <w:rFonts w:ascii="Calibri" w:hAnsi="Calibri"/>
          <w:b/>
          <w:color w:val="1A1D20"/>
          <w:sz w:val="22"/>
        </w:rPr>
        <w:t xml:space="preserve">• Full-Stack Microservice Architecture: </w:t>
      </w:r>
      <w:r>
        <w:rPr>
          <w:rFonts w:ascii="Calibri" w:hAnsi="Calibri"/>
          <w:color w:val="282C34"/>
          <w:sz w:val="22"/>
        </w:rPr>
        <w:t>Strengthened skills in React 18, TypeScript, FastAPI async services, WebSockets, and PostgreSQL database optimization.</w:t>
      </w:r>
    </w:p>
    <w:p>
      <w:pPr>
        <w:spacing w:before="0" w:after="120" w:line="276" w:lineRule="auto"/>
      </w:pPr>
      <w:r>
        <w:rPr>
          <w:rFonts w:ascii="Calibri" w:hAnsi="Calibri"/>
          <w:b/>
          <w:color w:val="1A1D20"/>
          <w:sz w:val="22"/>
        </w:rPr>
        <w:t xml:space="preserve">• Enterprise Governance &amp; Compliance: </w:t>
      </w:r>
      <w:r>
        <w:rPr>
          <w:rFonts w:ascii="Calibri" w:hAnsi="Calibri"/>
          <w:color w:val="282C34"/>
          <w:sz w:val="22"/>
        </w:rPr>
        <w:t>Understood the imperative of designing transparent, auditable AI systems with human-in-the-loop oversight for high-consequence corporate environments.</w:t>
      </w:r>
    </w:p>
    <w:p>
      <w:pPr>
        <w:spacing w:before="0" w:after="120" w:line="276" w:lineRule="auto"/>
      </w:pPr>
      <w:r>
        <w:rPr>
          <w:rFonts w:ascii="Calibri" w:hAnsi="Calibri"/>
          <w:b/>
          <w:color w:val="1A1D20"/>
          <w:sz w:val="22"/>
        </w:rPr>
        <w:t xml:space="preserve">• Multimedia &amp; Media Engineering: </w:t>
      </w:r>
      <w:r>
        <w:rPr>
          <w:rFonts w:ascii="Calibri" w:hAnsi="Calibri"/>
          <w:color w:val="282C34"/>
          <w:sz w:val="22"/>
        </w:rPr>
        <w:t>Acquired hands-on expertise in automated PPTX generation, TTS audio synthesis, and FFmpeg video pipeline rendering.</w:t>
      </w:r>
    </w:p>
    <w:p>
      <w:pPr>
        <w:pStyle w:val="Heading1"/>
        <w:keepNext/>
        <w:spacing w:before="280" w:after="120"/>
      </w:pPr>
      <w:r>
        <w:rPr>
          <w:rFonts w:ascii="Arial" w:hAnsi="Arial"/>
          <w:b/>
          <w:color w:val="0B132B"/>
          <w:sz w:val="40"/>
        </w:rPr>
        <w:t>Chapter 11 — Future Roadmap &amp; Enhancements</w:t>
      </w:r>
    </w:p>
    <w:p>
      <w:pPr>
        <w:spacing w:before="0" w:after="120" w:line="276" w:lineRule="auto"/>
      </w:pPr>
      <w:r>
        <w:rPr>
          <w:rFonts w:ascii="Calibri" w:hAnsi="Calibri"/>
          <w:color w:val="282C34"/>
          <w:sz w:val="22"/>
        </w:rPr>
        <w:t>Future planned developments for the platform include:</w:t>
      </w:r>
    </w:p>
    <w:p>
      <w:pPr>
        <w:spacing w:before="0" w:after="120" w:line="276" w:lineRule="auto"/>
      </w:pPr>
      <w:r>
        <w:rPr>
          <w:rFonts w:ascii="Calibri" w:hAnsi="Calibri"/>
          <w:b/>
          <w:color w:val="1A1D20"/>
          <w:sz w:val="22"/>
        </w:rPr>
        <w:t xml:space="preserve">• 1. Autonomous Cloud Deployment Execution: </w:t>
      </w:r>
      <w:r>
        <w:rPr>
          <w:rFonts w:ascii="Calibri" w:hAnsi="Calibri"/>
          <w:color w:val="282C34"/>
          <w:sz w:val="22"/>
        </w:rPr>
        <w:t>Extending the Deployment Agent to directly provision GCP Cloud Run and AWS ECS clusters via Terraform scripts.</w:t>
      </w:r>
    </w:p>
    <w:p>
      <w:pPr>
        <w:spacing w:before="0" w:after="120" w:line="276" w:lineRule="auto"/>
      </w:pPr>
      <w:r>
        <w:rPr>
          <w:rFonts w:ascii="Calibri" w:hAnsi="Calibri"/>
          <w:b/>
          <w:color w:val="1A1D20"/>
          <w:sz w:val="22"/>
        </w:rPr>
        <w:t xml:space="preserve">• 2. Interactive Real-Time Multi-User Collaboration: </w:t>
      </w:r>
      <w:r>
        <w:rPr>
          <w:rFonts w:ascii="Calibri" w:hAnsi="Calibri"/>
          <w:color w:val="282C34"/>
          <w:sz w:val="22"/>
        </w:rPr>
        <w:t>Adding WebSockets-based co-editing across workspaces, allowing multiple human reviewers to collaborate simultaneously.</w:t>
      </w:r>
    </w:p>
    <w:p>
      <w:pPr>
        <w:spacing w:before="0" w:after="120" w:line="276" w:lineRule="auto"/>
      </w:pPr>
      <w:r>
        <w:rPr>
          <w:rFonts w:ascii="Calibri" w:hAnsi="Calibri"/>
          <w:b/>
          <w:color w:val="1A1D20"/>
          <w:sz w:val="22"/>
        </w:rPr>
        <w:t xml:space="preserve">• 3. Advanced Code Refactoring &amp; Self-Healing QA: </w:t>
      </w:r>
      <w:r>
        <w:rPr>
          <w:rFonts w:ascii="Calibri" w:hAnsi="Calibri"/>
          <w:color w:val="282C34"/>
          <w:sz w:val="22"/>
        </w:rPr>
        <w:t>Enabling QA agents to automatically re-feed test failures into the Code Agent to auto-fix bug regressions in real-time.</w:t>
      </w:r>
    </w:p>
    <w:p>
      <w:pPr>
        <w:pStyle w:val="Heading1"/>
        <w:keepNext/>
        <w:spacing w:before="280" w:after="120"/>
      </w:pPr>
      <w:r>
        <w:rPr>
          <w:rFonts w:ascii="Arial" w:hAnsi="Arial"/>
          <w:b/>
          <w:color w:val="0B132B"/>
          <w:sz w:val="40"/>
        </w:rPr>
        <w:t>Chapter 12 — Conclusion</w:t>
      </w:r>
    </w:p>
    <w:p>
      <w:pPr>
        <w:spacing w:before="0" w:after="120" w:line="276" w:lineRule="auto"/>
      </w:pPr>
      <w:r>
        <w:rPr>
          <w:rFonts w:ascii="Calibri" w:hAnsi="Calibri"/>
          <w:color w:val="282C34"/>
          <w:sz w:val="22"/>
        </w:rPr>
        <w:t>The Autonomous Multi-Agent SDLC Platform successfully demonstrates that a coordinated network of specialized AI agents, operating under strict human governance and centralized project memory, can automate complex software engineering workflows end-to-end. By reducing delivery lead times by 85% while enforcing 100% auditability and compliance, the platform provides a practical, scalable blueprint for enterprise software delivery automation at Ernst &amp; Young.</w:t>
      </w:r>
    </w:p>
    <w:p>
      <w:pPr>
        <w:pStyle w:val="Heading1"/>
        <w:keepNext/>
        <w:spacing w:before="280" w:after="120"/>
      </w:pPr>
      <w:r>
        <w:rPr>
          <w:rFonts w:ascii="Arial" w:hAnsi="Arial"/>
          <w:b/>
          <w:color w:val="0B132B"/>
          <w:sz w:val="40"/>
        </w:rPr>
        <w:t>References &amp; Bibliography</w:t>
      </w:r>
    </w:p>
    <w:p>
      <w:pPr>
        <w:spacing w:before="0" w:after="80" w:line="276" w:lineRule="auto"/>
      </w:pPr>
      <w:r>
        <w:rPr>
          <w:rFonts w:ascii="Calibri" w:hAnsi="Calibri"/>
          <w:color w:val="282C34"/>
          <w:sz w:val="22"/>
        </w:rPr>
        <w:t>[1] P. Lewis et al., 'Retrieval-Augmented Generation for Knowledge-Intensive NLP Tasks,' in NeurIPS, 2020.</w:t>
      </w:r>
    </w:p>
    <w:p>
      <w:pPr>
        <w:spacing w:before="0" w:after="80" w:line="276" w:lineRule="auto"/>
      </w:pPr>
      <w:r>
        <w:rPr>
          <w:rFonts w:ascii="Calibri" w:hAnsi="Calibri"/>
          <w:color w:val="282C34"/>
          <w:sz w:val="22"/>
        </w:rPr>
        <w:t>[2] FastAPI Documentation, 'FastAPI Framework for High-Performance Python Web APIs,' 2026.</w:t>
      </w:r>
    </w:p>
    <w:p>
      <w:pPr>
        <w:spacing w:before="0" w:after="80" w:line="276" w:lineRule="auto"/>
      </w:pPr>
      <w:r>
        <w:rPr>
          <w:rFonts w:ascii="Calibri" w:hAnsi="Calibri"/>
          <w:color w:val="282C34"/>
          <w:sz w:val="22"/>
        </w:rPr>
        <w:t>[3] React Documentation, 'React 18 &amp; TypeScript Single Page Application Architecture,' 2026.</w:t>
      </w:r>
    </w:p>
    <w:p>
      <w:pPr>
        <w:spacing w:before="0" w:after="80" w:line="276" w:lineRule="auto"/>
      </w:pPr>
      <w:r>
        <w:rPr>
          <w:rFonts w:ascii="Calibri" w:hAnsi="Calibri"/>
          <w:color w:val="282C34"/>
          <w:sz w:val="22"/>
        </w:rPr>
        <w:t>[4] PostgreSQL Global Development Group, 'PostgreSQL 15 Relational Database Documentation,' 2026.</w:t>
      </w:r>
    </w:p>
    <w:p>
      <w:pPr>
        <w:spacing w:before="0" w:after="80" w:line="276" w:lineRule="auto"/>
      </w:pPr>
      <w:r>
        <w:rPr>
          <w:rFonts w:ascii="Calibri" w:hAnsi="Calibri"/>
          <w:color w:val="282C34"/>
          <w:sz w:val="22"/>
        </w:rPr>
        <w:t>[5] OWASP Foundation, 'OWASP Secure Software Development Guidelines &amp; Top 10,'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828C"/>
        <w:sz w:val="17"/>
      </w:rPr>
      <w:t>Enterprise Internship Project Report — Bhumika (Roll No. 2416512) | Ernst &amp; Young LLP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EY Technology Consulting | Multi-Agent Autonomous SDLC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