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Kelpwright Instruments — Preguntas frecuentes de soporte</w:t>
      </w:r>
    </w:p>
    <w:p>
      <w:r>
        <w:t>Edición en español. Documento sintético de prueba.</w:t>
      </w:r>
    </w:p>
    <w:p>
      <w:pPr>
        <w:pStyle w:val="Heading1"/>
      </w:pPr>
      <w:r>
        <w:t>Calibración</w:t>
      </w:r>
    </w:p>
    <w:p>
      <w:r>
        <w:t>El intervalo de calibración recomendado es de 12 meses. Los instrumentos en uso continuo en campo deben calibrarse cada 6 meses.</w:t>
      </w:r>
    </w:p>
    <w:p>
      <w:pPr>
        <w:pStyle w:val="Heading1"/>
      </w:pPr>
      <w:r>
        <w:t>Devoluciones (RMA)</w:t>
      </w:r>
    </w:p>
    <w:p>
      <w:r>
        <w:t>Las solicitudes de RMA deben presentarse en un plazo de 14 días desde la detección del fallo. Debe emitirse un número de RMA antes de enviar un instrumento de vuelta.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Preguntas frecuentes de soporte</dc:title>
  <dc:subject/>
  <dc:creator>Kelpwright Instruments (synthetic corpus generator)</dc:creator>
  <cp:keywords/>
  <dc:description>generated by python-docx</dc:description>
  <cp:lastModifiedBy>Kelpwright Instruments (synthetic corpus generator)</cp:lastModifiedBy>
  <cp:revision>1</cp:revision>
  <dcterms:created xsi:type="dcterms:W3CDTF">2026-01-01T00:00:00Z</dcterms:created>
  <dcterms:modified xsi:type="dcterms:W3CDTF">2026-01-01T00:00:00Z</dcterms:modified>
  <cp:category/>
</cp:coreProperties>
</file>