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Expenses Policy — Version 3</w:t>
      </w:r>
    </w:p>
    <w:p>
      <w:r>
        <w:t>Effective 2026-04-01. Supersedes the policy dated 2025-01-15.</w:t>
      </w:r>
    </w:p>
    <w:p>
      <w:r>
        <w:t>Next scheduled review: 2028-04-01 (this policy is reviewed every 24 months).</w:t>
      </w:r>
    </w:p>
    <w:p>
      <w:pPr>
        <w:pStyle w:val="Heading1"/>
      </w:pPr>
      <w:r>
        <w:t>1. Scope</w:t>
      </w:r>
    </w:p>
    <w:p>
      <w:r>
        <w:t>This policy applies to all employees and to contractors travelling at Kelpwright's request. It governs travel, subsistence and the reimbursement of related costs.</w:t>
      </w:r>
    </w:p>
    <w:p>
      <w:pPr>
        <w:pStyle w:val="Heading1"/>
      </w:pPr>
      <w:r>
        <w:t>2. Approval</w:t>
      </w:r>
    </w:p>
    <w:p>
      <w:r>
        <w:t>Advance written approval is required for any single trip whose total estimated cost exceeds 1,200 EUR. The estimate includes transport, accommodation and subsistence.</w:t>
      </w:r>
    </w:p>
    <w:p>
      <w:r>
        <w:t>Approval is given by the line manager and is recorded before the booking is made. A booking made before approval is at the traveller's own risk.</w:t>
      </w:r>
    </w:p>
    <w:p>
      <w:pPr>
        <w:pStyle w:val="Heading1"/>
      </w:pPr>
      <w:r>
        <w:t>3. Air travel</w:t>
      </w:r>
    </w:p>
    <w:p>
      <w:r>
        <w:t>Economy class is mandatory where the scheduled flight time is under 6 hours. Premium economy is permitted where the scheduled flight time is 6 hours or more. Business class requires an executive exception.</w:t>
      </w:r>
    </w:p>
    <w:p>
      <w:pPr>
        <w:pStyle w:val="Heading1"/>
      </w:pPr>
      <w:r>
        <w:t>4. Subsistence (per diem)</w:t>
      </w:r>
    </w:p>
    <w:p>
      <w:r>
        <w:t>Effective 2026-04-01, the subsistence rates are 62 EUR per day for domestic travel and 88 EUR per day for international travel. A half rate applies on the day of departure and on the day of return.</w:t>
      </w:r>
    </w:p>
    <w:p>
      <w:r>
        <w:t>Subsistence is a flat allowance. Receipts are not required for it, and meals provided as part of a conference or by a customer are deducted from the day's allowance.</w:t>
      </w:r>
    </w:p>
    <w:p>
      <w:pPr>
        <w:pStyle w:val="Heading1"/>
      </w:pPr>
      <w:r>
        <w:t>5. Private vehicle</w:t>
      </w:r>
    </w:p>
    <w:p>
      <w:r>
        <w:t>Use of a private vehicle is reimbursed at 0.34 EUR per kilometre, effective 2026-04-01. The distance claimed is the distance actually driven for the business purpose.</w:t>
      </w:r>
    </w:p>
    <w:p>
      <w:pPr>
        <w:pStyle w:val="Heading1"/>
      </w:pPr>
      <w:r>
        <w:t>6. Claims</w:t>
      </w:r>
    </w:p>
    <w:p>
      <w:r>
        <w:t>Claims must be submitted within 30 days of the trip end date. Claims submitted later than that require both line-manager and finance approval; they are not automatically refused.</w:t>
      </w:r>
    </w:p>
    <w:p>
      <w:pPr>
        <w:pStyle w:val="Heading1"/>
      </w:pPr>
      <w:r>
        <w:t>7. Accommodation</w:t>
      </w:r>
    </w:p>
    <w:p>
      <w:r>
        <w:t>Accommodation is booked through the corporate travel agent. Travellers select from the options the agent offers for the destination and dates.</w:t>
      </w:r>
    </w:p>
    <w:p>
      <w:pPr>
        <w:pStyle w:val="Heading1"/>
      </w:pPr>
      <w:r>
        <w:t>Appendix A — Superseded rates</w:t>
      </w:r>
    </w:p>
    <w:p>
      <w:r>
        <w:t>Rates applicable to travel completed before 2026-04-01 (policy dated 2025-01-15). The rates in this appendix apply only to travel completed before 2026-04-01 and are superseded for all travel completed on or after that date.</w:t>
      </w:r>
    </w:p>
    <w:p>
      <w:r>
        <w:t>Under the policy dated 2025-01-15, subsistence was 55 EUR per day for domestic travel and 80 EUR per day for international travel, and private vehicle use was reimbursed at 0.31 EUR per kilometre. These figures apply only to travel completed before 2026-04-01.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and Expenses Policy — Version 3</dc:title>
  <dc:subject/>
  <dc:creator>Kelpwright Instruments (synthetic corpus generator)</dc:creator>
  <cp:keywords/>
  <dc:description>generated by python-docx</dc:description>
  <cp:lastModifiedBy>Kelpwright Instruments (synthetic corpus generator)</cp:lastModifiedBy>
  <cp:revision>1</cp:revision>
  <dcterms:created xsi:type="dcterms:W3CDTF">2026-01-01T00:00:00Z</dcterms:created>
  <dcterms:modified xsi:type="dcterms:W3CDTF">2026-01-01T00:00:00Z</dcterms:modified>
  <cp:category/>
</cp:coreProperties>
</file>