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B02A2A" w:sz="12" w:space="2"/>
          <w:bottom w:val="single" w:color="B02A2A" w:sz="12" w:space="2"/>
          <w:left w:val="single" w:color="B02A2A" w:sz="12" w:space="4"/>
          <w:right w:val="single" w:color="B02A2A" w:sz="12" w:space="4"/>
        </w:pBdr>
        <w:spacing w:after="120"/>
        <w:jc w:val="center"/>
      </w:pPr>
      <w:r>
        <w:rPr>
          <w:rFonts w:ascii="Calibri" w:cs="Calibri" w:eastAsia="Calibri" w:hAnsi="Calibri"/>
          <w:b/>
          <w:bCs/>
          <w:color w:val="B02A2A"/>
          <w:sz w:val="18"/>
          <w:szCs w:val="18"/>
        </w:rPr>
        <w:t xml:space="preserve">DRAFT for review: this describes how a burner management system works and how it is to be used and tested. The times, set points, fault codes and devices of your furnaces must be filled in from the burner and furnace manufacturers' documents and checked by a competent combustion / gas engineer before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18"/>
        <w:gridCol w:w="1773"/>
        <w:gridCol w:w="1773"/>
        <w:gridCol w:w="1774"/>
      </w:tblGrid>
      <w:tr>
        <w:tc>
          <w:tcPr>
            <w:tcW w:type="dxa" w:w="431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color w:val="76838C"/>
                <w:sz w:val="15"/>
                <w:szCs w:val="15"/>
              </w:rPr>
              <w:t xml:space="preserve">MASS WIRE AND STEELS PVT. LTD. · BHIWADI</w:t>
            </w:r>
          </w:p>
          <w:p>
            <w:pPr>
              <w:spacing w:after="0" w:before="0"/>
            </w:pPr>
            <w:r>
              <w:rPr>
                <w:rFonts w:ascii="Calibri" w:cs="Calibri" w:eastAsia="Calibri" w:hAnsi="Calibri"/>
                <w:b/>
                <w:bCs/>
                <w:sz w:val="22"/>
                <w:szCs w:val="22"/>
              </w:rPr>
              <w:t xml:space="preserve">Work instruction · Burner management system and burner sequence</w:t>
            </w:r>
          </w:p>
        </w:tc>
        <w:tc>
          <w:tcPr>
            <w:tcW w:type="dxa" w:w="1773"/>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color w:val="76838C"/>
                <w:sz w:val="15"/>
                <w:szCs w:val="15"/>
              </w:rPr>
              <w:t xml:space="preserve">DOCUMENT</w:t>
            </w:r>
          </w:p>
          <w:p>
            <w:pPr>
              <w:spacing w:after="0" w:before="0"/>
            </w:pPr>
            <w:r>
              <w:rPr>
                <w:rFonts w:ascii="Calibri" w:cs="Calibri" w:eastAsia="Calibri" w:hAnsi="Calibri"/>
                <w:b/>
                <w:bCs/>
                <w:sz w:val="20"/>
                <w:szCs w:val="20"/>
              </w:rPr>
              <w:t xml:space="preserve">WI-HT-12</w:t>
            </w:r>
          </w:p>
        </w:tc>
        <w:tc>
          <w:tcPr>
            <w:tcW w:type="dxa" w:w="1773"/>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color w:val="76838C"/>
                <w:sz w:val="15"/>
                <w:szCs w:val="15"/>
              </w:rPr>
              <w:t xml:space="preserve">REVISION</w:t>
            </w:r>
          </w:p>
          <w:p>
            <w:pPr>
              <w:spacing w:after="0" w:before="0"/>
            </w:pPr>
            <w:r>
              <w:rPr>
                <w:rFonts w:ascii="Calibri" w:cs="Calibri" w:eastAsia="Calibri" w:hAnsi="Calibri"/>
                <w:b/>
                <w:bCs/>
                <w:sz w:val="20"/>
                <w:szCs w:val="20"/>
              </w:rPr>
              <w:t xml:space="preserve">0</w:t>
            </w:r>
          </w:p>
        </w:tc>
        <w:tc>
          <w:tcPr>
            <w:tcW w:type="dxa" w:w="1774"/>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color w:val="76838C"/>
                <w:sz w:val="15"/>
                <w:szCs w:val="15"/>
              </w:rPr>
              <w:t xml:space="preserve">APPROVED</w:t>
            </w:r>
          </w:p>
          <w:p>
            <w:pPr>
              <w:spacing w:after="0" w:before="0"/>
            </w:pPr>
            <w:r>
              <w:rPr>
                <w:rFonts w:ascii="Calibri" w:cs="Calibri" w:eastAsia="Calibri" w:hAnsi="Calibri"/>
                <w:b/>
                <w:bCs/>
                <w:sz w:val="20"/>
                <w:szCs w:val="20"/>
              </w:rPr>
              <w:t xml:space="preserve">__ / __ / ____</w:t>
            </w:r>
          </w:p>
        </w:tc>
      </w:tr>
    </w:tbl>
    <w:p>
      <w:pPr>
        <w:spacing w:after="60" w:before="0"/>
      </w:pPr>
      <w:r>
        <w:rPr>
          <w:rFonts w:ascii="Calibri" w:cs="Calibri" w:eastAsia="Calibri" w:hAnsi="Calibri"/>
          <w:sz w:val="20"/>
          <w:szCs w:val="20"/>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c>
          <w:tcPr>
            <w:tcW w:type="dxa" w:w="27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Covers</w:t>
            </w:r>
          </w:p>
        </w:tc>
        <w:tc>
          <w:tcPr>
            <w:tcW w:type="dxa" w:w="69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Burner management system (BMS, also called flame safeguard / burner control): what it does, the start-up sequence, the interlocks, operation, lockout reset and the periodic tests</w:t>
            </w:r>
          </w:p>
        </w:tc>
      </w:tr>
      <w:tr>
        <w:tc>
          <w:tcPr>
            <w:tcW w:type="dxa" w:w="27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Applies to</w:t>
            </w:r>
          </w:p>
        </w:tc>
        <w:tc>
          <w:tcPr>
            <w:tcW w:type="dxa" w:w="69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The gas burners of the hardening and tempering chambers of furnaces F-01 to F-04</w:t>
            </w:r>
          </w:p>
        </w:tc>
      </w:tr>
      <w:tr>
        <w:tc>
          <w:tcPr>
            <w:tcW w:type="dxa" w:w="27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Used by</w:t>
            </w:r>
          </w:p>
        </w:tc>
        <w:tc>
          <w:tcPr>
            <w:tcW w:type="dxa" w:w="69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Furnace operator, Shift supervisor, Maintenance technician, Maintenance Head</w:t>
            </w:r>
          </w:p>
        </w:tc>
      </w:tr>
      <w:tr>
        <w:tc>
          <w:tcPr>
            <w:tcW w:type="dxa" w:w="27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Referred to by</w:t>
            </w:r>
          </w:p>
        </w:tc>
        <w:tc>
          <w:tcPr>
            <w:tcW w:type="dxa" w:w="69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WI-HT-01 operation · WI-HT-02 start-up · WI-HT-03 shut-down · SOP-HT-11 emergencies (EI-HT-05, -08, -12)</w:t>
            </w:r>
          </w:p>
        </w:tc>
      </w:tr>
      <w:tr>
        <w:tc>
          <w:tcPr>
            <w:tcW w:type="dxa" w:w="27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Kept at</w:t>
            </w:r>
          </w:p>
        </w:tc>
        <w:tc>
          <w:tcPr>
            <w:tcW w:type="dxa" w:w="69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Control panel of each furnace; maintenance office; Procedures &amp; WIs page in CALOR</w:t>
            </w:r>
          </w:p>
        </w:tc>
      </w:tr>
    </w:tbl>
    <w:p>
      <w:pPr>
        <w:pStyle w:val="Heading1"/>
        <w:keepNext/>
        <w:pBdr>
          <w:bottom w:val="single" w:color="0E5566" w:sz="12" w:space="2"/>
        </w:pBdr>
        <w:spacing w:after="100" w:before="240"/>
      </w:pPr>
      <w:r>
        <w:rPr>
          <w:rFonts w:ascii="Calibri" w:cs="Calibri" w:eastAsia="Calibri" w:hAnsi="Calibri"/>
          <w:b/>
          <w:bCs/>
          <w:color w:val="0E5566"/>
          <w:sz w:val="24"/>
          <w:szCs w:val="24"/>
        </w:rPr>
        <w:t xml:space="preserve">1. What a burner management system is</w:t>
      </w:r>
    </w:p>
    <w:p>
      <w:pPr>
        <w:spacing w:after="80" w:before="0"/>
      </w:pPr>
      <w:r>
        <w:rPr>
          <w:rFonts w:ascii="Calibri" w:cs="Calibri" w:eastAsia="Calibri" w:hAnsi="Calibri"/>
          <w:sz w:val="20"/>
          <w:szCs w:val="20"/>
        </w:rPr>
        <w:t xml:space="preserve">A gas burner is dangerous at two moments: when it is lit (gas that does not ignite at once collects and can explode when it does) and when its flame goes out while gas still flows. The burner management system (BMS) is the automatic safety control that removes both risks. It is separate from the temperature controller: the temperature controller decides how much heat a zone needs; the BMS decides whether gas may flow at all.</w:t>
      </w:r>
    </w:p>
    <w:p>
      <w:pPr>
        <w:pStyle w:val="ListParagraph"/>
        <w:numPr>
          <w:ilvl w:val="0"/>
          <w:numId w:val="2"/>
        </w:numPr>
        <w:spacing w:after="40"/>
      </w:pPr>
      <w:r>
        <w:rPr>
          <w:rFonts w:ascii="Calibri" w:cs="Calibri" w:eastAsia="Calibri" w:hAnsi="Calibri"/>
          <w:sz w:val="20"/>
          <w:szCs w:val="20"/>
        </w:rPr>
        <w:t xml:space="preserve">It lets a burner start only when every safety condition (permissive) is made.</w:t>
      </w:r>
    </w:p>
    <w:p>
      <w:pPr>
        <w:pStyle w:val="ListParagraph"/>
        <w:numPr>
          <w:ilvl w:val="0"/>
          <w:numId w:val="2"/>
        </w:numPr>
        <w:spacing w:after="40"/>
      </w:pPr>
      <w:r>
        <w:rPr>
          <w:rFonts w:ascii="Calibri" w:cs="Calibri" w:eastAsia="Calibri" w:hAnsi="Calibri"/>
          <w:sz w:val="20"/>
          <w:szCs w:val="20"/>
        </w:rPr>
        <w:t xml:space="preserve">It purges the chamber with air before any ignition, so no gas is left inside.</w:t>
      </w:r>
    </w:p>
    <w:p>
      <w:pPr>
        <w:pStyle w:val="ListParagraph"/>
        <w:numPr>
          <w:ilvl w:val="0"/>
          <w:numId w:val="2"/>
        </w:numPr>
        <w:spacing w:after="40"/>
      </w:pPr>
      <w:r>
        <w:rPr>
          <w:rFonts w:ascii="Calibri" w:cs="Calibri" w:eastAsia="Calibri" w:hAnsi="Calibri"/>
          <w:sz w:val="20"/>
          <w:szCs w:val="20"/>
        </w:rPr>
        <w:t xml:space="preserve">It lights the burner in a fixed order and allows gas only for a short safety time until a flame is proven by a flame detector.</w:t>
      </w:r>
    </w:p>
    <w:p>
      <w:pPr>
        <w:pStyle w:val="ListParagraph"/>
        <w:numPr>
          <w:ilvl w:val="0"/>
          <w:numId w:val="2"/>
        </w:numPr>
        <w:spacing w:after="40"/>
      </w:pPr>
      <w:r>
        <w:rPr>
          <w:rFonts w:ascii="Calibri" w:cs="Calibri" w:eastAsia="Calibri" w:hAnsi="Calibri"/>
          <w:sz w:val="20"/>
          <w:szCs w:val="20"/>
        </w:rPr>
        <w:t xml:space="preserve">It watches the flame and every interlock all the time and closes the safety gas valves at once if anything is wrong (lockout).</w:t>
      </w:r>
    </w:p>
    <w:p>
      <w:pPr>
        <w:pStyle w:val="ListParagraph"/>
        <w:numPr>
          <w:ilvl w:val="0"/>
          <w:numId w:val="2"/>
        </w:numPr>
        <w:spacing w:after="40"/>
      </w:pPr>
      <w:r>
        <w:rPr>
          <w:rFonts w:ascii="Calibri" w:cs="Calibri" w:eastAsia="Calibri" w:hAnsi="Calibri"/>
          <w:sz w:val="20"/>
          <w:szCs w:val="20"/>
        </w:rPr>
        <w:t xml:space="preserve">After a lockout it needs a manual reset, so a person must look at the cause first.</w:t>
      </w:r>
    </w:p>
    <w:p>
      <w:pPr>
        <w:spacing w:after="80" w:before="60"/>
      </w:pPr>
      <w:r>
        <w:rPr>
          <w:rFonts w:ascii="Calibri" w:cs="Calibri" w:eastAsia="Calibri" w:hAnsi="Calibri"/>
          <w:sz w:val="20"/>
          <w:szCs w:val="20"/>
        </w:rPr>
        <w:t xml:space="preserve">The fixed order of these steps is the burner management sequence (section 5). The operator starts it, watches it and resets it; the operator never replaces any step by hand.</w:t>
      </w:r>
    </w:p>
    <w:p>
      <w:pPr>
        <w:pStyle w:val="Heading1"/>
        <w:keepNext/>
        <w:pBdr>
          <w:bottom w:val="single" w:color="0E5566" w:sz="12" w:space="2"/>
        </w:pBdr>
        <w:spacing w:after="100" w:before="240"/>
      </w:pPr>
      <w:r>
        <w:rPr>
          <w:rFonts w:ascii="Calibri" w:cs="Calibri" w:eastAsia="Calibri" w:hAnsi="Calibri"/>
          <w:b/>
          <w:bCs/>
          <w:color w:val="0E5566"/>
          <w:sz w:val="24"/>
          <w:szCs w:val="24"/>
        </w:rPr>
        <w:t xml:space="preserve">2. Purpose of this instruction</w:t>
      </w:r>
    </w:p>
    <w:p>
      <w:pPr>
        <w:spacing w:after="80" w:before="0"/>
      </w:pPr>
      <w:r>
        <w:rPr>
          <w:rFonts w:ascii="Calibri" w:cs="Calibri" w:eastAsia="Calibri" w:hAnsi="Calibri"/>
          <w:sz w:val="20"/>
          <w:szCs w:val="20"/>
        </w:rPr>
        <w:t xml:space="preserve">Describe the BMS of the pusher furnaces, how it is operated, what each interlock does, how a lockout is handled and how the system is tested, so that the burners are always started, run and stopped safely and the safety functions are proven to work.</w:t>
      </w:r>
    </w:p>
    <w:p>
      <w:pPr>
        <w:pStyle w:val="Heading1"/>
        <w:keepNext/>
        <w:pBdr>
          <w:bottom w:val="single" w:color="0E5566" w:sz="12" w:space="2"/>
        </w:pBdr>
        <w:spacing w:after="100" w:before="240"/>
      </w:pPr>
      <w:r>
        <w:rPr>
          <w:rFonts w:ascii="Calibri" w:cs="Calibri" w:eastAsia="Calibri" w:hAnsi="Calibri"/>
          <w:b/>
          <w:bCs/>
          <w:color w:val="0E5566"/>
          <w:sz w:val="24"/>
          <w:szCs w:val="24"/>
        </w:rPr>
        <w:t xml:space="preserve">3. Responsibilities</w:t>
      </w:r>
    </w:p>
    <w:p>
      <w:pPr>
        <w:pStyle w:val="ListParagraph"/>
        <w:numPr>
          <w:ilvl w:val="0"/>
          <w:numId w:val="2"/>
        </w:numPr>
        <w:spacing w:after="40"/>
      </w:pPr>
      <w:r>
        <w:rPr>
          <w:rFonts w:ascii="Calibri" w:cs="Calibri" w:eastAsia="Calibri" w:hAnsi="Calibri"/>
          <w:sz w:val="20"/>
          <w:szCs w:val="20"/>
        </w:rPr>
        <w:t xml:space="preserve">Furnace operator (authorised): starts and stops the burners from the BMS, checks the flames each shift, reports every lockout.</w:t>
      </w:r>
    </w:p>
    <w:p>
      <w:pPr>
        <w:pStyle w:val="ListParagraph"/>
        <w:numPr>
          <w:ilvl w:val="0"/>
          <w:numId w:val="2"/>
        </w:numPr>
        <w:spacing w:after="40"/>
      </w:pPr>
      <w:r>
        <w:rPr>
          <w:rFonts w:ascii="Calibri" w:cs="Calibri" w:eastAsia="Calibri" w:hAnsi="Calibri"/>
          <w:sz w:val="20"/>
          <w:szCs w:val="20"/>
        </w:rPr>
        <w:t xml:space="preserve">Shift supervisor: authorises resets after a lockout of a whole chamber and any restart after an over-temperature trip.</w:t>
      </w:r>
    </w:p>
    <w:p>
      <w:pPr>
        <w:pStyle w:val="ListParagraph"/>
        <w:numPr>
          <w:ilvl w:val="0"/>
          <w:numId w:val="2"/>
        </w:numPr>
        <w:spacing w:after="40"/>
      </w:pPr>
      <w:r>
        <w:rPr>
          <w:rFonts w:ascii="Calibri" w:cs="Calibri" w:eastAsia="Calibri" w:hAnsi="Calibri"/>
          <w:sz w:val="20"/>
          <w:szCs w:val="20"/>
        </w:rPr>
        <w:t xml:space="preserve">Maintenance Head: keeps the BMS settings sheet, the authorised list and the test plan; controls any bypass permit.</w:t>
      </w:r>
    </w:p>
    <w:p>
      <w:pPr>
        <w:pStyle w:val="ListParagraph"/>
        <w:numPr>
          <w:ilvl w:val="0"/>
          <w:numId w:val="2"/>
        </w:numPr>
        <w:spacing w:after="40"/>
      </w:pPr>
      <w:r>
        <w:rPr>
          <w:rFonts w:ascii="Calibri" w:cs="Calibri" w:eastAsia="Calibri" w:hAnsi="Calibri"/>
          <w:sz w:val="20"/>
          <w:szCs w:val="20"/>
        </w:rPr>
        <w:t xml:space="preserve">Burner / BMS supplier or competent gas engineer: settings, annual function check, modifications.</w:t>
      </w:r>
    </w:p>
    <w:p>
      <w:pPr>
        <w:pStyle w:val="Heading1"/>
        <w:keepNext/>
        <w:pBdr>
          <w:bottom w:val="single" w:color="0E5566" w:sz="12" w:space="2"/>
        </w:pBdr>
        <w:spacing w:after="100" w:before="240"/>
      </w:pPr>
      <w:r>
        <w:rPr>
          <w:rFonts w:ascii="Calibri" w:cs="Calibri" w:eastAsia="Calibri" w:hAnsi="Calibri"/>
          <w:b/>
          <w:bCs/>
          <w:color w:val="0E5566"/>
          <w:sz w:val="24"/>
          <w:szCs w:val="24"/>
        </w:rPr>
        <w:t xml:space="preserve">4. Safety rules</w:t>
      </w:r>
    </w:p>
    <w:p>
      <w:pPr>
        <w:pStyle w:val="ListParagraph"/>
        <w:numPr>
          <w:ilvl w:val="0"/>
          <w:numId w:val="2"/>
        </w:numPr>
        <w:spacing w:after="40"/>
      </w:pPr>
      <w:r>
        <w:rPr>
          <w:rFonts w:ascii="Calibri" w:cs="Calibri" w:eastAsia="Calibri" w:hAnsi="Calibri"/>
          <w:sz w:val="20"/>
          <w:szCs w:val="20"/>
        </w:rPr>
        <w:t xml:space="preserve">No interlock, flame detector, pressure switch or safety valve is ever bridged, blocked or forced. Bypassing a BMS is the most common cause of furnace explosions.</w:t>
      </w:r>
    </w:p>
    <w:p>
      <w:pPr>
        <w:pStyle w:val="ListParagraph"/>
        <w:numPr>
          <w:ilvl w:val="0"/>
          <w:numId w:val="2"/>
        </w:numPr>
        <w:spacing w:after="40"/>
      </w:pPr>
      <w:r>
        <w:rPr>
          <w:rFonts w:ascii="Calibri" w:cs="Calibri" w:eastAsia="Calibri" w:hAnsi="Calibri"/>
          <w:sz w:val="20"/>
          <w:szCs w:val="20"/>
        </w:rPr>
        <w:t xml:space="preserve">Never shorten the pre-purge; never light a burner by hand or with an open flame; never repeat ignition attempts without a new purge.</w:t>
      </w:r>
    </w:p>
    <w:p>
      <w:pPr>
        <w:pStyle w:val="ListParagraph"/>
        <w:numPr>
          <w:ilvl w:val="0"/>
          <w:numId w:val="2"/>
        </w:numPr>
        <w:spacing w:after="40"/>
      </w:pPr>
      <w:r>
        <w:rPr>
          <w:rFonts w:ascii="Calibri" w:cs="Calibri" w:eastAsia="Calibri" w:hAnsi="Calibri"/>
          <w:sz w:val="20"/>
          <w:szCs w:val="20"/>
        </w:rPr>
        <w:t xml:space="preserve">Gas smell: stop, do not switch anything, follow SOP-HT-11 (EI-HT-05 part B).</w:t>
      </w:r>
    </w:p>
    <w:p>
      <w:pPr>
        <w:pStyle w:val="ListParagraph"/>
        <w:numPr>
          <w:ilvl w:val="0"/>
          <w:numId w:val="2"/>
        </w:numPr>
        <w:spacing w:after="40"/>
      </w:pPr>
      <w:r>
        <w:rPr>
          <w:rFonts w:ascii="Calibri" w:cs="Calibri" w:eastAsia="Calibri" w:hAnsi="Calibri"/>
          <w:sz w:val="20"/>
          <w:szCs w:val="20"/>
        </w:rPr>
        <w:t xml:space="preserve">Applicable safety standards for industrial furnace combustion systems (e.g. ISO 13577-2 / EN 746-2, NFPA 86) and local gas rules set the minimum purge, safety and response times; the competent engineer confirms which apply.</w:t>
      </w:r>
    </w:p>
    <w:p>
      <w:pPr>
        <w:pStyle w:val="Heading1"/>
        <w:keepNext/>
        <w:pBdr>
          <w:bottom w:val="single" w:color="0E5566" w:sz="12" w:space="2"/>
        </w:pBdr>
        <w:spacing w:after="100" w:before="240"/>
      </w:pPr>
      <w:r>
        <w:rPr>
          <w:rFonts w:ascii="Calibri" w:cs="Calibri" w:eastAsia="Calibri" w:hAnsi="Calibri"/>
          <w:b/>
          <w:bCs/>
          <w:color w:val="0E5566"/>
          <w:sz w:val="24"/>
          <w:szCs w:val="24"/>
        </w:rPr>
        <w:t xml:space="preserve">5. The burner management sequence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4038"/>
        <w:gridCol w:w="1900"/>
        <w:gridCol w:w="1500"/>
      </w:tblGrid>
      <w:tr>
        <w:trPr>
          <w:tblHeader/>
        </w:trPr>
        <w:tc>
          <w:tcPr>
            <w:tcW w:type="dxa" w:w="5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No.</w:t>
            </w:r>
          </w:p>
        </w:tc>
        <w:tc>
          <w:tcPr>
            <w:tcW w:type="dxa" w:w="17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State</w:t>
            </w:r>
          </w:p>
        </w:tc>
        <w:tc>
          <w:tcPr>
            <w:tcW w:type="dxa" w:w="4038"/>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What the BMS does</w:t>
            </w:r>
          </w:p>
        </w:tc>
        <w:tc>
          <w:tcPr>
            <w:tcW w:type="dxa" w:w="19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Goes on only when</w:t>
            </w:r>
          </w:p>
        </w:tc>
        <w:tc>
          <w:tcPr>
            <w:tcW w:type="dxa" w:w="15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If not</w:t>
            </w:r>
          </w:p>
        </w:tc>
      </w:tr>
      <w:tr>
        <w:trPr>
          <w:cantSplit/>
        </w:trPr>
        <w:tc>
          <w:tcPr>
            <w:tcW w:type="dxa" w:w="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0</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Off / standby</w:t>
            </w:r>
          </w:p>
        </w:tc>
        <w:tc>
          <w:tcPr>
            <w:tcW w:type="dxa" w:w="40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Gas safety shut-off valves closed, no ignition. Waits for a start command.</w:t>
            </w:r>
          </w:p>
        </w:tc>
        <w:tc>
          <w:tcPr>
            <w:tcW w:type="dxa" w:w="1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Start pressed by an authorised operator</w:t>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w:t>
            </w:r>
          </w:p>
        </w:tc>
      </w:tr>
      <w:tr>
        <w:trPr>
          <w:cantSplit/>
        </w:trPr>
        <w:tc>
          <w:tcPr>
            <w:tcW w:type="dxa" w:w="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1</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Start checks (permissives)</w:t>
            </w:r>
          </w:p>
        </w:tc>
        <w:tc>
          <w:tcPr>
            <w:tcW w:type="dxa" w:w="40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Checks every interlock of section 6: emergency stop reset, no lockout, combustion air blower and exhaust fan running and proven, gas pressure between its low and high switches, safety shut-off valves proven closed (and valve leak test passed where fitted), over-temperature protection healthy, no flame signal present (a flame seen now is a fault).</w:t>
            </w:r>
          </w:p>
        </w:tc>
        <w:tc>
          <w:tcPr>
            <w:tcW w:type="dxa" w:w="1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All permissives made</w:t>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No start; the panel shows which permissive is missing</w:t>
            </w:r>
          </w:p>
        </w:tc>
      </w:tr>
      <w:tr>
        <w:trPr>
          <w:cantSplit/>
        </w:trPr>
        <w:tc>
          <w:tcPr>
            <w:tcW w:type="dxa" w:w="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2</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Pre-purge</w:t>
            </w:r>
          </w:p>
        </w:tc>
        <w:tc>
          <w:tcPr>
            <w:tcW w:type="dxa" w:w="40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Opens the air dampers to the purge position and blows air through the chamber for the full pre-purge time, to remove any gas. The timer restarts if the air flow is lost.</w:t>
            </w:r>
          </w:p>
        </w:tc>
        <w:tc>
          <w:tcPr>
            <w:tcW w:type="dxa" w:w="1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Purge time complete with purge air flow proven throughout</w:t>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Purge restarts; repeated loss of air → lockout</w:t>
            </w:r>
          </w:p>
        </w:tc>
      </w:tr>
      <w:tr>
        <w:trPr>
          <w:cantSplit/>
        </w:trPr>
        <w:tc>
          <w:tcPr>
            <w:tcW w:type="dxa" w:w="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3</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Ignition position</w:t>
            </w:r>
          </w:p>
        </w:tc>
        <w:tc>
          <w:tcPr>
            <w:tcW w:type="dxa" w:w="40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Moves the air damper / gas control to the low-fire (ignition) position.</w:t>
            </w:r>
          </w:p>
        </w:tc>
        <w:tc>
          <w:tcPr>
            <w:tcW w:type="dxa" w:w="1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Low-fire position proven</w:t>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Lockout</w:t>
            </w:r>
          </w:p>
        </w:tc>
      </w:tr>
      <w:tr>
        <w:trPr>
          <w:cantSplit/>
        </w:trPr>
        <w:tc>
          <w:tcPr>
            <w:tcW w:type="dxa" w:w="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4</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Trial for ignition (pilot / burner)</w:t>
            </w:r>
          </w:p>
        </w:tc>
        <w:tc>
          <w:tcPr>
            <w:tcW w:type="dxa" w:w="40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Switches on the igniter (spark) and opens the pilot or ignition gas valve for the safety time only.</w:t>
            </w:r>
          </w:p>
        </w:tc>
        <w:tc>
          <w:tcPr>
            <w:tcW w:type="dxa" w:w="1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Flame detector sees a stable flame within the safety time</w:t>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Gas valves closed at once → lockout (no automatic retry unless the manufacturer allows one, with a new purge)</w:t>
            </w:r>
          </w:p>
        </w:tc>
      </w:tr>
      <w:tr>
        <w:trPr>
          <w:cantSplit/>
        </w:trPr>
        <w:tc>
          <w:tcPr>
            <w:tcW w:type="dxa" w:w="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5</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Main flame</w:t>
            </w:r>
          </w:p>
        </w:tc>
        <w:tc>
          <w:tcPr>
            <w:tcW w:type="dxa" w:w="40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Opens the main gas valves; checks the main flame; switches the igniter off.</w:t>
            </w:r>
          </w:p>
        </w:tc>
        <w:tc>
          <w:tcPr>
            <w:tcW w:type="dxa" w:w="1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Main flame proven</w:t>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Gas valves closed → lockout</w:t>
            </w:r>
          </w:p>
        </w:tc>
      </w:tr>
      <w:tr>
        <w:trPr>
          <w:cantSplit/>
        </w:trPr>
        <w:tc>
          <w:tcPr>
            <w:tcW w:type="dxa" w:w="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6</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Run / modulation</w:t>
            </w:r>
          </w:p>
        </w:tc>
        <w:tc>
          <w:tcPr>
            <w:tcW w:type="dxa" w:w="40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Hands the burner to the zone temperature controller (high / low or modulating firing). Supervises the flame and every interlock continuously.</w:t>
            </w:r>
          </w:p>
        </w:tc>
        <w:tc>
          <w:tcPr>
            <w:tcW w:type="dxa" w:w="1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w:t>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Any interlock or flame loss → gas valves closed within the flame failure response time → lockout or safety shutdown</w:t>
            </w:r>
          </w:p>
        </w:tc>
      </w:tr>
      <w:tr>
        <w:trPr>
          <w:cantSplit/>
        </w:trPr>
        <w:tc>
          <w:tcPr>
            <w:tcW w:type="dxa" w:w="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7</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Normal shutdown</w:t>
            </w:r>
          </w:p>
        </w:tc>
        <w:tc>
          <w:tcPr>
            <w:tcW w:type="dxa" w:w="40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On a stop command: closes the gas valves, keeps the air running for the post-purge if specified.</w:t>
            </w:r>
          </w:p>
        </w:tc>
        <w:tc>
          <w:tcPr>
            <w:tcW w:type="dxa" w:w="1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w:t>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w:t>
            </w:r>
          </w:p>
        </w:tc>
      </w:tr>
      <w:tr>
        <w:trPr>
          <w:cantSplit/>
        </w:trPr>
        <w:tc>
          <w:tcPr>
            <w:tcW w:type="dxa" w:w="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8</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Lockout</w:t>
            </w:r>
          </w:p>
        </w:tc>
        <w:tc>
          <w:tcPr>
            <w:tcW w:type="dxa" w:w="40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Gas valves closed, alarm on. Stays locked until a manual reset, even after the power returns.</w:t>
            </w:r>
          </w:p>
        </w:tc>
        <w:tc>
          <w:tcPr>
            <w:tcW w:type="dxa" w:w="1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Cause found and removed; reset by an authorised person</w:t>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Stays locked out</w:t>
            </w:r>
          </w:p>
        </w:tc>
      </w:tr>
    </w:tbl>
    <w:p>
      <w:pPr>
        <w:spacing w:after="80" w:before="60"/>
      </w:pPr>
      <w:r>
        <w:rPr>
          <w:rFonts w:ascii="Calibri" w:cs="Calibri" w:eastAsia="Calibri" w:hAnsi="Calibri"/>
          <w:i/>
          <w:iCs/>
          <w:color w:val="555555"/>
          <w:sz w:val="20"/>
          <w:szCs w:val="20"/>
        </w:rPr>
        <w:t xml:space="preserve">Note: above about 750 °C the chamber is hot enough to ignite gas by itself; the standards have special rules for this case. Follow the burner manufacturer's sequence for hot restarts — do not assume a hot furnace needs no purge.</w:t>
      </w:r>
    </w:p>
    <w:p>
      <w:pPr>
        <w:pStyle w:val="Heading1"/>
        <w:keepNext/>
        <w:pBdr>
          <w:bottom w:val="single" w:color="0E5566" w:sz="12" w:space="2"/>
        </w:pBdr>
        <w:spacing w:after="100" w:before="240"/>
      </w:pPr>
      <w:r>
        <w:rPr>
          <w:rFonts w:ascii="Calibri" w:cs="Calibri" w:eastAsia="Calibri" w:hAnsi="Calibri"/>
          <w:b/>
          <w:bCs/>
          <w:color w:val="0E5566"/>
          <w:sz w:val="24"/>
          <w:szCs w:val="24"/>
        </w:rPr>
        <w:t xml:space="preserve">6. Interlocks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338"/>
        <w:gridCol w:w="1400"/>
        <w:gridCol w:w="1400"/>
      </w:tblGrid>
      <w:tr>
        <w:trPr>
          <w:tblHeader/>
        </w:trPr>
        <w:tc>
          <w:tcPr>
            <w:tcW w:type="dxa" w:w="23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Interlock (permissive)</w:t>
            </w:r>
          </w:p>
        </w:tc>
        <w:tc>
          <w:tcPr>
            <w:tcW w:type="dxa" w:w="22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Device</w:t>
            </w:r>
          </w:p>
        </w:tc>
        <w:tc>
          <w:tcPr>
            <w:tcW w:type="dxa" w:w="2338"/>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Trips when</w:t>
            </w:r>
          </w:p>
        </w:tc>
        <w:tc>
          <w:tcPr>
            <w:tcW w:type="dxa" w:w="14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BMS action</w:t>
            </w:r>
          </w:p>
        </w:tc>
        <w:tc>
          <w:tcPr>
            <w:tcW w:type="dxa" w:w="14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Reset</w:t>
            </w:r>
          </w:p>
        </w:tc>
      </w:tr>
      <w:tr>
        <w:trPr>
          <w:cantSplit/>
        </w:trPr>
        <w:tc>
          <w:tcPr>
            <w:tcW w:type="dxa" w:w="23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sz w:val="17"/>
                <w:szCs w:val="17"/>
              </w:rPr>
              <w:t xml:space="preserve">Gas pressure low</w:t>
            </w:r>
          </w:p>
        </w:tc>
        <w:tc>
          <w:tcPr>
            <w:tcW w:type="dxa" w:w="22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Low gas pressure switch</w:t>
            </w:r>
          </w:p>
        </w:tc>
        <w:tc>
          <w:tcPr>
            <w:tcW w:type="dxa" w:w="23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Gas pressure below its set point (supply failure)</w:t>
            </w:r>
          </w:p>
        </w:tc>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Close gas valves, lockout</w:t>
            </w:r>
          </w:p>
        </w:tc>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Manual, after the cause</w:t>
            </w:r>
          </w:p>
        </w:tc>
      </w:tr>
      <w:tr>
        <w:trPr>
          <w:cantSplit/>
        </w:trPr>
        <w:tc>
          <w:tcPr>
            <w:tcW w:type="dxa" w:w="23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sz w:val="17"/>
                <w:szCs w:val="17"/>
              </w:rPr>
              <w:t xml:space="preserve">Gas pressure high</w:t>
            </w:r>
          </w:p>
        </w:tc>
        <w:tc>
          <w:tcPr>
            <w:tcW w:type="dxa" w:w="22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High gas pressure switch</w:t>
            </w:r>
          </w:p>
        </w:tc>
        <w:tc>
          <w:tcPr>
            <w:tcW w:type="dxa" w:w="23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Regulator failure, pressure above its set point</w:t>
            </w:r>
          </w:p>
        </w:tc>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Close gas valves, lockout</w:t>
            </w:r>
          </w:p>
        </w:tc>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Manual</w:t>
            </w:r>
          </w:p>
        </w:tc>
      </w:tr>
      <w:tr>
        <w:trPr>
          <w:cantSplit/>
        </w:trPr>
        <w:tc>
          <w:tcPr>
            <w:tcW w:type="dxa" w:w="23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sz w:val="17"/>
                <w:szCs w:val="17"/>
              </w:rPr>
              <w:t xml:space="preserve">Combustion air</w:t>
            </w:r>
          </w:p>
        </w:tc>
        <w:tc>
          <w:tcPr>
            <w:tcW w:type="dxa" w:w="22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Air pressure / flow switch</w:t>
            </w:r>
          </w:p>
        </w:tc>
        <w:tc>
          <w:tcPr>
            <w:tcW w:type="dxa" w:w="23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Blower stopped, filter blocked, air below its set point</w:t>
            </w:r>
          </w:p>
        </w:tc>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Close gas valves, lockout</w:t>
            </w:r>
          </w:p>
        </w:tc>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Manual</w:t>
            </w:r>
          </w:p>
        </w:tc>
      </w:tr>
      <w:tr>
        <w:trPr>
          <w:cantSplit/>
        </w:trPr>
        <w:tc>
          <w:tcPr>
            <w:tcW w:type="dxa" w:w="23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sz w:val="17"/>
                <w:szCs w:val="17"/>
              </w:rPr>
              <w:t xml:space="preserve">Exhaust / flue</w:t>
            </w:r>
          </w:p>
        </w:tc>
        <w:tc>
          <w:tcPr>
            <w:tcW w:type="dxa" w:w="22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Draught or fan running proof</w:t>
            </w:r>
          </w:p>
        </w:tc>
        <w:tc>
          <w:tcPr>
            <w:tcW w:type="dxa" w:w="23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Exhaust fan stopped or draught lost</w:t>
            </w:r>
          </w:p>
        </w:tc>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Close gas valves</w:t>
            </w:r>
          </w:p>
        </w:tc>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Manual</w:t>
            </w:r>
          </w:p>
        </w:tc>
      </w:tr>
      <w:tr>
        <w:trPr>
          <w:cantSplit/>
        </w:trPr>
        <w:tc>
          <w:tcPr>
            <w:tcW w:type="dxa" w:w="23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sz w:val="17"/>
                <w:szCs w:val="17"/>
              </w:rPr>
              <w:t xml:space="preserve">Flame supervision</w:t>
            </w:r>
          </w:p>
        </w:tc>
        <w:tc>
          <w:tcPr>
            <w:tcW w:type="dxa" w:w="22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UV scanner or ionisation rod per burner</w:t>
            </w:r>
          </w:p>
        </w:tc>
        <w:tc>
          <w:tcPr>
            <w:tcW w:type="dxa" w:w="23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No flame or an unstable flame</w:t>
            </w:r>
          </w:p>
        </w:tc>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Close that burner's gas valves (or the zone / furnace as designed), lockout</w:t>
            </w:r>
          </w:p>
        </w:tc>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Manual</w:t>
            </w:r>
          </w:p>
        </w:tc>
      </w:tr>
      <w:tr>
        <w:trPr>
          <w:cantSplit/>
        </w:trPr>
        <w:tc>
          <w:tcPr>
            <w:tcW w:type="dxa" w:w="23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sz w:val="17"/>
                <w:szCs w:val="17"/>
              </w:rPr>
              <w:t xml:space="preserve">Valve proving</w:t>
            </w:r>
          </w:p>
        </w:tc>
        <w:tc>
          <w:tcPr>
            <w:tcW w:type="dxa" w:w="22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Proof-of-closure switches / leak tester</w:t>
            </w:r>
          </w:p>
        </w:tc>
        <w:tc>
          <w:tcPr>
            <w:tcW w:type="dxa" w:w="23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A safety valve not closed, or leaking, before a start</w:t>
            </w:r>
          </w:p>
        </w:tc>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No start</w:t>
            </w:r>
          </w:p>
        </w:tc>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Manual, after repair</w:t>
            </w:r>
          </w:p>
        </w:tc>
      </w:tr>
      <w:tr>
        <w:trPr>
          <w:cantSplit/>
        </w:trPr>
        <w:tc>
          <w:tcPr>
            <w:tcW w:type="dxa" w:w="23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sz w:val="17"/>
                <w:szCs w:val="17"/>
              </w:rPr>
              <w:t xml:space="preserve">Over-temperature</w:t>
            </w:r>
          </w:p>
        </w:tc>
        <w:tc>
          <w:tcPr>
            <w:tcW w:type="dxa" w:w="22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Independent over-temperature controller</w:t>
            </w:r>
          </w:p>
        </w:tc>
        <w:tc>
          <w:tcPr>
            <w:tcW w:type="dxa" w:w="23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Chamber above its over-temperature set point</w:t>
            </w:r>
          </w:p>
        </w:tc>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Close gas valves of the chamber, lockout</w:t>
            </w:r>
          </w:p>
        </w:tc>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Manual, with the shift supervisor (EI-HT-12)</w:t>
            </w:r>
          </w:p>
        </w:tc>
      </w:tr>
      <w:tr>
        <w:trPr>
          <w:cantSplit/>
        </w:trPr>
        <w:tc>
          <w:tcPr>
            <w:tcW w:type="dxa" w:w="23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sz w:val="17"/>
                <w:szCs w:val="17"/>
              </w:rPr>
              <w:t xml:space="preserve">Emergency stop</w:t>
            </w:r>
          </w:p>
        </w:tc>
        <w:tc>
          <w:tcPr>
            <w:tcW w:type="dxa" w:w="22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Emergency stop buttons</w:t>
            </w:r>
          </w:p>
        </w:tc>
        <w:tc>
          <w:tcPr>
            <w:tcW w:type="dxa" w:w="23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Button pressed</w:t>
            </w:r>
          </w:p>
        </w:tc>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Close all gas valves</w:t>
            </w:r>
          </w:p>
        </w:tc>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Manual, after release</w:t>
            </w:r>
          </w:p>
        </w:tc>
      </w:tr>
      <w:tr>
        <w:trPr>
          <w:cantSplit/>
        </w:trPr>
        <w:tc>
          <w:tcPr>
            <w:tcW w:type="dxa" w:w="23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sz w:val="17"/>
                <w:szCs w:val="17"/>
              </w:rPr>
              <w:t xml:space="preserve">Power / control supply</w:t>
            </w:r>
          </w:p>
        </w:tc>
        <w:tc>
          <w:tcPr>
            <w:tcW w:type="dxa" w:w="22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Supply monitoring</w:t>
            </w:r>
          </w:p>
        </w:tc>
        <w:tc>
          <w:tcPr>
            <w:tcW w:type="dxa" w:w="23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Power failure</w:t>
            </w:r>
          </w:p>
        </w:tc>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Valves close (spring-return, fail-safe)</w:t>
            </w:r>
          </w:p>
        </w:tc>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Restart by WI-HT-02</w:t>
            </w:r>
          </w:p>
        </w:tc>
      </w:tr>
    </w:tbl>
    <w:p>
      <w:pPr>
        <w:pStyle w:val="Heading1"/>
        <w:keepNext/>
        <w:pBdr>
          <w:bottom w:val="single" w:color="0E5566" w:sz="12" w:space="2"/>
        </w:pBdr>
        <w:spacing w:after="100" w:before="240"/>
      </w:pPr>
      <w:r>
        <w:rPr>
          <w:rFonts w:ascii="Calibri" w:cs="Calibri" w:eastAsia="Calibri" w:hAnsi="Calibri"/>
          <w:b/>
          <w:bCs/>
          <w:color w:val="0E5566"/>
          <w:sz w:val="24"/>
          <w:szCs w:val="24"/>
        </w:rPr>
        <w:t xml:space="preserve">7. Operating steps</w:t>
      </w:r>
    </w:p>
    <w:p>
      <w:pPr>
        <w:spacing w:after="80" w:before="0"/>
      </w:pPr>
      <w:r>
        <w:rPr>
          <w:rFonts w:ascii="Calibri" w:cs="Calibri" w:eastAsia="Calibri" w:hAnsi="Calibri"/>
          <w:sz w:val="20"/>
          <w:szCs w:val="20"/>
        </w:rPr>
        <w:t xml:space="preserve">Key points: </w:t>
      </w:r>
      <w:r>
        <w:rPr>
          <w:rFonts w:ascii="Calibri" w:cs="Calibri" w:eastAsia="Calibri" w:hAnsi="Calibri"/>
          <w:b/>
          <w:bCs/>
          <w:color w:val="B02A2A"/>
          <w:sz w:val="20"/>
          <w:szCs w:val="20"/>
        </w:rPr>
        <w:t xml:space="preserve">⚠ Safety</w:t>
      </w:r>
      <w:r>
        <w:rPr>
          <w:rFonts w:ascii="Calibri" w:cs="Calibri" w:eastAsia="Calibri" w:hAnsi="Calibri"/>
          <w:sz w:val="20"/>
          <w:szCs w:val="20"/>
        </w:rPr>
        <w:t xml:space="preserve"> · </w:t>
      </w:r>
      <w:r>
        <w:rPr>
          <w:rFonts w:ascii="Calibri" w:cs="Calibri" w:eastAsia="Calibri" w:hAnsi="Calibri"/>
          <w:b/>
          <w:bCs/>
          <w:color w:val="8A5A00"/>
          <w:sz w:val="20"/>
          <w:szCs w:val="20"/>
        </w:rPr>
        <w:t xml:space="preserve">● Critical</w:t>
      </w:r>
      <w:r>
        <w:rPr>
          <w:rFonts w:ascii="Calibri" w:cs="Calibri" w:eastAsia="Calibri" w:hAnsi="Calibri"/>
          <w:sz w:val="20"/>
          <w:szCs w:val="20"/>
        </w:rPr>
        <w:t xml:space="preserve"> · </w:t>
      </w:r>
      <w:r>
        <w:rPr>
          <w:rFonts w:ascii="Calibri" w:cs="Calibri" w:eastAsia="Calibri" w:hAnsi="Calibri"/>
          <w:b/>
          <w:bCs/>
          <w:color w:val="0E5566"/>
          <w:sz w:val="20"/>
          <w:szCs w:val="20"/>
        </w:rPr>
        <w:t xml:space="preserve">◆ Quality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7238"/>
        <w:gridCol w:w="1700"/>
      </w:tblGrid>
      <w:tr>
        <w:trPr>
          <w:tblHeader/>
        </w:trPr>
        <w:tc>
          <w:tcPr>
            <w:tcW w:type="dxa" w:w="7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No.</w:t>
            </w:r>
          </w:p>
        </w:tc>
        <w:tc>
          <w:tcPr>
            <w:tcW w:type="dxa" w:w="7238"/>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Step</w:t>
            </w:r>
          </w:p>
        </w:tc>
        <w:tc>
          <w:tcPr>
            <w:tcW w:type="dxa" w:w="17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Key point</w:t>
            </w:r>
          </w:p>
        </w:tc>
      </w:tr>
      <w:tr>
        <w:trPr>
          <w:cantSplit/>
        </w:trPr>
        <w:tc>
          <w:tcPr>
            <w:tcW w:type="dxa" w:w="9638"/>
            <w:gridSpan w:val="3"/>
            <w:tcBorders>
              <w:top w:val="single" w:color="BFC7CC" w:sz="4"/>
              <w:left w:val="single" w:color="BFC7CC" w:sz="4"/>
              <w:bottom w:val="single" w:color="BFC7CC" w:sz="4"/>
              <w:right w:val="single" w:color="BFC7CC" w:sz="4"/>
            </w:tcBorders>
            <w:shd w:fill="E6EFF1" w:color="auto" w:val="clear"/>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A. Before a start</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1</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Only operators trained and authorised for this BMS (named list at the panel) start or reset burners.</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B02A2A"/>
                <w:sz w:val="20"/>
                <w:szCs w:val="20"/>
              </w:rPr>
              <w:t xml:space="preserve">⚠ Safety</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2</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Read the panel: no lockout, no alarm; every permissive lamp of section 6 made. A missing permissive is a fault to remove, never to bypass.</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8A5A00"/>
                <w:sz w:val="20"/>
                <w:szCs w:val="20"/>
              </w:rPr>
              <w:t xml:space="preserve">● Critical</w:t>
            </w:r>
          </w:p>
        </w:tc>
      </w:tr>
      <w:tr>
        <w:trPr>
          <w:cantSplit/>
        </w:trPr>
        <w:tc>
          <w:tcPr>
            <w:tcW w:type="dxa" w:w="9638"/>
            <w:gridSpan w:val="3"/>
            <w:tcBorders>
              <w:top w:val="single" w:color="BFC7CC" w:sz="4"/>
              <w:left w:val="single" w:color="BFC7CC" w:sz="4"/>
              <w:bottom w:val="single" w:color="BFC7CC" w:sz="4"/>
              <w:right w:val="single" w:color="BFC7CC" w:sz="4"/>
            </w:tcBorders>
            <w:shd w:fill="E6EFF1" w:color="auto" w:val="clear"/>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B. Start (cold start or restart)</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3</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Start the combustion air blower and the exhaust fan; wait until they are proven.</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B02A2A"/>
                <w:sz w:val="20"/>
                <w:szCs w:val="20"/>
              </w:rPr>
              <w:t xml:space="preserve">⚠ Safety</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4</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Press the BMS start for the zone / burners as the furnace manual says. Do not interrupt the pre-purge.</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B02A2A"/>
                <w:sz w:val="20"/>
                <w:szCs w:val="20"/>
              </w:rPr>
              <w:t xml:space="preserve">⚠ Safety</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5</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Watch the ignition: each burner must show a flame (sight glass, flame signal) within the trial for ignition. Note any burner that fails.</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B02A2A"/>
                <w:sz w:val="20"/>
                <w:szCs w:val="20"/>
              </w:rPr>
              <w:t xml:space="preserve">⚠ Safety</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6</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A burner that fails to light locks out: do not press reset repeatedly. Maintenance finds the cause; a new start always runs a new pre-purge.</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8A5A00"/>
                <w:sz w:val="20"/>
                <w:szCs w:val="20"/>
              </w:rPr>
              <w:t xml:space="preserve">● Critical</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7</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When all burners of a zone are running, put the zone controller to automatic and heat up by WI-HT-02.</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 Quality</w:t>
            </w:r>
          </w:p>
        </w:tc>
      </w:tr>
      <w:tr>
        <w:trPr>
          <w:cantSplit/>
        </w:trPr>
        <w:tc>
          <w:tcPr>
            <w:tcW w:type="dxa" w:w="9638"/>
            <w:gridSpan w:val="3"/>
            <w:tcBorders>
              <w:top w:val="single" w:color="BFC7CC" w:sz="4"/>
              <w:left w:val="single" w:color="BFC7CC" w:sz="4"/>
              <w:bottom w:val="single" w:color="BFC7CC" w:sz="4"/>
              <w:right w:val="single" w:color="BFC7CC" w:sz="4"/>
            </w:tcBorders>
            <w:shd w:fill="E6EFF1" w:color="auto" w:val="clear"/>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C. During production</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8</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Check the flames and the flame signals once per shift (shift log).</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 Quality</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9</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A burner flame failure: the BMS shuts that burner (or zone) off; follow EI-HT-05; stop pushing if the zone leaves its tolerance.</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8A5A00"/>
                <w:sz w:val="20"/>
                <w:szCs w:val="20"/>
              </w:rPr>
              <w:t xml:space="preserve">● Critical</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10</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Never jumper, bridge, block or force an interlock, a detector or a valve, not even for a moment. A temporary bypass needs a written permit from the Maintenance Head with extra precautions and is recorded.</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B02A2A"/>
                <w:sz w:val="20"/>
                <w:szCs w:val="20"/>
              </w:rPr>
              <w:t xml:space="preserve">⚠ Safety</w:t>
            </w:r>
          </w:p>
        </w:tc>
      </w:tr>
      <w:tr>
        <w:trPr>
          <w:cantSplit/>
        </w:trPr>
        <w:tc>
          <w:tcPr>
            <w:tcW w:type="dxa" w:w="9638"/>
            <w:gridSpan w:val="3"/>
            <w:tcBorders>
              <w:top w:val="single" w:color="BFC7CC" w:sz="4"/>
              <w:left w:val="single" w:color="BFC7CC" w:sz="4"/>
              <w:bottom w:val="single" w:color="BFC7CC" w:sz="4"/>
              <w:right w:val="single" w:color="BFC7CC" w:sz="4"/>
            </w:tcBorders>
            <w:shd w:fill="E6EFF1" w:color="auto" w:val="clear"/>
            <w:tcMar>
              <w:top w:type="dxa" w:w="60"/>
              <w:left w:type="dxa" w:w="100"/>
              <w:bottom w:type="dxa" w:w="60"/>
              <w:right w:type="dxa" w:w="100"/>
            </w:tcMar>
          </w:tcPr>
          <w:p>
            <w:pPr>
              <w:spacing w:after="20" w:before="0"/>
            </w:pPr>
            <w:r>
              <w:rPr>
                <w:rFonts w:ascii="Calibri" w:cs="Calibri" w:eastAsia="Calibri" w:hAnsi="Calibri"/>
                <w:b/>
                <w:bCs/>
                <w:color w:val="0E5566"/>
                <w:sz w:val="20"/>
                <w:szCs w:val="20"/>
              </w:rPr>
              <w:t xml:space="preserve">D. Shutdown and lockout reset</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11</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Normal stop: shut the burners down from the BMS (WI-HT-03); never by closing the gas cock under a burning flame.</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B02A2A"/>
                <w:sz w:val="20"/>
                <w:szCs w:val="20"/>
              </w:rPr>
              <w:t xml:space="preserve">⚠ Safety</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12</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Lockout: read and write down the fault code; inform the shift supervisor and maintenance; reset only when the cause is found and removed; record it on the CALOR Alarms page.</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8A5A00"/>
                <w:sz w:val="20"/>
                <w:szCs w:val="20"/>
              </w:rPr>
              <w:t xml:space="preserve">● Critical</w:t>
            </w:r>
          </w:p>
        </w:tc>
      </w:tr>
      <w:tr>
        <w:trPr>
          <w:cantSplit/>
        </w:trPr>
        <w:tc>
          <w:tcPr>
            <w:tcW w:type="dxa" w:w="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jc w:val="right"/>
            </w:pPr>
            <w:r>
              <w:rPr>
                <w:rFonts w:ascii="Calibri" w:cs="Calibri" w:eastAsia="Calibri" w:hAnsi="Calibri"/>
                <w:sz w:val="20"/>
                <w:szCs w:val="20"/>
              </w:rPr>
              <w:t xml:space="preserve">13</w:t>
            </w:r>
          </w:p>
        </w:tc>
        <w:tc>
          <w:tcPr>
            <w:tcW w:type="dxa" w:w="7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20"/>
                <w:szCs w:val="20"/>
              </w:rPr>
              <w:t xml:space="preserve">Gas smell at any time: SOP-HT-11, EI-HT-05 part B.</w:t>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color w:val="B02A2A"/>
                <w:sz w:val="20"/>
                <w:szCs w:val="20"/>
              </w:rPr>
              <w:t xml:space="preserve">⚠ Safety</w:t>
            </w:r>
          </w:p>
        </w:tc>
      </w:tr>
    </w:tbl>
    <w:p>
      <w:pPr>
        <w:pStyle w:val="Heading1"/>
        <w:keepNext/>
        <w:pBdr>
          <w:bottom w:val="single" w:color="0E5566" w:sz="12" w:space="2"/>
        </w:pBdr>
        <w:spacing w:after="100" w:before="240"/>
      </w:pPr>
      <w:r>
        <w:rPr>
          <w:rFonts w:ascii="Calibri" w:cs="Calibri" w:eastAsia="Calibri" w:hAnsi="Calibri"/>
          <w:b/>
          <w:bCs/>
          <w:color w:val="0E5566"/>
          <w:sz w:val="24"/>
          <w:szCs w:val="24"/>
        </w:rPr>
        <w:t xml:space="preserve">8. Periodic tests of the safety functions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1500"/>
        <w:gridCol w:w="1800"/>
        <w:gridCol w:w="3238"/>
      </w:tblGrid>
      <w:tr>
        <w:trPr>
          <w:tblHeader/>
        </w:trPr>
        <w:tc>
          <w:tcPr>
            <w:tcW w:type="dxa" w:w="31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Test</w:t>
            </w:r>
          </w:p>
        </w:tc>
        <w:tc>
          <w:tcPr>
            <w:tcW w:type="dxa" w:w="15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How often</w:t>
            </w:r>
          </w:p>
        </w:tc>
        <w:tc>
          <w:tcPr>
            <w:tcW w:type="dxa" w:w="18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By</w:t>
            </w:r>
          </w:p>
        </w:tc>
        <w:tc>
          <w:tcPr>
            <w:tcW w:type="dxa" w:w="3238"/>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Method / record</w:t>
            </w:r>
          </w:p>
        </w:tc>
      </w:tr>
      <w:tr>
        <w:trPr>
          <w:cantSplit/>
        </w:trPr>
        <w:tc>
          <w:tcPr>
            <w:tcW w:type="dxa" w:w="3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sz w:val="17"/>
                <w:szCs w:val="17"/>
              </w:rPr>
              <w:t xml:space="preserve">Visual check of the flames through the sight glasses; flame signal strength on the BMS display</w:t>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Every shift</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Furnace operator</w:t>
            </w:r>
          </w:p>
        </w:tc>
        <w:tc>
          <w:tcPr>
            <w:tcW w:type="dxa" w:w="3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Shift log; a weak or unstable flame signal → maintenance</w:t>
            </w:r>
          </w:p>
        </w:tc>
      </w:tr>
      <w:tr>
        <w:trPr>
          <w:cantSplit/>
        </w:trPr>
        <w:tc>
          <w:tcPr>
            <w:tcW w:type="dxa" w:w="3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sz w:val="17"/>
                <w:szCs w:val="17"/>
              </w:rPr>
              <w:t xml:space="preserve">Flame failure test (simulate loss of flame on one burner: cover the scanner / pull the flame rod)</w:t>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Monthly, each burner</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Maintenance (authorised)</w:t>
            </w:r>
          </w:p>
        </w:tc>
        <w:tc>
          <w:tcPr>
            <w:tcW w:type="dxa" w:w="3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The burner's gas valves close within the flame failure response time; record per burner</w:t>
            </w:r>
          </w:p>
        </w:tc>
      </w:tr>
      <w:tr>
        <w:trPr>
          <w:cantSplit/>
        </w:trPr>
        <w:tc>
          <w:tcPr>
            <w:tcW w:type="dxa" w:w="3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sz w:val="17"/>
                <w:szCs w:val="17"/>
              </w:rPr>
              <w:t xml:space="preserve">Gas pressure switch low / high trip test</w:t>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Every 6 months</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Maintenance</w:t>
            </w:r>
          </w:p>
        </w:tc>
        <w:tc>
          <w:tcPr>
            <w:tcW w:type="dxa" w:w="3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Pressure lowered / raised with the test cock; trip value recorded</w:t>
            </w:r>
          </w:p>
        </w:tc>
      </w:tr>
      <w:tr>
        <w:trPr>
          <w:cantSplit/>
        </w:trPr>
        <w:tc>
          <w:tcPr>
            <w:tcW w:type="dxa" w:w="3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sz w:val="17"/>
                <w:szCs w:val="17"/>
              </w:rPr>
              <w:t xml:space="preserve">Air pressure / flow switch trip test</w:t>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Every 6 months</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Maintenance</w:t>
            </w:r>
          </w:p>
        </w:tc>
        <w:tc>
          <w:tcPr>
            <w:tcW w:type="dxa" w:w="3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Air reduced until the trip; value recorded</w:t>
            </w:r>
          </w:p>
        </w:tc>
      </w:tr>
      <w:tr>
        <w:trPr>
          <w:cantSplit/>
        </w:trPr>
        <w:tc>
          <w:tcPr>
            <w:tcW w:type="dxa" w:w="3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sz w:val="17"/>
                <w:szCs w:val="17"/>
              </w:rPr>
              <w:t xml:space="preserve">Safety shut-off valve leak / tightness test</w:t>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Every 12 months (or by the valve leak tester at every start where fitted)</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Maintenance / gas contractor</w:t>
            </w:r>
          </w:p>
        </w:tc>
        <w:tc>
          <w:tcPr>
            <w:tcW w:type="dxa" w:w="3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Leak test report</w:t>
            </w:r>
          </w:p>
        </w:tc>
      </w:tr>
      <w:tr>
        <w:trPr>
          <w:cantSplit/>
        </w:trPr>
        <w:tc>
          <w:tcPr>
            <w:tcW w:type="dxa" w:w="3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sz w:val="17"/>
                <w:szCs w:val="17"/>
              </w:rPr>
              <w:t xml:space="preserve">Pre-purge time and purge air flow check</w:t>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Every 12 months and after any change</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Maintenance</w:t>
            </w:r>
          </w:p>
        </w:tc>
        <w:tc>
          <w:tcPr>
            <w:tcW w:type="dxa" w:w="3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Purge time measured against the setting; air flow proven</w:t>
            </w:r>
          </w:p>
        </w:tc>
      </w:tr>
      <w:tr>
        <w:trPr>
          <w:cantSplit/>
        </w:trPr>
        <w:tc>
          <w:tcPr>
            <w:tcW w:type="dxa" w:w="3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sz w:val="17"/>
                <w:szCs w:val="17"/>
              </w:rPr>
              <w:t xml:space="preserve">Over-temperature protection test</w:t>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Every 3 months (CALOR Equipment page interval)</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Maintenance</w:t>
            </w:r>
          </w:p>
        </w:tc>
        <w:tc>
          <w:tcPr>
            <w:tcW w:type="dxa" w:w="3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Trip simulated; record on the Equipment page</w:t>
            </w:r>
          </w:p>
        </w:tc>
      </w:tr>
      <w:tr>
        <w:trPr>
          <w:cantSplit/>
        </w:trPr>
        <w:tc>
          <w:tcPr>
            <w:tcW w:type="dxa" w:w="3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bCs/>
                <w:sz w:val="17"/>
                <w:szCs w:val="17"/>
              </w:rPr>
              <w:t xml:space="preserve">Complete BMS function check by the burner supplier</w:t>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Every 12 months and after any modification</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Burner / BMS supplier</w:t>
            </w:r>
          </w:p>
        </w:tc>
        <w:tc>
          <w:tcPr>
            <w:tcW w:type="dxa" w:w="32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b w:val="false"/>
                <w:bCs w:val="false"/>
                <w:sz w:val="17"/>
                <w:szCs w:val="17"/>
              </w:rPr>
              <w:t xml:space="preserve">Service report; settings sheet signed</w:t>
            </w:r>
          </w:p>
        </w:tc>
      </w:tr>
    </w:tbl>
    <w:p>
      <w:pPr>
        <w:spacing w:after="80" w:before="60"/>
      </w:pPr>
      <w:r>
        <w:rPr>
          <w:rFonts w:ascii="Calibri" w:cs="Calibri" w:eastAsia="Calibri" w:hAnsi="Calibri"/>
          <w:sz w:val="20"/>
          <w:szCs w:val="20"/>
        </w:rPr>
        <w:t xml:space="preserve">Record every test with the date, the result and the name; a failed test means the burner or chamber does not run until it is repaired and re-tested. Monthly and 6-monthly tests can be planned with the predictive maintenance checksheet F-MT-01.</w:t>
      </w:r>
    </w:p>
    <w:p>
      <w:pPr>
        <w:pStyle w:val="Heading1"/>
        <w:keepNext/>
        <w:pBdr>
          <w:bottom w:val="single" w:color="0E5566" w:sz="12" w:space="2"/>
        </w:pBdr>
        <w:spacing w:after="100" w:before="240"/>
      </w:pPr>
      <w:r>
        <w:rPr>
          <w:rFonts w:ascii="Calibri" w:cs="Calibri" w:eastAsia="Calibri" w:hAnsi="Calibri"/>
          <w:b/>
          <w:bCs/>
          <w:color w:val="0E5566"/>
          <w:sz w:val="24"/>
          <w:szCs w:val="24"/>
        </w:rPr>
        <w:t xml:space="preserve">9. Records</w:t>
      </w:r>
    </w:p>
    <w:p>
      <w:pPr>
        <w:pStyle w:val="ListParagraph"/>
        <w:numPr>
          <w:ilvl w:val="0"/>
          <w:numId w:val="2"/>
        </w:numPr>
        <w:spacing w:after="40"/>
      </w:pPr>
      <w:r>
        <w:rPr>
          <w:rFonts w:ascii="Calibri" w:cs="Calibri" w:eastAsia="Calibri" w:hAnsi="Calibri"/>
          <w:sz w:val="20"/>
          <w:szCs w:val="20"/>
        </w:rPr>
        <w:t xml:space="preserve">BMS settings sheet (Annex A) and burner register (Annex B), signed by the competent engineer.</w:t>
      </w:r>
    </w:p>
    <w:p>
      <w:pPr>
        <w:pStyle w:val="ListParagraph"/>
        <w:numPr>
          <w:ilvl w:val="0"/>
          <w:numId w:val="2"/>
        </w:numPr>
        <w:spacing w:after="40"/>
      </w:pPr>
      <w:r>
        <w:rPr>
          <w:rFonts w:ascii="Calibri" w:cs="Calibri" w:eastAsia="Calibri" w:hAnsi="Calibri"/>
          <w:sz w:val="20"/>
          <w:szCs w:val="20"/>
        </w:rPr>
        <w:t xml:space="preserve">Shift log (flame checks), lockouts on the CALOR Alarms page, test records, supplier service reports, bypass permits.</w:t>
      </w:r>
    </w:p>
    <w:p>
      <w:pPr>
        <w:pStyle w:val="Heading1"/>
        <w:keepNext/>
        <w:pBdr>
          <w:bottom w:val="single" w:color="0E5566" w:sz="12" w:space="2"/>
        </w:pBdr>
        <w:spacing w:after="100" w:before="240"/>
      </w:pPr>
      <w:r>
        <w:rPr>
          <w:rFonts w:ascii="Calibri" w:cs="Calibri" w:eastAsia="Calibri" w:hAnsi="Calibri"/>
          <w:b/>
          <w:bCs/>
          <w:color w:val="0E5566"/>
          <w:sz w:val="24"/>
          <w:szCs w:val="24"/>
        </w:rPr>
        <w:t xml:space="preserve">10. Related documents</w:t>
      </w:r>
    </w:p>
    <w:p>
      <w:pPr>
        <w:spacing w:after="80" w:before="0"/>
      </w:pPr>
      <w:r>
        <w:rPr>
          <w:rFonts w:ascii="Calibri" w:cs="Calibri" w:eastAsia="Calibri" w:hAnsi="Calibri"/>
          <w:sz w:val="20"/>
          <w:szCs w:val="20"/>
        </w:rPr>
        <w:t xml:space="preserve">WI-HT-01 · WI-HT-02 Furnace start-up · WI-HT-03 Furnace shut-down · SOP-HT-11 Emergency response · F-HT-02A / F-HT-03A checksheets · F-MT-01 Predictive maintenance checksheet · Burner and BMS manufacturers' manuals · Furnace manual · Gas safety rules of the site.</w:t>
      </w:r>
    </w:p>
    <w:p>
      <w:pPr>
        <w:pStyle w:val="Heading1"/>
        <w:keepNext/>
        <w:pBdr>
          <w:bottom w:val="single" w:color="0E5566" w:sz="12" w:space="2"/>
        </w:pBdr>
        <w:spacing w:after="100" w:before="240"/>
      </w:pPr>
      <w:r>
        <w:rPr>
          <w:rFonts w:ascii="Calibri" w:cs="Calibri" w:eastAsia="Calibri" w:hAnsi="Calibri"/>
          <w:b/>
          <w:bCs/>
          <w:color w:val="0E5566"/>
          <w:sz w:val="24"/>
          <w:szCs w:val="24"/>
        </w:rPr>
        <w:t xml:space="preserve">11. Revisions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400"/>
        <w:gridCol w:w="4538"/>
      </w:tblGrid>
      <w:tr>
        <w:tc>
          <w:tcPr>
            <w:tcW w:type="dxa" w:w="9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keepNext/>
              <w:spacing w:after="20" w:before="0"/>
            </w:pPr>
            <w:r>
              <w:rPr>
                <w:rFonts w:ascii="Calibri" w:cs="Calibri" w:eastAsia="Calibri" w:hAnsi="Calibri"/>
                <w:b/>
                <w:bCs/>
                <w:sz w:val="20"/>
                <w:szCs w:val="20"/>
              </w:rPr>
              <w:t xml:space="preserve">Rev</w:t>
            </w:r>
          </w:p>
        </w:tc>
        <w:tc>
          <w:tcPr>
            <w:tcW w:type="dxa" w:w="18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keepNext/>
              <w:spacing w:after="20" w:before="0"/>
            </w:pPr>
            <w:r>
              <w:rPr>
                <w:rFonts w:ascii="Calibri" w:cs="Calibri" w:eastAsia="Calibri" w:hAnsi="Calibri"/>
                <w:b/>
                <w:bCs/>
                <w:sz w:val="20"/>
                <w:szCs w:val="20"/>
              </w:rPr>
              <w:t xml:space="preserve">Approved</w:t>
            </w:r>
          </w:p>
        </w:tc>
        <w:tc>
          <w:tcPr>
            <w:tcW w:type="dxa" w:w="24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keepNext/>
              <w:spacing w:after="20" w:before="0"/>
            </w:pPr>
            <w:r>
              <w:rPr>
                <w:rFonts w:ascii="Calibri" w:cs="Calibri" w:eastAsia="Calibri" w:hAnsi="Calibri"/>
                <w:b/>
                <w:bCs/>
                <w:sz w:val="20"/>
                <w:szCs w:val="20"/>
              </w:rPr>
              <w:t xml:space="preserve">Approved by</w:t>
            </w:r>
          </w:p>
        </w:tc>
        <w:tc>
          <w:tcPr>
            <w:tcW w:type="dxa" w:w="4538"/>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keepNext/>
              <w:spacing w:after="20" w:before="0"/>
            </w:pPr>
            <w:r>
              <w:rPr>
                <w:rFonts w:ascii="Calibri" w:cs="Calibri" w:eastAsia="Calibri" w:hAnsi="Calibri"/>
                <w:b/>
                <w:bCs/>
                <w:sz w:val="20"/>
                <w:szCs w:val="20"/>
              </w:rPr>
              <w:t xml:space="preserve">Reason for the change</w:t>
            </w:r>
          </w:p>
        </w:tc>
      </w:tr>
      <w:tr>
        <w:tc>
          <w:tcPr>
            <w:tcW w:type="dxa" w:w="9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keepNext/>
              <w:spacing w:after="20" w:before="0"/>
            </w:pPr>
            <w:r>
              <w:rPr>
                <w:rFonts w:ascii="Calibri" w:cs="Calibri" w:eastAsia="Calibri" w:hAnsi="Calibri"/>
                <w:sz w:val="20"/>
                <w:szCs w:val="20"/>
              </w:rPr>
              <w:t xml:space="preserve">0</w:t>
            </w:r>
          </w:p>
        </w:tc>
        <w:tc>
          <w:tcPr>
            <w:tcW w:type="dxa" w:w="18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keepNext/>
              <w:spacing w:after="20" w:before="0"/>
            </w:pPr>
            <w:r>
              <w:rPr>
                <w:rFonts w:ascii="Calibri" w:cs="Calibri" w:eastAsia="Calibri" w:hAnsi="Calibri"/>
                <w:sz w:val="20"/>
                <w:szCs w:val="20"/>
              </w:rPr>
              <w:t xml:space="preserve"/>
            </w:r>
          </w:p>
        </w:tc>
        <w:tc>
          <w:tcPr>
            <w:tcW w:type="dxa" w:w="2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keepNext/>
              <w:spacing w:after="20" w:before="0"/>
            </w:pPr>
            <w:r>
              <w:rPr>
                <w:rFonts w:ascii="Calibri" w:cs="Calibri" w:eastAsia="Calibri" w:hAnsi="Calibri"/>
                <w:sz w:val="20"/>
                <w:szCs w:val="20"/>
              </w:rPr>
              <w:t xml:space="preserve"/>
            </w:r>
          </w:p>
        </w:tc>
        <w:tc>
          <w:tcPr>
            <w:tcW w:type="dxa" w:w="45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keepNext/>
              <w:spacing w:after="20" w:before="0"/>
            </w:pPr>
            <w:r>
              <w:rPr>
                <w:rFonts w:ascii="Calibri" w:cs="Calibri" w:eastAsia="Calibri" w:hAnsi="Calibri"/>
                <w:sz w:val="20"/>
                <w:szCs w:val="20"/>
              </w:rPr>
              <w:t xml:space="preserve">First issue</w:t>
            </w:r>
          </w:p>
        </w:tc>
      </w:tr>
    </w:tbl>
    <w:p>
      <w:pPr>
        <w:keepNext/>
        <w:spacing w:after="120" w:before="0"/>
      </w:pPr>
      <w:r>
        <w:rPr>
          <w:rFonts w:ascii="Calibri" w:cs="Calibri" w:eastAsia="Calibri" w:hAnsi="Calibri"/>
          <w:sz w:val="20"/>
          <w:szCs w:val="20"/>
        </w:rP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trHeight w:val="1100" w:hRule="atLeast"/>
        </w:trPr>
        <w:tc>
          <w:tcPr>
            <w:tcW w:type="dxa" w:w="3212"/>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80" w:before="0"/>
            </w:pPr>
            <w:r>
              <w:rPr>
                <w:rFonts w:ascii="Calibri" w:cs="Calibri" w:eastAsia="Calibri" w:hAnsi="Calibri"/>
                <w:color w:val="76838C"/>
                <w:sz w:val="16"/>
                <w:szCs w:val="16"/>
              </w:rPr>
              <w:t xml:space="preserve">Prepared by (Maintenance Head)</w:t>
            </w:r>
          </w:p>
          <w:p>
            <w:pPr>
              <w:spacing w:after="80" w:before="0"/>
            </w:pPr>
            <w:r>
              <w:rPr>
                <w:rFonts w:ascii="Calibri" w:cs="Calibri" w:eastAsia="Calibri" w:hAnsi="Calibri"/>
                <w:sz w:val="20"/>
                <w:szCs w:val="20"/>
              </w:rPr>
              <w:t xml:space="preserve"> </w:t>
            </w:r>
          </w:p>
          <w:p>
            <w:pPr>
              <w:spacing w:after="80" w:before="0"/>
            </w:pPr>
            <w:r>
              <w:rPr>
                <w:rFonts w:ascii="Calibri" w:cs="Calibri" w:eastAsia="Calibri" w:hAnsi="Calibri"/>
                <w:color w:val="76838C"/>
                <w:sz w:val="16"/>
                <w:szCs w:val="16"/>
              </w:rPr>
              <w:t xml:space="preserve">Sign · Date</w:t>
            </w:r>
          </w:p>
        </w:tc>
        <w:tc>
          <w:tcPr>
            <w:tcW w:type="dxa" w:w="3213"/>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80" w:before="0"/>
            </w:pPr>
            <w:r>
              <w:rPr>
                <w:rFonts w:ascii="Calibri" w:cs="Calibri" w:eastAsia="Calibri" w:hAnsi="Calibri"/>
                <w:color w:val="76838C"/>
                <w:sz w:val="16"/>
                <w:szCs w:val="16"/>
              </w:rPr>
              <w:t xml:space="preserve">Checked by (combustion / gas engineer)</w:t>
            </w:r>
          </w:p>
          <w:p>
            <w:pPr>
              <w:spacing w:after="80" w:before="0"/>
            </w:pPr>
            <w:r>
              <w:rPr>
                <w:rFonts w:ascii="Calibri" w:cs="Calibri" w:eastAsia="Calibri" w:hAnsi="Calibri"/>
                <w:sz w:val="20"/>
                <w:szCs w:val="20"/>
              </w:rPr>
              <w:t xml:space="preserve"> </w:t>
            </w:r>
          </w:p>
          <w:p>
            <w:pPr>
              <w:spacing w:after="80" w:before="0"/>
            </w:pPr>
            <w:r>
              <w:rPr>
                <w:rFonts w:ascii="Calibri" w:cs="Calibri" w:eastAsia="Calibri" w:hAnsi="Calibri"/>
                <w:color w:val="76838C"/>
                <w:sz w:val="16"/>
                <w:szCs w:val="16"/>
              </w:rPr>
              <w:t xml:space="preserve">Sign · Date</w:t>
            </w:r>
          </w:p>
        </w:tc>
        <w:tc>
          <w:tcPr>
            <w:tcW w:type="dxa" w:w="3213"/>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80" w:before="0"/>
            </w:pPr>
            <w:r>
              <w:rPr>
                <w:rFonts w:ascii="Calibri" w:cs="Calibri" w:eastAsia="Calibri" w:hAnsi="Calibri"/>
                <w:color w:val="76838C"/>
                <w:sz w:val="16"/>
                <w:szCs w:val="16"/>
              </w:rPr>
              <w:t xml:space="preserve">Approved by (HT Manager)</w:t>
            </w:r>
          </w:p>
          <w:p>
            <w:pPr>
              <w:spacing w:after="80" w:before="0"/>
            </w:pPr>
            <w:r>
              <w:rPr>
                <w:rFonts w:ascii="Calibri" w:cs="Calibri" w:eastAsia="Calibri" w:hAnsi="Calibri"/>
                <w:sz w:val="20"/>
                <w:szCs w:val="20"/>
              </w:rPr>
              <w:t xml:space="preserve"> </w:t>
            </w:r>
          </w:p>
          <w:p>
            <w:pPr>
              <w:spacing w:after="80" w:before="0"/>
            </w:pPr>
            <w:r>
              <w:rPr>
                <w:rFonts w:ascii="Calibri" w:cs="Calibri" w:eastAsia="Calibri" w:hAnsi="Calibri"/>
                <w:color w:val="76838C"/>
                <w:sz w:val="16"/>
                <w:szCs w:val="16"/>
              </w:rPr>
              <w:t xml:space="preserve">Sign · Date</w:t>
            </w:r>
          </w:p>
        </w:tc>
      </w:tr>
    </w:tbl>
    <w:p>
      <w:pPr>
        <w:keepNext/>
        <w:pageBreakBefore/>
        <w:pBdr>
          <w:bottom w:val="single" w:color="0E5566" w:sz="12" w:space="2"/>
        </w:pBdr>
        <w:spacing w:after="100" w:before="0"/>
      </w:pPr>
      <w:r>
        <w:rPr>
          <w:rFonts w:ascii="Calibri" w:cs="Calibri" w:eastAsia="Calibri" w:hAnsi="Calibri"/>
          <w:b/>
          <w:bCs/>
          <w:color w:val="0E5566"/>
          <w:sz w:val="24"/>
          <w:szCs w:val="24"/>
        </w:rPr>
        <w:t xml:space="preserve">Annex A. BMS settings sheet (one per furnace)</w:t>
      </w:r>
    </w:p>
    <w:p>
      <w:pPr>
        <w:spacing w:after="80" w:before="0"/>
      </w:pPr>
      <w:r>
        <w:rPr>
          <w:rFonts w:ascii="Calibri" w:cs="Calibri" w:eastAsia="Calibri" w:hAnsi="Calibri"/>
          <w:sz w:val="20"/>
          <w:szCs w:val="20"/>
        </w:rPr>
        <w:t xml:space="preserve">Furnace: ________   BMS controller / model: ______________________   Date: ____________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2000"/>
        <w:gridCol w:w="3038"/>
      </w:tblGrid>
      <w:tr>
        <w:trPr>
          <w:tblHeader/>
        </w:trPr>
        <w:tc>
          <w:tcPr>
            <w:tcW w:type="dxa" w:w="46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Setting (fill in from the manufacturer's documents)</w:t>
            </w:r>
          </w:p>
        </w:tc>
        <w:tc>
          <w:tcPr>
            <w:tcW w:type="dxa" w:w="20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Value</w:t>
            </w:r>
          </w:p>
        </w:tc>
        <w:tc>
          <w:tcPr>
            <w:tcW w:type="dxa" w:w="3038"/>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Source / checked by</w:t>
            </w:r>
          </w:p>
        </w:tc>
      </w:tr>
      <w:tr>
        <w:trPr>
          <w:cantSplit/>
          <w:trHeight w:val="420" w:hRule="atLeast"/>
        </w:trPr>
        <w:tc>
          <w:tcPr>
            <w:tcW w:type="dxa" w:w="46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8"/>
                <w:szCs w:val="18"/>
              </w:rPr>
              <w:t xml:space="preserve">Pre-purge time (s) — at least the time for the purge volume of the standard / manufacturer (often 5 volume changes)</w:t>
            </w:r>
          </w:p>
        </w:tc>
        <w:tc>
          <w:tcPr>
            <w:tcW w:type="dxa" w:w="20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8"/>
                <w:szCs w:val="18"/>
              </w:rPr>
              <w:t xml:space="preserve"/>
            </w:r>
          </w:p>
        </w:tc>
        <w:tc>
          <w:tcPr>
            <w:tcW w:type="dxa" w:w="30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8"/>
                <w:szCs w:val="18"/>
              </w:rPr>
              <w:t xml:space="preserve"/>
            </w:r>
          </w:p>
        </w:tc>
      </w:tr>
      <w:tr>
        <w:trPr>
          <w:cantSplit/>
          <w:trHeight w:val="420" w:hRule="atLeast"/>
        </w:trPr>
        <w:tc>
          <w:tcPr>
            <w:tcW w:type="dxa" w:w="46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8"/>
                <w:szCs w:val="18"/>
              </w:rPr>
              <w:t xml:space="preserve">Purge air flow (m³/h) proven by</w:t>
            </w:r>
          </w:p>
        </w:tc>
        <w:tc>
          <w:tcPr>
            <w:tcW w:type="dxa" w:w="20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8"/>
                <w:szCs w:val="18"/>
              </w:rPr>
              <w:t xml:space="preserve"/>
            </w:r>
          </w:p>
        </w:tc>
        <w:tc>
          <w:tcPr>
            <w:tcW w:type="dxa" w:w="30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8"/>
                <w:szCs w:val="18"/>
              </w:rPr>
              <w:t xml:space="preserve"/>
            </w:r>
          </w:p>
        </w:tc>
      </w:tr>
      <w:tr>
        <w:trPr>
          <w:cantSplit/>
          <w:trHeight w:val="420" w:hRule="atLeast"/>
        </w:trPr>
        <w:tc>
          <w:tcPr>
            <w:tcW w:type="dxa" w:w="46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8"/>
                <w:szCs w:val="18"/>
              </w:rPr>
              <w:t xml:space="preserve">Safety time, trial for ignition (s)</w:t>
            </w:r>
          </w:p>
        </w:tc>
        <w:tc>
          <w:tcPr>
            <w:tcW w:type="dxa" w:w="20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8"/>
                <w:szCs w:val="18"/>
              </w:rPr>
              <w:t xml:space="preserve"/>
            </w:r>
          </w:p>
        </w:tc>
        <w:tc>
          <w:tcPr>
            <w:tcW w:type="dxa" w:w="30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8"/>
                <w:szCs w:val="18"/>
              </w:rPr>
              <w:t xml:space="preserve"/>
            </w:r>
          </w:p>
        </w:tc>
      </w:tr>
      <w:tr>
        <w:trPr>
          <w:cantSplit/>
          <w:trHeight w:val="420" w:hRule="atLeast"/>
        </w:trPr>
        <w:tc>
          <w:tcPr>
            <w:tcW w:type="dxa" w:w="46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8"/>
                <w:szCs w:val="18"/>
              </w:rPr>
              <w:t xml:space="preserve">Flame failure response time (s)</w:t>
            </w:r>
          </w:p>
        </w:tc>
        <w:tc>
          <w:tcPr>
            <w:tcW w:type="dxa" w:w="20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8"/>
                <w:szCs w:val="18"/>
              </w:rPr>
              <w:t xml:space="preserve"/>
            </w:r>
          </w:p>
        </w:tc>
        <w:tc>
          <w:tcPr>
            <w:tcW w:type="dxa" w:w="30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8"/>
                <w:szCs w:val="18"/>
              </w:rPr>
              <w:t xml:space="preserve"/>
            </w:r>
          </w:p>
        </w:tc>
      </w:tr>
      <w:tr>
        <w:trPr>
          <w:cantSplit/>
          <w:trHeight w:val="420" w:hRule="atLeast"/>
        </w:trPr>
        <w:tc>
          <w:tcPr>
            <w:tcW w:type="dxa" w:w="46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8"/>
                <w:szCs w:val="18"/>
              </w:rPr>
              <w:t xml:space="preserve">Gas pressure switch low / high set points (mbar)</w:t>
            </w:r>
          </w:p>
        </w:tc>
        <w:tc>
          <w:tcPr>
            <w:tcW w:type="dxa" w:w="20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8"/>
                <w:szCs w:val="18"/>
              </w:rPr>
              <w:t xml:space="preserve"/>
            </w:r>
          </w:p>
        </w:tc>
        <w:tc>
          <w:tcPr>
            <w:tcW w:type="dxa" w:w="30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8"/>
                <w:szCs w:val="18"/>
              </w:rPr>
              <w:t xml:space="preserve"/>
            </w:r>
          </w:p>
        </w:tc>
      </w:tr>
      <w:tr>
        <w:trPr>
          <w:cantSplit/>
          <w:trHeight w:val="420" w:hRule="atLeast"/>
        </w:trPr>
        <w:tc>
          <w:tcPr>
            <w:tcW w:type="dxa" w:w="46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8"/>
                <w:szCs w:val="18"/>
              </w:rPr>
              <w:t xml:space="preserve">Air pressure switch set point (mbar)</w:t>
            </w:r>
          </w:p>
        </w:tc>
        <w:tc>
          <w:tcPr>
            <w:tcW w:type="dxa" w:w="20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8"/>
                <w:szCs w:val="18"/>
              </w:rPr>
              <w:t xml:space="preserve"/>
            </w:r>
          </w:p>
        </w:tc>
        <w:tc>
          <w:tcPr>
            <w:tcW w:type="dxa" w:w="30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8"/>
                <w:szCs w:val="18"/>
              </w:rPr>
              <w:t xml:space="preserve"/>
            </w:r>
          </w:p>
        </w:tc>
      </w:tr>
      <w:tr>
        <w:trPr>
          <w:cantSplit/>
          <w:trHeight w:val="420" w:hRule="atLeast"/>
        </w:trPr>
        <w:tc>
          <w:tcPr>
            <w:tcW w:type="dxa" w:w="46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8"/>
                <w:szCs w:val="18"/>
              </w:rPr>
              <w:t xml:space="preserve">Post-purge time (s), if used</w:t>
            </w:r>
          </w:p>
        </w:tc>
        <w:tc>
          <w:tcPr>
            <w:tcW w:type="dxa" w:w="20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8"/>
                <w:szCs w:val="18"/>
              </w:rPr>
              <w:t xml:space="preserve"/>
            </w:r>
          </w:p>
        </w:tc>
        <w:tc>
          <w:tcPr>
            <w:tcW w:type="dxa" w:w="30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8"/>
                <w:szCs w:val="18"/>
              </w:rPr>
              <w:t xml:space="preserve"/>
            </w:r>
          </w:p>
        </w:tc>
      </w:tr>
      <w:tr>
        <w:trPr>
          <w:cantSplit/>
          <w:trHeight w:val="420" w:hRule="atLeast"/>
        </w:trPr>
        <w:tc>
          <w:tcPr>
            <w:tcW w:type="dxa" w:w="46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8"/>
                <w:szCs w:val="18"/>
              </w:rPr>
              <w:t xml:space="preserve">Number of ignition retries allowed (normally none)</w:t>
            </w:r>
          </w:p>
        </w:tc>
        <w:tc>
          <w:tcPr>
            <w:tcW w:type="dxa" w:w="20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8"/>
                <w:szCs w:val="18"/>
              </w:rPr>
              <w:t xml:space="preserve"/>
            </w:r>
          </w:p>
        </w:tc>
        <w:tc>
          <w:tcPr>
            <w:tcW w:type="dxa" w:w="30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8"/>
                <w:szCs w:val="18"/>
              </w:rPr>
              <w:t xml:space="preserve"/>
            </w:r>
          </w:p>
        </w:tc>
      </w:tr>
      <w:tr>
        <w:trPr>
          <w:cantSplit/>
          <w:trHeight w:val="420" w:hRule="atLeast"/>
        </w:trPr>
        <w:tc>
          <w:tcPr>
            <w:tcW w:type="dxa" w:w="46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8"/>
                <w:szCs w:val="18"/>
              </w:rPr>
              <w:t xml:space="preserve">Over-temperature set point per chamber (°C)</w:t>
            </w:r>
          </w:p>
        </w:tc>
        <w:tc>
          <w:tcPr>
            <w:tcW w:type="dxa" w:w="20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8"/>
                <w:szCs w:val="18"/>
              </w:rPr>
              <w:t xml:space="preserve"/>
            </w:r>
          </w:p>
        </w:tc>
        <w:tc>
          <w:tcPr>
            <w:tcW w:type="dxa" w:w="30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8"/>
                <w:szCs w:val="18"/>
              </w:rPr>
              <w:t xml:space="preserve"/>
            </w:r>
          </w:p>
        </w:tc>
      </w:tr>
    </w:tbl>
    <w:p>
      <w:pPr>
        <w:keepNext/>
        <w:spacing w:after="40" w:before="120"/>
      </w:pPr>
      <w:r>
        <w:rPr>
          <w:rFonts w:ascii="Calibri" w:cs="Calibri" w:eastAsia="Calibri" w:hAnsi="Calibri"/>
          <w:b/>
          <w:bCs/>
          <w:color w:val="0E5566"/>
          <w:sz w:val="20"/>
          <w:szCs w:val="20"/>
        </w:rPr>
        <w:t xml:space="preserve">Fault codes of the BMS controller (copy from its manual)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638"/>
      </w:tblGrid>
      <w:tr>
        <w:trPr>
          <w:tblHeader/>
        </w:trPr>
        <w:tc>
          <w:tcPr>
            <w:tcW w:type="dxa" w:w="14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Code / lamp</w:t>
            </w:r>
          </w:p>
        </w:tc>
        <w:tc>
          <w:tcPr>
            <w:tcW w:type="dxa" w:w="36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Meaning</w:t>
            </w:r>
          </w:p>
        </w:tc>
        <w:tc>
          <w:tcPr>
            <w:tcW w:type="dxa" w:w="4638"/>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Operator action</w:t>
            </w:r>
          </w:p>
        </w:tc>
      </w:tr>
      <w:tr>
        <w:trPr>
          <w:cantSplit/>
          <w:trHeight w:val="380" w:hRule="atLeast"/>
        </w:trPr>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8"/>
                <w:szCs w:val="18"/>
              </w:rPr>
              <w:t xml:space="preserve"/>
            </w:r>
          </w:p>
        </w:tc>
        <w:tc>
          <w:tcPr>
            <w:tcW w:type="dxa" w:w="36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8"/>
                <w:szCs w:val="18"/>
              </w:rPr>
              <w:t xml:space="preserve">Flame failure during run</w:t>
            </w:r>
          </w:p>
        </w:tc>
        <w:tc>
          <w:tcPr>
            <w:tcW w:type="dxa" w:w="46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8"/>
                <w:szCs w:val="18"/>
              </w:rPr>
              <w:t xml:space="preserve">Note the burner / zone; stop pushing if the zone leaves tolerance; call maintenance; reset only after the cause (EI-HT-05)</w:t>
            </w:r>
          </w:p>
        </w:tc>
      </w:tr>
      <w:tr>
        <w:trPr>
          <w:cantSplit/>
          <w:trHeight w:val="380" w:hRule="atLeast"/>
        </w:trPr>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8"/>
                <w:szCs w:val="18"/>
              </w:rPr>
              <w:t xml:space="preserve"/>
            </w:r>
          </w:p>
        </w:tc>
        <w:tc>
          <w:tcPr>
            <w:tcW w:type="dxa" w:w="36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8"/>
                <w:szCs w:val="18"/>
              </w:rPr>
              <w:t xml:space="preserve">No flame at ignition</w:t>
            </w:r>
          </w:p>
        </w:tc>
        <w:tc>
          <w:tcPr>
            <w:tcW w:type="dxa" w:w="46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8"/>
                <w:szCs w:val="18"/>
              </w:rPr>
              <w:t xml:space="preserve">Do not repeat ignition attempts without a new purge; call maintenance</w:t>
            </w:r>
          </w:p>
        </w:tc>
      </w:tr>
      <w:tr>
        <w:trPr>
          <w:cantSplit/>
          <w:trHeight w:val="380" w:hRule="atLeast"/>
        </w:trPr>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8"/>
                <w:szCs w:val="18"/>
              </w:rPr>
              <w:t xml:space="preserve"/>
            </w:r>
          </w:p>
        </w:tc>
        <w:tc>
          <w:tcPr>
            <w:tcW w:type="dxa" w:w="36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8"/>
                <w:szCs w:val="18"/>
              </w:rPr>
              <w:t xml:space="preserve">Air pressure fault</w:t>
            </w:r>
          </w:p>
        </w:tc>
        <w:tc>
          <w:tcPr>
            <w:tcW w:type="dxa" w:w="46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8"/>
                <w:szCs w:val="18"/>
              </w:rPr>
              <w:t xml:space="preserve">Check the blower; EI-HT-08</w:t>
            </w:r>
          </w:p>
        </w:tc>
      </w:tr>
      <w:tr>
        <w:trPr>
          <w:cantSplit/>
          <w:trHeight w:val="380" w:hRule="atLeast"/>
        </w:trPr>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8"/>
                <w:szCs w:val="18"/>
              </w:rPr>
              <w:t xml:space="preserve"/>
            </w:r>
          </w:p>
        </w:tc>
        <w:tc>
          <w:tcPr>
            <w:tcW w:type="dxa" w:w="36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8"/>
                <w:szCs w:val="18"/>
              </w:rPr>
              <w:t xml:space="preserve">Gas pressure low / high</w:t>
            </w:r>
          </w:p>
        </w:tc>
        <w:tc>
          <w:tcPr>
            <w:tcW w:type="dxa" w:w="46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8"/>
                <w:szCs w:val="18"/>
              </w:rPr>
              <w:t xml:space="preserve">EI-HT-05</w:t>
            </w:r>
          </w:p>
        </w:tc>
      </w:tr>
      <w:tr>
        <w:trPr>
          <w:cantSplit/>
          <w:trHeight w:val="380" w:hRule="atLeast"/>
        </w:trPr>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8"/>
                <w:szCs w:val="18"/>
              </w:rPr>
              <w:t xml:space="preserve"/>
            </w:r>
          </w:p>
        </w:tc>
        <w:tc>
          <w:tcPr>
            <w:tcW w:type="dxa" w:w="36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8"/>
                <w:szCs w:val="18"/>
              </w:rPr>
              <w:t xml:space="preserve">Valve proving / leak test failed</w:t>
            </w:r>
          </w:p>
        </w:tc>
        <w:tc>
          <w:tcPr>
            <w:tcW w:type="dxa" w:w="46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8"/>
                <w:szCs w:val="18"/>
              </w:rPr>
              <w:t xml:space="preserve">Do not start; maintenance / gas contractor</w:t>
            </w:r>
          </w:p>
        </w:tc>
      </w:tr>
      <w:tr>
        <w:trPr>
          <w:cantSplit/>
          <w:trHeight w:val="380" w:hRule="atLeast"/>
        </w:trPr>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8"/>
                <w:szCs w:val="18"/>
              </w:rPr>
              <w:t xml:space="preserve"/>
            </w:r>
          </w:p>
        </w:tc>
        <w:tc>
          <w:tcPr>
            <w:tcW w:type="dxa" w:w="36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8"/>
                <w:szCs w:val="18"/>
              </w:rPr>
              <w:t xml:space="preserve"/>
            </w:r>
          </w:p>
        </w:tc>
        <w:tc>
          <w:tcPr>
            <w:tcW w:type="dxa" w:w="46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8"/>
                <w:szCs w:val="18"/>
              </w:rPr>
              <w:t xml:space="preserve"/>
            </w:r>
          </w:p>
        </w:tc>
      </w:tr>
      <w:tr>
        <w:trPr>
          <w:cantSplit/>
          <w:trHeight w:val="380" w:hRule="atLeast"/>
        </w:trPr>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8"/>
                <w:szCs w:val="18"/>
              </w:rPr>
              <w:t xml:space="preserve"/>
            </w:r>
          </w:p>
        </w:tc>
        <w:tc>
          <w:tcPr>
            <w:tcW w:type="dxa" w:w="36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8"/>
                <w:szCs w:val="18"/>
              </w:rPr>
              <w:t xml:space="preserve"/>
            </w:r>
          </w:p>
        </w:tc>
        <w:tc>
          <w:tcPr>
            <w:tcW w:type="dxa" w:w="46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8"/>
                <w:szCs w:val="18"/>
              </w:rPr>
              <w:t xml:space="preserve"/>
            </w:r>
          </w:p>
        </w:tc>
      </w:tr>
    </w:tbl>
    <w:p>
      <w:pPr>
        <w:keepNext/>
        <w:pageBreakBefore/>
        <w:pBdr>
          <w:bottom w:val="single" w:color="0E5566" w:sz="12" w:space="2"/>
        </w:pBdr>
        <w:spacing w:after="100" w:before="0"/>
      </w:pPr>
      <w:r>
        <w:rPr>
          <w:rFonts w:ascii="Calibri" w:cs="Calibri" w:eastAsia="Calibri" w:hAnsi="Calibri"/>
          <w:b/>
          <w:bCs/>
          <w:color w:val="0E5566"/>
          <w:sz w:val="24"/>
          <w:szCs w:val="24"/>
        </w:rPr>
        <w:t xml:space="preserve">Annex B. Burner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400"/>
        <w:gridCol w:w="1500"/>
        <w:gridCol w:w="1700"/>
        <w:gridCol w:w="2438"/>
      </w:tblGrid>
      <w:tr>
        <w:trPr>
          <w:tblHeader/>
        </w:trPr>
        <w:tc>
          <w:tcPr>
            <w:tcW w:type="dxa" w:w="11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Furnace</w:t>
            </w:r>
          </w:p>
        </w:tc>
        <w:tc>
          <w:tcPr>
            <w:tcW w:type="dxa" w:w="15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Chamber / zone</w:t>
            </w:r>
          </w:p>
        </w:tc>
        <w:tc>
          <w:tcPr>
            <w:tcW w:type="dxa" w:w="14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Burners (no. per wall)</w:t>
            </w:r>
          </w:p>
        </w:tc>
        <w:tc>
          <w:tcPr>
            <w:tcW w:type="dxa" w:w="15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Burner type / rating</w:t>
            </w:r>
          </w:p>
        </w:tc>
        <w:tc>
          <w:tcPr>
            <w:tcW w:type="dxa" w:w="1700"/>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Flame detector (UV / ionisation)</w:t>
            </w:r>
          </w:p>
        </w:tc>
        <w:tc>
          <w:tcPr>
            <w:tcW w:type="dxa" w:w="2438"/>
            <w:tcBorders>
              <w:top w:val="single" w:color="BFC7CC" w:sz="4"/>
              <w:left w:val="single" w:color="BFC7CC" w:sz="4"/>
              <w:bottom w:val="single" w:color="BFC7CC" w:sz="4"/>
              <w:right w:val="single" w:color="BFC7CC" w:sz="4"/>
            </w:tcBorders>
            <w:shd w:fill="F2F4F5" w:color="auto" w:val="clear"/>
            <w:tcMar>
              <w:top w:type="dxa" w:w="60"/>
              <w:left w:type="dxa" w:w="100"/>
              <w:bottom w:type="dxa" w:w="60"/>
              <w:right w:type="dxa" w:w="100"/>
            </w:tcMar>
          </w:tcPr>
          <w:p>
            <w:pPr>
              <w:spacing w:after="20" w:before="0"/>
            </w:pPr>
            <w:r>
              <w:rPr>
                <w:rFonts w:ascii="Calibri" w:cs="Calibri" w:eastAsia="Calibri" w:hAnsi="Calibri"/>
                <w:b/>
                <w:bCs/>
                <w:sz w:val="20"/>
                <w:szCs w:val="20"/>
              </w:rPr>
              <w:t xml:space="preserve">Ignition (pilot / direct spark) · BMS controller model</w:t>
            </w:r>
          </w:p>
        </w:tc>
      </w:tr>
      <w:tr>
        <w:trPr>
          <w:cantSplit/>
          <w:trHeight w:val="300" w:hRule="atLeast"/>
        </w:trPr>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F-01</w:t>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Hardening Z1</w:t>
            </w:r>
          </w:p>
        </w:tc>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24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r>
      <w:tr>
        <w:trPr>
          <w:cantSplit/>
          <w:trHeight w:val="300" w:hRule="atLeast"/>
        </w:trPr>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Hardening Z2</w:t>
            </w:r>
          </w:p>
        </w:tc>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24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r>
      <w:tr>
        <w:trPr>
          <w:cantSplit/>
          <w:trHeight w:val="300" w:hRule="atLeast"/>
        </w:trPr>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Hardening Z3</w:t>
            </w:r>
          </w:p>
        </w:tc>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24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r>
      <w:tr>
        <w:trPr>
          <w:cantSplit/>
          <w:trHeight w:val="300" w:hRule="atLeast"/>
        </w:trPr>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Tempering Z1</w:t>
            </w:r>
          </w:p>
        </w:tc>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24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r>
      <w:tr>
        <w:trPr>
          <w:cantSplit/>
          <w:trHeight w:val="300" w:hRule="atLeast"/>
        </w:trPr>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Tempering Z2</w:t>
            </w:r>
          </w:p>
        </w:tc>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24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r>
      <w:tr>
        <w:trPr>
          <w:cantSplit/>
          <w:trHeight w:val="300" w:hRule="atLeast"/>
        </w:trPr>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Tempering Z3</w:t>
            </w:r>
          </w:p>
        </w:tc>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24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r>
      <w:tr>
        <w:trPr>
          <w:cantSplit/>
          <w:trHeight w:val="300" w:hRule="atLeast"/>
        </w:trPr>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F-02</w:t>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Hardening Z1</w:t>
            </w:r>
          </w:p>
        </w:tc>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24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r>
      <w:tr>
        <w:trPr>
          <w:cantSplit/>
          <w:trHeight w:val="300" w:hRule="atLeast"/>
        </w:trPr>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Hardening Z2</w:t>
            </w:r>
          </w:p>
        </w:tc>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24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r>
      <w:tr>
        <w:trPr>
          <w:cantSplit/>
          <w:trHeight w:val="300" w:hRule="atLeast"/>
        </w:trPr>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Hardening Z3</w:t>
            </w:r>
          </w:p>
        </w:tc>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24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r>
      <w:tr>
        <w:trPr>
          <w:cantSplit/>
          <w:trHeight w:val="300" w:hRule="atLeast"/>
        </w:trPr>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Tempering Z1</w:t>
            </w:r>
          </w:p>
        </w:tc>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24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r>
      <w:tr>
        <w:trPr>
          <w:cantSplit/>
          <w:trHeight w:val="300" w:hRule="atLeast"/>
        </w:trPr>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Tempering Z2</w:t>
            </w:r>
          </w:p>
        </w:tc>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24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r>
      <w:tr>
        <w:trPr>
          <w:cantSplit/>
          <w:trHeight w:val="300" w:hRule="atLeast"/>
        </w:trPr>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Tempering Z3</w:t>
            </w:r>
          </w:p>
        </w:tc>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24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r>
      <w:tr>
        <w:trPr>
          <w:cantSplit/>
          <w:trHeight w:val="300" w:hRule="atLeast"/>
        </w:trPr>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F-03</w:t>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Hardening Z1</w:t>
            </w:r>
          </w:p>
        </w:tc>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24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r>
      <w:tr>
        <w:trPr>
          <w:cantSplit/>
          <w:trHeight w:val="300" w:hRule="atLeast"/>
        </w:trPr>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Hardening Z2</w:t>
            </w:r>
          </w:p>
        </w:tc>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24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r>
      <w:tr>
        <w:trPr>
          <w:cantSplit/>
          <w:trHeight w:val="300" w:hRule="atLeast"/>
        </w:trPr>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Hardening Z3</w:t>
            </w:r>
          </w:p>
        </w:tc>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24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r>
      <w:tr>
        <w:trPr>
          <w:cantSplit/>
          <w:trHeight w:val="300" w:hRule="atLeast"/>
        </w:trPr>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Tempering Z1</w:t>
            </w:r>
          </w:p>
        </w:tc>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24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r>
      <w:tr>
        <w:trPr>
          <w:cantSplit/>
          <w:trHeight w:val="300" w:hRule="atLeast"/>
        </w:trPr>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Tempering Z2</w:t>
            </w:r>
          </w:p>
        </w:tc>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24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r>
      <w:tr>
        <w:trPr>
          <w:cantSplit/>
          <w:trHeight w:val="300" w:hRule="atLeast"/>
        </w:trPr>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Tempering Z3</w:t>
            </w:r>
          </w:p>
        </w:tc>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24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r>
      <w:tr>
        <w:trPr>
          <w:cantSplit/>
          <w:trHeight w:val="300" w:hRule="atLeast"/>
        </w:trPr>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F-04</w:t>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Hardening Z1</w:t>
            </w:r>
          </w:p>
        </w:tc>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24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r>
      <w:tr>
        <w:trPr>
          <w:cantSplit/>
          <w:trHeight w:val="300" w:hRule="atLeast"/>
        </w:trPr>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Hardening Z2</w:t>
            </w:r>
          </w:p>
        </w:tc>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24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r>
      <w:tr>
        <w:trPr>
          <w:cantSplit/>
          <w:trHeight w:val="300" w:hRule="atLeast"/>
        </w:trPr>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Hardening Z3</w:t>
            </w:r>
          </w:p>
        </w:tc>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24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r>
      <w:tr>
        <w:trPr>
          <w:cantSplit/>
          <w:trHeight w:val="300" w:hRule="atLeast"/>
        </w:trPr>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Tempering Z1</w:t>
            </w:r>
          </w:p>
        </w:tc>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24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r>
      <w:tr>
        <w:trPr>
          <w:cantSplit/>
          <w:trHeight w:val="300" w:hRule="atLeast"/>
        </w:trPr>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Tempering Z2</w:t>
            </w:r>
          </w:p>
        </w:tc>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24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r>
      <w:tr>
        <w:trPr>
          <w:cantSplit/>
          <w:trHeight w:val="300" w:hRule="atLeast"/>
        </w:trPr>
        <w:tc>
          <w:tcPr>
            <w:tcW w:type="dxa" w:w="11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Tempering Z3</w:t>
            </w:r>
          </w:p>
        </w:tc>
        <w:tc>
          <w:tcPr>
            <w:tcW w:type="dxa" w:w="14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5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1700"/>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c>
          <w:tcPr>
            <w:tcW w:type="dxa" w:w="2438"/>
            <w:tcBorders>
              <w:top w:val="single" w:color="BFC7CC" w:sz="4"/>
              <w:left w:val="single" w:color="BFC7CC" w:sz="4"/>
              <w:bottom w:val="single" w:color="BFC7CC" w:sz="4"/>
              <w:right w:val="single" w:color="BFC7CC" w:sz="4"/>
            </w:tcBorders>
            <w:tcMar>
              <w:top w:type="dxa" w:w="60"/>
              <w:left w:type="dxa" w:w="100"/>
              <w:bottom w:type="dxa" w:w="60"/>
              <w:right w:type="dxa" w:w="100"/>
            </w:tcMar>
          </w:tcPr>
          <w:p>
            <w:pPr>
              <w:spacing w:after="20" w:before="0"/>
            </w:pPr>
            <w:r>
              <w:rPr>
                <w:rFonts w:ascii="Calibri" w:cs="Calibri" w:eastAsia="Calibri" w:hAnsi="Calibri"/>
                <w:sz w:val="16"/>
                <w:szCs w:val="16"/>
              </w:rPr>
              <w:t xml:space="preserve"/>
            </w:r>
          </w:p>
        </w:tc>
      </w:tr>
    </w:tbl>
    <w:sectPr>
      <w:headerReference w:type="default" r:id="rId7"/>
      <w:footerReference w:type="default" r:id="rId8"/>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76838C"/>
        <w:sz w:val="14"/>
        <w:szCs w:val="14"/>
      </w:rPr>
      <w:t xml:space="preserve">Controlled document: printed copies are uncontrolled unless stamped. Check the revision in force on the Procedures &amp; WIs page.</w:t>
    </w:r>
    <w:r>
      <w:rPr>
        <w:rFonts w:ascii="Calibri" w:cs="Calibri" w:eastAsia="Calibri" w:hAnsi="Calibri"/>
        <w:color w:val="76838C"/>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rFonts w:ascii="Calibri" w:cs="Calibri" w:eastAsia="Calibri" w:hAnsi="Calibri"/>
        <w:color w:val="76838C"/>
        <w:sz w:val="16"/>
        <w:szCs w:val="16"/>
      </w:rPr>
      <w:t xml:space="preserve">WI-HT-12 rev 0 · Burner management system and burner sequence</w:t>
    </w:r>
    <w:r>
      <w:rPr>
        <w:rFonts w:ascii="Calibri" w:cs="Calibri" w:eastAsia="Calibri" w:hAnsi="Calibri"/>
        <w:color w:val="76838C"/>
        <w:sz w:val="16"/>
        <w:szCs w:val="16"/>
      </w:rPr>
      <w:t xml:space="preserve">	Mass Wire and Steels Pvt. Ltd. · Bhiwadi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2026-10-22T12:00:44.635Z</dcterms:created>
  <dcterms:modified xsi:type="dcterms:W3CDTF">2026-10-22T12:00:44.636Z</dcterms:modified>
</cp:coreProperties>
</file>

<file path=docProps/custom.xml><?xml version="1.0" encoding="utf-8"?>
<Properties xmlns="http://schemas.openxmlformats.org/officeDocument/2006/custom-properties" xmlns:vt="http://schemas.openxmlformats.org/officeDocument/2006/docPropsVTypes"/>
</file>