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CC9D8" w14:textId="4002A37B" w:rsidR="0097314D" w:rsidRPr="00A601FF" w:rsidRDefault="00781DAC" w:rsidP="004C7B72">
      <w:pPr>
        <w:jc w:val="center"/>
        <w:rPr>
          <w:rFonts w:ascii="Times New Roman" w:hAnsi="Times New Roman" w:cs="Times New Roman"/>
          <w:sz w:val="52"/>
          <w:szCs w:val="52"/>
        </w:rPr>
      </w:pPr>
      <w:r w:rsidRPr="00A601FF">
        <w:rPr>
          <w:rFonts w:ascii="Times New Roman" w:hAnsi="Times New Roman" w:cs="Times New Roman"/>
          <w:sz w:val="52"/>
          <w:szCs w:val="52"/>
        </w:rPr>
        <w:t>Brief Report</w:t>
      </w:r>
    </w:p>
    <w:p w14:paraId="34CE4CD8" w14:textId="196D0852" w:rsidR="00781DAC" w:rsidRDefault="00781DAC" w:rsidP="00781DAC">
      <w:pPr>
        <w:spacing w:after="0" w:line="240" w:lineRule="auto"/>
        <w:rPr>
          <w:rFonts w:ascii="Times New Roman" w:eastAsia="Times New Roman" w:hAnsi="Times New Roman" w:cs="Times New Roman"/>
          <w:kern w:val="0"/>
          <w:lang w:eastAsia="en-IN"/>
          <w14:ligatures w14:val="none"/>
        </w:rPr>
      </w:pPr>
      <w:r w:rsidRPr="00781DAC">
        <w:rPr>
          <w:rFonts w:ascii="Times New Roman" w:eastAsia="Times New Roman" w:hAnsi="Times New Roman" w:cs="Times New Roman"/>
          <w:kern w:val="0"/>
          <w:lang w:eastAsia="en-IN"/>
          <w14:ligatures w14:val="none"/>
        </w:rPr>
        <w:t xml:space="preserve">Total Revenue per Region: </w:t>
      </w:r>
      <w:r w:rsidRPr="00781DAC">
        <w:rPr>
          <w:rFonts w:ascii="Times New Roman" w:eastAsia="Times New Roman" w:hAnsi="Times New Roman" w:cs="Times New Roman"/>
          <w:b/>
          <w:bCs/>
          <w:kern w:val="0"/>
          <w:lang w:eastAsia="en-IN"/>
          <w14:ligatures w14:val="none"/>
        </w:rPr>
        <w:t>The USA leads in total revenue</w:t>
      </w:r>
      <w:r w:rsidRPr="00781DAC">
        <w:rPr>
          <w:rFonts w:ascii="Times New Roman" w:eastAsia="Times New Roman" w:hAnsi="Times New Roman" w:cs="Times New Roman"/>
          <w:kern w:val="0"/>
          <w:lang w:eastAsia="en-IN"/>
          <w14:ligatures w14:val="none"/>
        </w:rPr>
        <w:t xml:space="preserve"> with approximately </w:t>
      </w:r>
      <w:r w:rsidRPr="00781DAC">
        <w:rPr>
          <w:rFonts w:ascii="Times New Roman" w:eastAsia="Times New Roman" w:hAnsi="Times New Roman" w:cs="Times New Roman"/>
          <w:b/>
          <w:bCs/>
          <w:kern w:val="0"/>
          <w:lang w:eastAsia="en-IN"/>
          <w14:ligatures w14:val="none"/>
        </w:rPr>
        <w:t>2390.75 units</w:t>
      </w:r>
      <w:r w:rsidRPr="00781DAC">
        <w:rPr>
          <w:rFonts w:ascii="Times New Roman" w:eastAsia="Times New Roman" w:hAnsi="Times New Roman" w:cs="Times New Roman"/>
          <w:kern w:val="0"/>
          <w:lang w:eastAsia="en-IN"/>
          <w14:ligatures w14:val="none"/>
        </w:rPr>
        <w:t xml:space="preserve">, followed by </w:t>
      </w:r>
      <w:r w:rsidRPr="00781DAC">
        <w:rPr>
          <w:rFonts w:ascii="Times New Roman" w:eastAsia="Times New Roman" w:hAnsi="Times New Roman" w:cs="Times New Roman"/>
          <w:b/>
          <w:bCs/>
          <w:kern w:val="0"/>
          <w:lang w:eastAsia="en-IN"/>
          <w14:ligatures w14:val="none"/>
        </w:rPr>
        <w:t>Western Europe with 1155.26 units</w:t>
      </w:r>
      <w:r w:rsidRPr="00781DAC">
        <w:rPr>
          <w:rFonts w:ascii="Times New Roman" w:eastAsia="Times New Roman" w:hAnsi="Times New Roman" w:cs="Times New Roman"/>
          <w:kern w:val="0"/>
          <w:lang w:eastAsia="en-IN"/>
          <w14:ligatures w14:val="none"/>
        </w:rPr>
        <w:t xml:space="preserve">. The </w:t>
      </w:r>
      <w:r w:rsidRPr="00781DAC">
        <w:rPr>
          <w:rFonts w:ascii="Times New Roman" w:eastAsia="Times New Roman" w:hAnsi="Times New Roman" w:cs="Times New Roman"/>
          <w:b/>
          <w:bCs/>
          <w:kern w:val="0"/>
          <w:lang w:eastAsia="en-IN"/>
          <w14:ligatures w14:val="none"/>
        </w:rPr>
        <w:t>lowest revenue is from Canada, with around 90.44 units</w:t>
      </w:r>
      <w:r w:rsidRPr="003E6D37">
        <w:rPr>
          <w:rFonts w:ascii="Times New Roman" w:eastAsia="Times New Roman" w:hAnsi="Times New Roman" w:cs="Times New Roman"/>
          <w:b/>
          <w:bCs/>
          <w:kern w:val="0"/>
          <w:lang w:eastAsia="en-IN"/>
          <w14:ligatures w14:val="none"/>
        </w:rPr>
        <w:t xml:space="preserve"> and Central &amp; Eastern Europe with around 88.65</w:t>
      </w:r>
      <w:r w:rsidRPr="00781DAC">
        <w:rPr>
          <w:rFonts w:ascii="Times New Roman" w:eastAsia="Times New Roman" w:hAnsi="Times New Roman" w:cs="Times New Roman"/>
          <w:b/>
          <w:bCs/>
          <w:kern w:val="0"/>
          <w:lang w:eastAsia="en-IN"/>
          <w14:ligatures w14:val="none"/>
        </w:rPr>
        <w:t>.</w:t>
      </w:r>
    </w:p>
    <w:p w14:paraId="1D3803EA" w14:textId="77777777" w:rsidR="004C7B72" w:rsidRDefault="004C7B72" w:rsidP="00781DAC">
      <w:pPr>
        <w:spacing w:after="0" w:line="240" w:lineRule="auto"/>
        <w:rPr>
          <w:rFonts w:ascii="Times New Roman" w:eastAsia="Times New Roman" w:hAnsi="Times New Roman" w:cs="Times New Roman"/>
          <w:kern w:val="0"/>
          <w:lang w:eastAsia="en-IN"/>
          <w14:ligatures w14:val="none"/>
        </w:rPr>
      </w:pPr>
    </w:p>
    <w:p w14:paraId="228EEADE" w14:textId="0A24ACE5" w:rsidR="004C7B72" w:rsidRPr="00A601FF" w:rsidRDefault="004C7B72" w:rsidP="00781DAC">
      <w:pPr>
        <w:spacing w:after="0" w:line="240" w:lineRule="auto"/>
        <w:rPr>
          <w:rFonts w:ascii="Times New Roman" w:eastAsia="Times New Roman" w:hAnsi="Times New Roman" w:cs="Times New Roman"/>
          <w:kern w:val="0"/>
          <w:lang w:eastAsia="en-IN"/>
          <w14:ligatures w14:val="none"/>
        </w:rPr>
      </w:pPr>
      <w:r>
        <w:rPr>
          <w:noProof/>
        </w:rPr>
        <w:drawing>
          <wp:inline distT="0" distB="0" distL="0" distR="0" wp14:anchorId="3C0978CD" wp14:editId="6E9020D9">
            <wp:extent cx="5731510" cy="1722120"/>
            <wp:effectExtent l="0" t="0" r="2540" b="0"/>
            <wp:docPr id="542876468" name="Chart 1">
              <a:extLst xmlns:a="http://schemas.openxmlformats.org/drawingml/2006/main">
                <a:ext uri="{FF2B5EF4-FFF2-40B4-BE49-F238E27FC236}">
                  <a16:creationId xmlns:a16="http://schemas.microsoft.com/office/drawing/2014/main" id="{C804E09C-18DC-41D5-A3F9-FDF8267BEB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066E71" w14:textId="77777777" w:rsidR="00D3433E" w:rsidRPr="00A601FF" w:rsidRDefault="00D3433E" w:rsidP="00781DAC">
      <w:pPr>
        <w:spacing w:after="0" w:line="240" w:lineRule="auto"/>
        <w:rPr>
          <w:rFonts w:ascii="Times New Roman" w:eastAsia="Times New Roman" w:hAnsi="Times New Roman" w:cs="Times New Roman"/>
          <w:kern w:val="0"/>
          <w:lang w:eastAsia="en-IN"/>
          <w14:ligatures w14:val="none"/>
        </w:rPr>
      </w:pPr>
    </w:p>
    <w:p w14:paraId="2AC57725" w14:textId="77777777" w:rsidR="00781DAC" w:rsidRPr="00A601FF" w:rsidRDefault="00781DAC" w:rsidP="00781DAC">
      <w:pPr>
        <w:spacing w:after="0" w:line="240" w:lineRule="auto"/>
        <w:rPr>
          <w:rFonts w:ascii="Times New Roman" w:eastAsia="Times New Roman" w:hAnsi="Times New Roman" w:cs="Times New Roman"/>
          <w:kern w:val="0"/>
          <w:lang w:eastAsia="en-IN"/>
          <w14:ligatures w14:val="none"/>
        </w:rPr>
      </w:pPr>
    </w:p>
    <w:p w14:paraId="5585F97A" w14:textId="07A7613B" w:rsidR="004C7B72" w:rsidRDefault="00781DAC" w:rsidP="00A865C7">
      <w:pPr>
        <w:spacing w:after="0" w:line="240" w:lineRule="auto"/>
      </w:pPr>
      <w:r w:rsidRPr="003E6D37">
        <w:rPr>
          <w:rFonts w:ascii="Times New Roman" w:eastAsia="Times New Roman" w:hAnsi="Times New Roman" w:cs="Times New Roman"/>
          <w:kern w:val="0"/>
          <w:lang w:eastAsia="en-IN"/>
          <w14:ligatures w14:val="none"/>
        </w:rPr>
        <w:t xml:space="preserve">The </w:t>
      </w:r>
      <w:r w:rsidRPr="003E6D37">
        <w:rPr>
          <w:rFonts w:ascii="Times New Roman" w:eastAsia="Times New Roman" w:hAnsi="Times New Roman" w:cs="Times New Roman"/>
          <w:b/>
          <w:bCs/>
          <w:kern w:val="0"/>
          <w:lang w:eastAsia="en-IN"/>
          <w14:ligatures w14:val="none"/>
        </w:rPr>
        <w:t>Citrix Virtual Apps leads in total revenue with approx. 1323.71</w:t>
      </w:r>
      <w:r w:rsidRPr="003E6D37">
        <w:rPr>
          <w:rFonts w:ascii="Times New Roman" w:eastAsia="Times New Roman" w:hAnsi="Times New Roman" w:cs="Times New Roman"/>
          <w:kern w:val="0"/>
          <w:lang w:eastAsia="en-IN"/>
          <w14:ligatures w14:val="none"/>
        </w:rPr>
        <w:t xml:space="preserve"> followed by </w:t>
      </w:r>
      <w:r w:rsidRPr="003E6D37">
        <w:rPr>
          <w:rFonts w:ascii="Times New Roman" w:eastAsia="Times New Roman" w:hAnsi="Times New Roman" w:cs="Times New Roman"/>
          <w:b/>
          <w:bCs/>
          <w:kern w:val="0"/>
          <w:lang w:eastAsia="en-IN"/>
          <w14:ligatures w14:val="none"/>
        </w:rPr>
        <w:t>Citrix Virtual Desktops</w:t>
      </w:r>
      <w:r w:rsidRPr="003E6D37">
        <w:rPr>
          <w:rFonts w:ascii="Times New Roman" w:eastAsia="Times New Roman" w:hAnsi="Times New Roman" w:cs="Times New Roman"/>
          <w:kern w:val="0"/>
          <w:lang w:eastAsia="en-IN"/>
          <w14:ligatures w14:val="none"/>
        </w:rPr>
        <w:t xml:space="preserve"> with </w:t>
      </w:r>
      <w:r w:rsidRPr="003E6D37">
        <w:rPr>
          <w:rFonts w:ascii="Times New Roman" w:eastAsia="Times New Roman" w:hAnsi="Times New Roman" w:cs="Times New Roman"/>
          <w:b/>
          <w:bCs/>
          <w:kern w:val="0"/>
          <w:lang w:eastAsia="en-IN"/>
          <w14:ligatures w14:val="none"/>
        </w:rPr>
        <w:t>847.97</w:t>
      </w:r>
      <w:r w:rsidRPr="003E6D37">
        <w:rPr>
          <w:rFonts w:ascii="Times New Roman" w:eastAsia="Times New Roman" w:hAnsi="Times New Roman" w:cs="Times New Roman"/>
          <w:kern w:val="0"/>
          <w:lang w:eastAsia="en-IN"/>
          <w14:ligatures w14:val="none"/>
        </w:rPr>
        <w:t xml:space="preserve">. </w:t>
      </w:r>
      <w:r w:rsidR="003E6D37" w:rsidRPr="003E6D37">
        <w:rPr>
          <w:b/>
          <w:bCs/>
        </w:rPr>
        <w:t>Out of 25 products</w:t>
      </w:r>
      <w:r w:rsidR="003E6D37">
        <w:t xml:space="preserve">, only </w:t>
      </w:r>
      <w:r w:rsidR="003E6D37">
        <w:rPr>
          <w:b/>
          <w:bCs/>
        </w:rPr>
        <w:t>3</w:t>
      </w:r>
      <w:r w:rsidR="003E6D37" w:rsidRPr="003E6D37">
        <w:rPr>
          <w:b/>
          <w:bCs/>
        </w:rPr>
        <w:t xml:space="preserve"> have revenue exceeding 500 units</w:t>
      </w:r>
      <w:r w:rsidR="003E6D37">
        <w:t xml:space="preserve">. Products like </w:t>
      </w:r>
      <w:r w:rsidR="003E6D37" w:rsidRPr="003E6D37">
        <w:rPr>
          <w:b/>
          <w:bCs/>
        </w:rPr>
        <w:t xml:space="preserve">"Melio" and "Citrix Analytics" have the </w:t>
      </w:r>
      <w:r w:rsidR="003E6D37">
        <w:rPr>
          <w:b/>
          <w:bCs/>
        </w:rPr>
        <w:t>Zero</w:t>
      </w:r>
      <w:r w:rsidR="003E6D37" w:rsidRPr="003E6D37">
        <w:rPr>
          <w:b/>
          <w:bCs/>
        </w:rPr>
        <w:t xml:space="preserve"> revenu</w:t>
      </w:r>
      <w:r w:rsidR="003E6D37">
        <w:rPr>
          <w:b/>
          <w:bCs/>
        </w:rPr>
        <w:t>e</w:t>
      </w:r>
      <w:r w:rsidR="003E6D37">
        <w:t>.</w:t>
      </w:r>
    </w:p>
    <w:p w14:paraId="7ECBE2F7" w14:textId="77777777" w:rsidR="003E6D37" w:rsidRDefault="003E6D37" w:rsidP="00A865C7">
      <w:pPr>
        <w:spacing w:after="0" w:line="240" w:lineRule="auto"/>
        <w:rPr>
          <w:rFonts w:ascii="Times New Roman" w:eastAsia="Times New Roman" w:hAnsi="Times New Roman" w:cs="Times New Roman"/>
          <w:kern w:val="0"/>
          <w:lang w:eastAsia="en-IN"/>
          <w14:ligatures w14:val="none"/>
        </w:rPr>
      </w:pPr>
    </w:p>
    <w:p w14:paraId="071993E6" w14:textId="7B4B84D7" w:rsidR="004C7B72" w:rsidRPr="00A601FF" w:rsidRDefault="004C7B72" w:rsidP="00A865C7">
      <w:pPr>
        <w:spacing w:after="0" w:line="240" w:lineRule="auto"/>
        <w:rPr>
          <w:rFonts w:ascii="Times New Roman" w:eastAsia="Times New Roman" w:hAnsi="Times New Roman" w:cs="Times New Roman"/>
          <w:kern w:val="0"/>
          <w:lang w:eastAsia="en-IN"/>
          <w14:ligatures w14:val="none"/>
        </w:rPr>
      </w:pPr>
      <w:r>
        <w:rPr>
          <w:noProof/>
        </w:rPr>
        <w:drawing>
          <wp:inline distT="0" distB="0" distL="0" distR="0" wp14:anchorId="1B342558" wp14:editId="2DC74D33">
            <wp:extent cx="5731510" cy="4220845"/>
            <wp:effectExtent l="0" t="0" r="2540" b="8255"/>
            <wp:docPr id="2019612663" name="Chart 1">
              <a:extLst xmlns:a="http://schemas.openxmlformats.org/drawingml/2006/main">
                <a:ext uri="{FF2B5EF4-FFF2-40B4-BE49-F238E27FC236}">
                  <a16:creationId xmlns:a16="http://schemas.microsoft.com/office/drawing/2014/main" id="{BA13171E-62F3-4EA0-9B32-F1E8B070D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C9910E" w14:textId="77777777" w:rsidR="00781DAC" w:rsidRPr="00781DAC" w:rsidRDefault="00781DAC" w:rsidP="00781DAC">
      <w:pPr>
        <w:spacing w:after="0" w:line="240" w:lineRule="auto"/>
        <w:rPr>
          <w:rFonts w:ascii="Times New Roman" w:eastAsia="Times New Roman" w:hAnsi="Times New Roman" w:cs="Times New Roman"/>
          <w:kern w:val="0"/>
          <w:lang w:eastAsia="en-IN"/>
          <w14:ligatures w14:val="none"/>
        </w:rPr>
      </w:pPr>
    </w:p>
    <w:p w14:paraId="28A5C0B1" w14:textId="63F7CC31" w:rsidR="003E6D37" w:rsidRPr="00A601FF" w:rsidRDefault="003E6D37" w:rsidP="003E6D37">
      <w:pPr>
        <w:rPr>
          <w:rFonts w:ascii="Times New Roman" w:eastAsia="Times New Roman" w:hAnsi="Times New Roman" w:cs="Times New Roman"/>
          <w:kern w:val="0"/>
          <w:sz w:val="24"/>
          <w:szCs w:val="24"/>
          <w:lang w:eastAsia="en-IN"/>
          <w14:ligatures w14:val="none"/>
        </w:rPr>
      </w:pPr>
      <w:r w:rsidRPr="00A601FF">
        <w:rPr>
          <w:rFonts w:ascii="Times New Roman" w:eastAsia="Times New Roman" w:hAnsi="Times New Roman" w:cs="Times New Roman"/>
          <w:kern w:val="0"/>
          <w:sz w:val="24"/>
          <w:szCs w:val="24"/>
          <w:lang w:eastAsia="en-IN"/>
          <w14:ligatures w14:val="none"/>
        </w:rPr>
        <w:t xml:space="preserve">The bar chart indicates that products like </w:t>
      </w:r>
      <w:r w:rsidRPr="003E6D37">
        <w:rPr>
          <w:rFonts w:ascii="Times New Roman" w:eastAsia="Times New Roman" w:hAnsi="Times New Roman" w:cs="Times New Roman"/>
          <w:b/>
          <w:bCs/>
          <w:kern w:val="0"/>
          <w:sz w:val="24"/>
          <w:szCs w:val="24"/>
          <w:lang w:eastAsia="en-IN"/>
          <w14:ligatures w14:val="none"/>
        </w:rPr>
        <w:t>"Citrix Virtual Apps" and "Citrix Virtual Desktops" dominate</w:t>
      </w:r>
      <w:r w:rsidRPr="00A601FF">
        <w:rPr>
          <w:rFonts w:ascii="Times New Roman" w:eastAsia="Times New Roman" w:hAnsi="Times New Roman" w:cs="Times New Roman"/>
          <w:kern w:val="0"/>
          <w:sz w:val="24"/>
          <w:szCs w:val="24"/>
          <w:lang w:eastAsia="en-IN"/>
          <w14:ligatures w14:val="none"/>
        </w:rPr>
        <w:t xml:space="preserve"> the revenue contributions. This insight is crucial for strategic product development and marketing efforts.</w:t>
      </w:r>
    </w:p>
    <w:p w14:paraId="0882A138" w14:textId="77777777" w:rsidR="004C7B72" w:rsidRDefault="004C7B72" w:rsidP="00781DAC">
      <w:pPr>
        <w:rPr>
          <w:rFonts w:ascii="Times New Roman" w:eastAsia="Times New Roman" w:hAnsi="Times New Roman" w:cs="Times New Roman"/>
          <w:b/>
          <w:bCs/>
          <w:kern w:val="0"/>
          <w:lang w:eastAsia="en-IN"/>
          <w14:ligatures w14:val="none"/>
        </w:rPr>
      </w:pPr>
    </w:p>
    <w:p w14:paraId="767AB091" w14:textId="346150CA" w:rsidR="00A865C7" w:rsidRPr="003E6D37" w:rsidRDefault="00781DAC" w:rsidP="00781DAC">
      <w:pPr>
        <w:rPr>
          <w:rFonts w:ascii="Times New Roman" w:eastAsia="Times New Roman" w:hAnsi="Times New Roman" w:cs="Times New Roman"/>
          <w:b/>
          <w:bCs/>
          <w:kern w:val="0"/>
          <w:lang w:eastAsia="en-IN"/>
          <w14:ligatures w14:val="none"/>
        </w:rPr>
      </w:pPr>
      <w:r w:rsidRPr="00A601FF">
        <w:rPr>
          <w:rFonts w:ascii="Times New Roman" w:eastAsia="Times New Roman" w:hAnsi="Times New Roman" w:cs="Times New Roman"/>
          <w:kern w:val="0"/>
          <w:lang w:eastAsia="en-IN"/>
          <w14:ligatures w14:val="none"/>
        </w:rPr>
        <w:t xml:space="preserve">The pivot table highlights the revenue contribution of each product across different regions. Products like </w:t>
      </w:r>
      <w:r w:rsidRPr="003E6D37">
        <w:rPr>
          <w:rFonts w:ascii="Times New Roman" w:eastAsia="Times New Roman" w:hAnsi="Times New Roman" w:cs="Times New Roman"/>
          <w:b/>
          <w:bCs/>
          <w:kern w:val="0"/>
          <w:lang w:eastAsia="en-IN"/>
          <w14:ligatures w14:val="none"/>
        </w:rPr>
        <w:t>"Citrix Virtual Apps" and "Citrix Virtual Desktops" have significant revenue contributions across multiple regions.</w:t>
      </w:r>
    </w:p>
    <w:p w14:paraId="53C3B5E8" w14:textId="77777777" w:rsidR="004C7B72" w:rsidRPr="00A601FF" w:rsidRDefault="004C7B72" w:rsidP="00781DAC">
      <w:pPr>
        <w:rPr>
          <w:rFonts w:ascii="Times New Roman" w:eastAsia="Times New Roman" w:hAnsi="Times New Roman" w:cs="Times New Roman"/>
          <w:kern w:val="0"/>
          <w:lang w:eastAsia="en-IN"/>
          <w14:ligatures w14:val="none"/>
        </w:rPr>
      </w:pPr>
    </w:p>
    <w:p w14:paraId="502772A3" w14:textId="146518D2" w:rsidR="00A865C7" w:rsidRDefault="00A865C7" w:rsidP="00A865C7">
      <w:pPr>
        <w:spacing w:after="0" w:line="240" w:lineRule="auto"/>
        <w:rPr>
          <w:rFonts w:ascii="Times New Roman" w:eastAsia="Times New Roman" w:hAnsi="Times New Roman" w:cs="Times New Roman"/>
          <w:kern w:val="0"/>
          <w:sz w:val="24"/>
          <w:szCs w:val="24"/>
          <w:lang w:eastAsia="en-IN"/>
          <w14:ligatures w14:val="none"/>
        </w:rPr>
      </w:pPr>
      <w:r w:rsidRPr="00A865C7">
        <w:rPr>
          <w:rFonts w:ascii="Times New Roman" w:eastAsia="Times New Roman" w:hAnsi="Times New Roman" w:cs="Times New Roman"/>
          <w:kern w:val="0"/>
          <w:sz w:val="24"/>
          <w:szCs w:val="24"/>
          <w:lang w:eastAsia="en-IN"/>
          <w14:ligatures w14:val="none"/>
        </w:rPr>
        <w:t>The line chart shows how revenue trends vary across regions over different half-year periods. This visualization helps in identifying seasonal patterns or growth trends in specific regions.</w:t>
      </w:r>
    </w:p>
    <w:p w14:paraId="5927796A" w14:textId="5916C6E1" w:rsidR="004C7B72" w:rsidRPr="00A601FF" w:rsidRDefault="004C7B72" w:rsidP="00A865C7">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59D8795B" wp14:editId="21CB7CC7">
            <wp:extent cx="5731510" cy="2245995"/>
            <wp:effectExtent l="0" t="0" r="2540" b="1905"/>
            <wp:docPr id="715590378" name="Chart 1">
              <a:extLst xmlns:a="http://schemas.openxmlformats.org/drawingml/2006/main">
                <a:ext uri="{FF2B5EF4-FFF2-40B4-BE49-F238E27FC236}">
                  <a16:creationId xmlns:a16="http://schemas.microsoft.com/office/drawing/2014/main" id="{0E171945-20F4-E242-343C-1738EC756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6285FE" w14:textId="77777777" w:rsidR="00A865C7" w:rsidRPr="00A865C7" w:rsidRDefault="00A865C7" w:rsidP="00A865C7">
      <w:pPr>
        <w:spacing w:after="0" w:line="240" w:lineRule="auto"/>
        <w:rPr>
          <w:rFonts w:ascii="Times New Roman" w:eastAsia="Times New Roman" w:hAnsi="Times New Roman" w:cs="Times New Roman"/>
          <w:kern w:val="0"/>
          <w:sz w:val="24"/>
          <w:szCs w:val="24"/>
          <w:lang w:eastAsia="en-IN"/>
          <w14:ligatures w14:val="none"/>
        </w:rPr>
      </w:pPr>
    </w:p>
    <w:p w14:paraId="2E072199" w14:textId="77777777" w:rsidR="00D3433E" w:rsidRPr="00A601FF" w:rsidRDefault="00D3433E" w:rsidP="00A865C7">
      <w:pPr>
        <w:rPr>
          <w:rFonts w:ascii="Times New Roman" w:eastAsia="Times New Roman" w:hAnsi="Times New Roman" w:cs="Times New Roman"/>
          <w:kern w:val="0"/>
          <w:sz w:val="24"/>
          <w:szCs w:val="24"/>
          <w:lang w:eastAsia="en-IN"/>
          <w14:ligatures w14:val="none"/>
        </w:rPr>
      </w:pPr>
    </w:p>
    <w:p w14:paraId="483B2758" w14:textId="77777777" w:rsidR="00D3433E" w:rsidRPr="00A601FF" w:rsidRDefault="00D3433E" w:rsidP="00A865C7">
      <w:pPr>
        <w:rPr>
          <w:rFonts w:ascii="Times New Roman" w:eastAsia="Times New Roman" w:hAnsi="Times New Roman" w:cs="Times New Roman"/>
          <w:kern w:val="0"/>
          <w:sz w:val="24"/>
          <w:szCs w:val="24"/>
          <w:lang w:eastAsia="en-IN"/>
          <w14:ligatures w14:val="none"/>
        </w:rPr>
      </w:pPr>
    </w:p>
    <w:p w14:paraId="576CB262" w14:textId="77777777" w:rsidR="00D3433E" w:rsidRPr="00A601FF" w:rsidRDefault="00D3433E" w:rsidP="00D3433E">
      <w:pPr>
        <w:spacing w:before="100" w:beforeAutospacing="1" w:after="100" w:afterAutospacing="1" w:line="240" w:lineRule="auto"/>
        <w:jc w:val="center"/>
        <w:rPr>
          <w:rFonts w:ascii="Times New Roman" w:eastAsia="Times New Roman" w:hAnsi="Times New Roman" w:cs="Times New Roman"/>
          <w:b/>
          <w:bCs/>
          <w:kern w:val="0"/>
          <w:sz w:val="28"/>
          <w:szCs w:val="28"/>
          <w:lang w:eastAsia="en-IN"/>
          <w14:ligatures w14:val="none"/>
        </w:rPr>
      </w:pPr>
      <w:r w:rsidRPr="00D3433E">
        <w:rPr>
          <w:rFonts w:ascii="Times New Roman" w:eastAsia="Times New Roman" w:hAnsi="Times New Roman" w:cs="Times New Roman"/>
          <w:b/>
          <w:bCs/>
          <w:kern w:val="0"/>
          <w:sz w:val="28"/>
          <w:szCs w:val="28"/>
          <w:lang w:eastAsia="en-IN"/>
          <w14:ligatures w14:val="none"/>
        </w:rPr>
        <w:t>Recommendations for the Business</w:t>
      </w:r>
    </w:p>
    <w:p w14:paraId="1193DCB2" w14:textId="54D2E71C" w:rsidR="00A601FF" w:rsidRPr="00D3433E" w:rsidRDefault="00A601FF" w:rsidP="00A601FF">
      <w:pPr>
        <w:spacing w:before="100" w:beforeAutospacing="1" w:after="100" w:afterAutospacing="1" w:line="240" w:lineRule="auto"/>
        <w:rPr>
          <w:rFonts w:ascii="Times New Roman" w:eastAsia="Times New Roman" w:hAnsi="Times New Roman" w:cs="Times New Roman"/>
          <w:kern w:val="0"/>
          <w:lang w:eastAsia="en-IN"/>
          <w14:ligatures w14:val="none"/>
        </w:rPr>
      </w:pPr>
      <w:r w:rsidRPr="00A601FF">
        <w:rPr>
          <w:rFonts w:ascii="Times New Roman" w:hAnsi="Times New Roman" w:cs="Times New Roman"/>
        </w:rPr>
        <w:t xml:space="preserve">Based on the analyses, I recommend that the business focus on the </w:t>
      </w:r>
      <w:r w:rsidRPr="003E6D37">
        <w:rPr>
          <w:rFonts w:ascii="Times New Roman" w:hAnsi="Times New Roman" w:cs="Times New Roman"/>
          <w:b/>
          <w:bCs/>
        </w:rPr>
        <w:t xml:space="preserve">USA, Western </w:t>
      </w:r>
      <w:proofErr w:type="gramStart"/>
      <w:r w:rsidRPr="003E6D37">
        <w:rPr>
          <w:rFonts w:ascii="Times New Roman" w:hAnsi="Times New Roman" w:cs="Times New Roman"/>
          <w:b/>
          <w:bCs/>
        </w:rPr>
        <w:t>Europe</w:t>
      </w:r>
      <w:proofErr w:type="gramEnd"/>
      <w:r w:rsidRPr="003E6D37">
        <w:rPr>
          <w:rFonts w:ascii="Times New Roman" w:hAnsi="Times New Roman" w:cs="Times New Roman"/>
          <w:b/>
          <w:bCs/>
        </w:rPr>
        <w:t xml:space="preserve"> and Canda regions</w:t>
      </w:r>
      <w:r w:rsidRPr="00A601FF">
        <w:rPr>
          <w:rFonts w:ascii="Times New Roman" w:hAnsi="Times New Roman" w:cs="Times New Roman"/>
        </w:rPr>
        <w:t xml:space="preserve">, and prioritize the </w:t>
      </w:r>
      <w:r w:rsidRPr="003E6D37">
        <w:rPr>
          <w:rFonts w:ascii="Times New Roman" w:hAnsi="Times New Roman" w:cs="Times New Roman"/>
          <w:b/>
          <w:bCs/>
        </w:rPr>
        <w:t>development and marketing of Citrix Virtual Apps and Citrix Virtual Desktops</w:t>
      </w:r>
      <w:r w:rsidRPr="00A601FF">
        <w:rPr>
          <w:rFonts w:ascii="Times New Roman" w:hAnsi="Times New Roman" w:cs="Times New Roman"/>
        </w:rPr>
        <w:t>. Additionally, the business should consider targeting companies that offer services in the most funded month.</w:t>
      </w:r>
    </w:p>
    <w:p w14:paraId="3D361C37" w14:textId="0C428786" w:rsidR="00D3433E" w:rsidRPr="00D3433E" w:rsidRDefault="00D3433E" w:rsidP="00D3433E">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433E">
        <w:rPr>
          <w:rFonts w:ascii="Times New Roman" w:eastAsia="Times New Roman" w:hAnsi="Times New Roman" w:cs="Times New Roman"/>
          <w:kern w:val="0"/>
          <w:lang w:eastAsia="en-IN"/>
          <w14:ligatures w14:val="none"/>
        </w:rPr>
        <w:t>Products generating the most revenue, such as "Citrix Virtual Apps" and "Citrix Virtual Desktops," should be the focal point for development and marketing strategies</w:t>
      </w:r>
      <w:r w:rsidR="00A601FF" w:rsidRPr="00A601FF">
        <w:rPr>
          <w:rFonts w:ascii="Times New Roman" w:eastAsia="Times New Roman" w:hAnsi="Times New Roman" w:cs="Times New Roman"/>
          <w:kern w:val="0"/>
          <w:lang w:eastAsia="en-IN"/>
          <w14:ligatures w14:val="none"/>
        </w:rPr>
        <w:t>.</w:t>
      </w:r>
    </w:p>
    <w:p w14:paraId="5FE52DDE" w14:textId="5D2DF94C" w:rsidR="00D3433E" w:rsidRDefault="00D3433E" w:rsidP="00D3433E">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433E">
        <w:rPr>
          <w:rFonts w:ascii="Times New Roman" w:eastAsia="Times New Roman" w:hAnsi="Times New Roman" w:cs="Times New Roman"/>
          <w:kern w:val="0"/>
          <w:lang w:eastAsia="en-IN"/>
          <w14:ligatures w14:val="none"/>
        </w:rPr>
        <w:t xml:space="preserve">Regions with </w:t>
      </w:r>
      <w:r w:rsidRPr="00D3433E">
        <w:rPr>
          <w:rFonts w:ascii="Times New Roman" w:eastAsia="Times New Roman" w:hAnsi="Times New Roman" w:cs="Times New Roman"/>
          <w:b/>
          <w:bCs/>
          <w:kern w:val="0"/>
          <w:lang w:eastAsia="en-IN"/>
          <w14:ligatures w14:val="none"/>
        </w:rPr>
        <w:t>lower revenue, like Canada and Central &amp; Eastern Europe</w:t>
      </w:r>
      <w:r w:rsidRPr="00D3433E">
        <w:rPr>
          <w:rFonts w:ascii="Times New Roman" w:eastAsia="Times New Roman" w:hAnsi="Times New Roman" w:cs="Times New Roman"/>
          <w:kern w:val="0"/>
          <w:lang w:eastAsia="en-IN"/>
          <w14:ligatures w14:val="none"/>
        </w:rPr>
        <w:t xml:space="preserve">, may present </w:t>
      </w:r>
      <w:r w:rsidRPr="00D3433E">
        <w:rPr>
          <w:rFonts w:ascii="Times New Roman" w:eastAsia="Times New Roman" w:hAnsi="Times New Roman" w:cs="Times New Roman"/>
          <w:b/>
          <w:bCs/>
          <w:kern w:val="0"/>
          <w:lang w:eastAsia="en-IN"/>
          <w14:ligatures w14:val="none"/>
        </w:rPr>
        <w:t>opportunities for growth</w:t>
      </w:r>
      <w:r w:rsidRPr="00D3433E">
        <w:rPr>
          <w:rFonts w:ascii="Times New Roman" w:eastAsia="Times New Roman" w:hAnsi="Times New Roman" w:cs="Times New Roman"/>
          <w:kern w:val="0"/>
          <w:lang w:eastAsia="en-IN"/>
          <w14:ligatures w14:val="none"/>
        </w:rPr>
        <w:t xml:space="preserve"> through targeted campaigns or new product introductions.</w:t>
      </w:r>
    </w:p>
    <w:p w14:paraId="28C59C1C" w14:textId="53A267EA" w:rsidR="00781DAC" w:rsidRDefault="003E6D37" w:rsidP="00781DAC">
      <w:r>
        <w:t xml:space="preserve">Products like </w:t>
      </w:r>
      <w:r w:rsidRPr="003E6D37">
        <w:rPr>
          <w:b/>
          <w:bCs/>
        </w:rPr>
        <w:t>"Citrix Analytics" and "Melio," which have zero sales</w:t>
      </w:r>
      <w:r>
        <w:t>, need immediate attention. Evaluate whether to discontinue these products or develop strategies to boost their sales. Additionally, there are significant discrepancies in product revenue. Products with lower revenue require increased attention and strategic efforts to enhance their market performance.</w:t>
      </w:r>
    </w:p>
    <w:p w14:paraId="17CF0F99" w14:textId="77777777" w:rsidR="003E6D37" w:rsidRDefault="003E6D37" w:rsidP="00781DAC"/>
    <w:p w14:paraId="00C31E2E" w14:textId="77777777" w:rsidR="003E6D37" w:rsidRDefault="003E6D37" w:rsidP="00781DAC"/>
    <w:p w14:paraId="64518EB1" w14:textId="77777777" w:rsidR="003E6D37" w:rsidRDefault="003E6D37" w:rsidP="003E6D37">
      <w:pPr>
        <w:pStyle w:val="Heading2"/>
      </w:pPr>
    </w:p>
    <w:p w14:paraId="364B54D3" w14:textId="77777777" w:rsidR="003E6D37" w:rsidRDefault="003E6D37" w:rsidP="002B652A">
      <w:pPr>
        <w:pStyle w:val="Heading2"/>
        <w:jc w:val="center"/>
      </w:pPr>
      <w:r>
        <w:t>Candidate Information:</w:t>
      </w:r>
    </w:p>
    <w:p w14:paraId="030200D7" w14:textId="77777777" w:rsidR="003E6D37" w:rsidRDefault="003E6D37" w:rsidP="002B652A">
      <w:pPr>
        <w:jc w:val="center"/>
      </w:pPr>
      <w:r>
        <w:t>Name: ANKUR KUMAR</w:t>
      </w:r>
    </w:p>
    <w:p w14:paraId="7EE6F7F1" w14:textId="77777777" w:rsidR="003E6D37" w:rsidRDefault="003E6D37" w:rsidP="002B652A">
      <w:pPr>
        <w:jc w:val="center"/>
      </w:pPr>
      <w:r>
        <w:t>Email: ai.ankurkr@gmail.com</w:t>
      </w:r>
    </w:p>
    <w:p w14:paraId="7DC2CF76" w14:textId="77777777" w:rsidR="003E6D37" w:rsidRDefault="003E6D37" w:rsidP="002B652A">
      <w:pPr>
        <w:jc w:val="center"/>
      </w:pPr>
      <w:r>
        <w:t>Phone: 9263025968</w:t>
      </w:r>
    </w:p>
    <w:p w14:paraId="359DDCD3" w14:textId="77777777" w:rsidR="003E6D37" w:rsidRDefault="003E6D37" w:rsidP="002B652A">
      <w:pPr>
        <w:jc w:val="center"/>
      </w:pPr>
      <w:r>
        <w:t>Date: 20-06-2024</w:t>
      </w:r>
    </w:p>
    <w:p w14:paraId="5F4669B3" w14:textId="77777777" w:rsidR="003E6D37" w:rsidRPr="00781DAC" w:rsidRDefault="003E6D37" w:rsidP="00781DAC">
      <w:pPr>
        <w:rPr>
          <w:sz w:val="52"/>
          <w:szCs w:val="52"/>
        </w:rPr>
      </w:pPr>
    </w:p>
    <w:sectPr w:rsidR="003E6D37" w:rsidRPr="00781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9A3"/>
    <w:multiLevelType w:val="hybridMultilevel"/>
    <w:tmpl w:val="16066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D35DB"/>
    <w:multiLevelType w:val="multilevel"/>
    <w:tmpl w:val="B5CC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380094">
    <w:abstractNumId w:val="0"/>
  </w:num>
  <w:num w:numId="2" w16cid:durableId="116147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4D"/>
    <w:rsid w:val="002B652A"/>
    <w:rsid w:val="003E6D37"/>
    <w:rsid w:val="004C7B72"/>
    <w:rsid w:val="00781DAC"/>
    <w:rsid w:val="008F386F"/>
    <w:rsid w:val="0097314D"/>
    <w:rsid w:val="00A601FF"/>
    <w:rsid w:val="00A865C7"/>
    <w:rsid w:val="00D34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7A8D"/>
  <w15:chartTrackingRefBased/>
  <w15:docId w15:val="{4F9493E5-0C69-489D-A61A-11867AC0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E6D37"/>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1DAC"/>
    <w:rPr>
      <w:b/>
      <w:bCs/>
    </w:rPr>
  </w:style>
  <w:style w:type="paragraph" w:styleId="ListParagraph">
    <w:name w:val="List Paragraph"/>
    <w:basedOn w:val="Normal"/>
    <w:uiPriority w:val="34"/>
    <w:qFormat/>
    <w:rsid w:val="00A865C7"/>
    <w:pPr>
      <w:ind w:left="720"/>
      <w:contextualSpacing/>
    </w:pPr>
  </w:style>
  <w:style w:type="paragraph" w:styleId="NormalWeb">
    <w:name w:val="Normal (Web)"/>
    <w:basedOn w:val="Normal"/>
    <w:uiPriority w:val="99"/>
    <w:semiHidden/>
    <w:unhideWhenUsed/>
    <w:rsid w:val="00D343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3E6D37"/>
    <w:rPr>
      <w:rFonts w:asciiTheme="majorHAnsi" w:eastAsiaTheme="majorEastAsia" w:hAnsiTheme="majorHAnsi" w:cstheme="majorBidi"/>
      <w:b/>
      <w:bCs/>
      <w:color w:val="4472C4" w:themeColor="accent1"/>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66188">
      <w:bodyDiv w:val="1"/>
      <w:marLeft w:val="0"/>
      <w:marRight w:val="0"/>
      <w:marTop w:val="0"/>
      <w:marBottom w:val="0"/>
      <w:divBdr>
        <w:top w:val="none" w:sz="0" w:space="0" w:color="auto"/>
        <w:left w:val="none" w:sz="0" w:space="0" w:color="auto"/>
        <w:bottom w:val="none" w:sz="0" w:space="0" w:color="auto"/>
        <w:right w:val="none" w:sz="0" w:space="0" w:color="auto"/>
      </w:divBdr>
    </w:div>
    <w:div w:id="743339678">
      <w:bodyDiv w:val="1"/>
      <w:marLeft w:val="0"/>
      <w:marRight w:val="0"/>
      <w:marTop w:val="0"/>
      <w:marBottom w:val="0"/>
      <w:divBdr>
        <w:top w:val="none" w:sz="0" w:space="0" w:color="auto"/>
        <w:left w:val="none" w:sz="0" w:space="0" w:color="auto"/>
        <w:bottom w:val="none" w:sz="0" w:space="0" w:color="auto"/>
        <w:right w:val="none" w:sz="0" w:space="0" w:color="auto"/>
      </w:divBdr>
    </w:div>
    <w:div w:id="1229655788">
      <w:bodyDiv w:val="1"/>
      <w:marLeft w:val="0"/>
      <w:marRight w:val="0"/>
      <w:marTop w:val="0"/>
      <w:marBottom w:val="0"/>
      <w:divBdr>
        <w:top w:val="none" w:sz="0" w:space="0" w:color="auto"/>
        <w:left w:val="none" w:sz="0" w:space="0" w:color="auto"/>
        <w:bottom w:val="none" w:sz="0" w:space="0" w:color="auto"/>
        <w:right w:val="none" w:sz="0" w:space="0" w:color="auto"/>
      </w:divBdr>
    </w:div>
    <w:div w:id="214704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aman\Coding\Job%20Assignment\Trendlytics\Test%20file%20TrendLy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aman\Coding\Job%20Assignment\Trendlytics\Test%20file%20TrendLy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aman\Coding\Job%20Assignment\Trendlytics\Test%20file%20TrendLytic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[Test file TrendLytics.xlsx]Pivot Table!PivotTable38</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Total Revenue Of Diffrent Produxt</a:t>
            </a:r>
          </a:p>
        </c:rich>
      </c:tx>
      <c:layout>
        <c:manualLayout>
          <c:xMode val="edge"/>
          <c:yMode val="edge"/>
          <c:x val="0.39554924323497015"/>
          <c:y val="2.2297295636507029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pivotFmt>
      <c:pivotFmt>
        <c:idx val="2"/>
        <c:spPr>
          <a:solidFill>
            <a:schemeClr val="accent2">
              <a:lumMod val="75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lumMod val="75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lumMod val="75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8773131251891031"/>
          <c:y val="0.10863231616127277"/>
          <c:w val="0.85173426047294143"/>
          <c:h val="0.74632874952833372"/>
        </c:manualLayout>
      </c:layout>
      <c:barChart>
        <c:barDir val="bar"/>
        <c:grouping val="clustered"/>
        <c:varyColors val="0"/>
        <c:ser>
          <c:idx val="0"/>
          <c:order val="0"/>
          <c:tx>
            <c:strRef>
              <c:f>'Pivot Table'!$M$13</c:f>
              <c:strCache>
                <c:ptCount val="1"/>
                <c:pt idx="0">
                  <c:v>Total</c:v>
                </c:pt>
              </c:strCache>
            </c:strRef>
          </c:tx>
          <c:spPr>
            <a:solidFill>
              <a:schemeClr val="accent2">
                <a:lumMod val="75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 Table'!$L$14:$L$22</c:f>
              <c:strCache>
                <c:ptCount val="8"/>
                <c:pt idx="0">
                  <c:v>Asia/Pacific (ex. Japan)</c:v>
                </c:pt>
                <c:pt idx="1">
                  <c:v>Canada</c:v>
                </c:pt>
                <c:pt idx="2">
                  <c:v>Central &amp; Eastern Europe</c:v>
                </c:pt>
                <c:pt idx="3">
                  <c:v>Japan</c:v>
                </c:pt>
                <c:pt idx="4">
                  <c:v>Latin America</c:v>
                </c:pt>
                <c:pt idx="5">
                  <c:v>Middle East &amp; Africa</c:v>
                </c:pt>
                <c:pt idx="6">
                  <c:v>USA</c:v>
                </c:pt>
                <c:pt idx="7">
                  <c:v>Western Europe</c:v>
                </c:pt>
              </c:strCache>
            </c:strRef>
          </c:cat>
          <c:val>
            <c:numRef>
              <c:f>'Pivot Table'!$M$14:$M$22</c:f>
              <c:numCache>
                <c:formatCode>0.00</c:formatCode>
                <c:ptCount val="8"/>
                <c:pt idx="0">
                  <c:v>201.84471735982697</c:v>
                </c:pt>
                <c:pt idx="1">
                  <c:v>90.439471094498941</c:v>
                </c:pt>
                <c:pt idx="2">
                  <c:v>88.65332283685575</c:v>
                </c:pt>
                <c:pt idx="3">
                  <c:v>228.57967414665967</c:v>
                </c:pt>
                <c:pt idx="4">
                  <c:v>180.97662391889548</c:v>
                </c:pt>
                <c:pt idx="5">
                  <c:v>110.41527813683497</c:v>
                </c:pt>
                <c:pt idx="6">
                  <c:v>2390.7532865277858</c:v>
                </c:pt>
                <c:pt idx="7">
                  <c:v>1155.2560232639019</c:v>
                </c:pt>
              </c:numCache>
            </c:numRef>
          </c:val>
          <c:extLst>
            <c:ext xmlns:c16="http://schemas.microsoft.com/office/drawing/2014/chart" uri="{C3380CC4-5D6E-409C-BE32-E72D297353CC}">
              <c16:uniqueId val="{00000000-A0E4-476A-A449-93A423200555}"/>
            </c:ext>
          </c:extLst>
        </c:ser>
        <c:dLbls>
          <c:dLblPos val="outEnd"/>
          <c:showLegendKey val="0"/>
          <c:showVal val="1"/>
          <c:showCatName val="0"/>
          <c:showSerName val="0"/>
          <c:showPercent val="0"/>
          <c:showBubbleSize val="0"/>
        </c:dLbls>
        <c:gapWidth val="115"/>
        <c:overlap val="-20"/>
        <c:axId val="1647004752"/>
        <c:axId val="1646998032"/>
      </c:barChart>
      <c:catAx>
        <c:axId val="164700475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46998032"/>
        <c:crosses val="autoZero"/>
        <c:auto val="1"/>
        <c:lblAlgn val="ctr"/>
        <c:lblOffset val="100"/>
        <c:noMultiLvlLbl val="0"/>
      </c:catAx>
      <c:valAx>
        <c:axId val="1646998032"/>
        <c:scaling>
          <c:orientation val="minMax"/>
        </c:scaling>
        <c:delete val="0"/>
        <c:axPos val="b"/>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47004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[Test file TrendLytics.xlsx]Pivot Table!PivotTable5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000"/>
              <a:t>Total Revenue Per</a:t>
            </a:r>
            <a:r>
              <a:rPr lang="en-US" sz="1000" baseline="0"/>
              <a:t> Products</a:t>
            </a:r>
            <a:endParaRPr lang="en-US" sz="1000"/>
          </a:p>
        </c:rich>
      </c:tx>
      <c:layout>
        <c:manualLayout>
          <c:xMode val="edge"/>
          <c:yMode val="edge"/>
          <c:x val="0.36633728948466149"/>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pivotFmt>
      <c:pivotFmt>
        <c:idx val="2"/>
        <c:spPr>
          <a:solidFill>
            <a:schemeClr val="accent2">
              <a:lumMod val="75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lumMod val="75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lumMod val="75000"/>
            </a:schemeClr>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42284720273301801"/>
          <c:y val="5.2654886274979724E-2"/>
          <c:w val="0.53990259569151788"/>
          <c:h val="0.88026587936799039"/>
        </c:manualLayout>
      </c:layout>
      <c:barChart>
        <c:barDir val="bar"/>
        <c:grouping val="clustered"/>
        <c:varyColors val="0"/>
        <c:ser>
          <c:idx val="0"/>
          <c:order val="0"/>
          <c:tx>
            <c:strRef>
              <c:f>'Pivot Table'!$M$24</c:f>
              <c:strCache>
                <c:ptCount val="1"/>
                <c:pt idx="0">
                  <c:v>Total</c:v>
                </c:pt>
              </c:strCache>
            </c:strRef>
          </c:tx>
          <c:spPr>
            <a:solidFill>
              <a:schemeClr val="accent2">
                <a:lumMod val="75000"/>
              </a:scheme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 Table'!$L$25:$L$50</c:f>
              <c:strCache>
                <c:ptCount val="25"/>
                <c:pt idx="0">
                  <c:v>App Layering</c:v>
                </c:pt>
                <c:pt idx="1">
                  <c:v>Bytemobile</c:v>
                </c:pt>
                <c:pt idx="2">
                  <c:v>Citrix ADC (Formerly NetScaler Application Delivery Controller (ADC))</c:v>
                </c:pt>
                <c:pt idx="3">
                  <c:v>Citrix Analytics</c:v>
                </c:pt>
                <c:pt idx="4">
                  <c:v>Citrix Application Delivery Management (NetScaler Management and Analytics System)</c:v>
                </c:pt>
                <c:pt idx="5">
                  <c:v>Citrix Content Collaboration (formerly ShareFile)</c:v>
                </c:pt>
                <c:pt idx="6">
                  <c:v>Citrix Endpoint Management (formerly XenMobile)</c:v>
                </c:pt>
                <c:pt idx="7">
                  <c:v>Citrix Gateway (Formerly NetScaler Unified Gateway)</c:v>
                </c:pt>
                <c:pt idx="8">
                  <c:v>Citrix Hypervisor (Formerly XenServer)</c:v>
                </c:pt>
                <c:pt idx="9">
                  <c:v>Citrix Intelligent Traffic Management (Formerly Cedexis)</c:v>
                </c:pt>
                <c:pt idx="10">
                  <c:v>Citrix SD-WAN (Formerly NetScaler SD-WAN)</c:v>
                </c:pt>
                <c:pt idx="11">
                  <c:v>Citrix Secure Web Gateway (Formerly NetScaler Secure Web Gateway)</c:v>
                </c:pt>
                <c:pt idx="12">
                  <c:v>Citrix Smart Tools</c:v>
                </c:pt>
                <c:pt idx="13">
                  <c:v>Citrix Virtual Apps (Formerly XenApp)</c:v>
                </c:pt>
                <c:pt idx="14">
                  <c:v>Citrix Virtual Desktops (Formerly XenDesktop)</c:v>
                </c:pt>
                <c:pt idx="15">
                  <c:v>Citrix Web App Firewall (Formerly NetScaler AppFirewall)</c:v>
                </c:pt>
                <c:pt idx="16">
                  <c:v>Citrix Workspace Suite</c:v>
                </c:pt>
                <c:pt idx="17">
                  <c:v>Citrix X1 Mouse</c:v>
                </c:pt>
                <c:pt idx="18">
                  <c:v>CloudPortal Services Manager</c:v>
                </c:pt>
                <c:pt idx="19">
                  <c:v>Melio (was Sanbolic)</c:v>
                </c:pt>
                <c:pt idx="20">
                  <c:v>NetScaler Web App Security Service</c:v>
                </c:pt>
                <c:pt idx="21">
                  <c:v>Podio</c:v>
                </c:pt>
                <c:pt idx="22">
                  <c:v>Professional Services and other</c:v>
                </c:pt>
                <c:pt idx="23">
                  <c:v>RightSignature</c:v>
                </c:pt>
                <c:pt idx="24">
                  <c:v>XenApp Secure Browser</c:v>
                </c:pt>
              </c:strCache>
            </c:strRef>
          </c:cat>
          <c:val>
            <c:numRef>
              <c:f>'Pivot Table'!$M$25:$M$50</c:f>
              <c:numCache>
                <c:formatCode>0.00</c:formatCode>
                <c:ptCount val="25"/>
                <c:pt idx="0">
                  <c:v>13.375692754735349</c:v>
                </c:pt>
                <c:pt idx="1">
                  <c:v>22.294973638565377</c:v>
                </c:pt>
                <c:pt idx="2">
                  <c:v>714.527577484792</c:v>
                </c:pt>
                <c:pt idx="3">
                  <c:v>0</c:v>
                </c:pt>
                <c:pt idx="4">
                  <c:v>14.771726614188914</c:v>
                </c:pt>
                <c:pt idx="5">
                  <c:v>230.66254633565526</c:v>
                </c:pt>
                <c:pt idx="6">
                  <c:v>227.94708877616608</c:v>
                </c:pt>
                <c:pt idx="7">
                  <c:v>41.385985809630995</c:v>
                </c:pt>
                <c:pt idx="8">
                  <c:v>94.895189961161421</c:v>
                </c:pt>
                <c:pt idx="9">
                  <c:v>4.2408699984671721</c:v>
                </c:pt>
                <c:pt idx="10">
                  <c:v>55.606215713257065</c:v>
                </c:pt>
                <c:pt idx="11">
                  <c:v>3.5759624252898456</c:v>
                </c:pt>
                <c:pt idx="12">
                  <c:v>4.0405738529929662</c:v>
                </c:pt>
                <c:pt idx="13">
                  <c:v>1323.7144217174698</c:v>
                </c:pt>
                <c:pt idx="14">
                  <c:v>874.96769456261848</c:v>
                </c:pt>
                <c:pt idx="15">
                  <c:v>261.43430700943134</c:v>
                </c:pt>
                <c:pt idx="16">
                  <c:v>264.3016823383424</c:v>
                </c:pt>
                <c:pt idx="17">
                  <c:v>1.6057183405911881</c:v>
                </c:pt>
                <c:pt idx="18">
                  <c:v>35.111193481180308</c:v>
                </c:pt>
                <c:pt idx="19">
                  <c:v>0</c:v>
                </c:pt>
                <c:pt idx="20">
                  <c:v>5.0799642552162609</c:v>
                </c:pt>
                <c:pt idx="21">
                  <c:v>32.581659416895654</c:v>
                </c:pt>
                <c:pt idx="22">
                  <c:v>206.43649902000004</c:v>
                </c:pt>
                <c:pt idx="23">
                  <c:v>7.2096942474490957</c:v>
                </c:pt>
                <c:pt idx="24">
                  <c:v>7.1511595311620191</c:v>
                </c:pt>
              </c:numCache>
            </c:numRef>
          </c:val>
          <c:extLst>
            <c:ext xmlns:c16="http://schemas.microsoft.com/office/drawing/2014/chart" uri="{C3380CC4-5D6E-409C-BE32-E72D297353CC}">
              <c16:uniqueId val="{00000000-4CE6-47AE-A14E-A7CA0C70B976}"/>
            </c:ext>
          </c:extLst>
        </c:ser>
        <c:dLbls>
          <c:dLblPos val="outEnd"/>
          <c:showLegendKey val="0"/>
          <c:showVal val="1"/>
          <c:showCatName val="0"/>
          <c:showSerName val="0"/>
          <c:showPercent val="0"/>
          <c:showBubbleSize val="0"/>
        </c:dLbls>
        <c:gapWidth val="115"/>
        <c:overlap val="-20"/>
        <c:axId val="573345776"/>
        <c:axId val="491173248"/>
      </c:barChart>
      <c:catAx>
        <c:axId val="573345776"/>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1173248"/>
        <c:crosses val="autoZero"/>
        <c:auto val="1"/>
        <c:lblAlgn val="ctr"/>
        <c:lblOffset val="100"/>
        <c:noMultiLvlLbl val="0"/>
      </c:catAx>
      <c:valAx>
        <c:axId val="491173248"/>
        <c:scaling>
          <c:orientation val="minMax"/>
        </c:scaling>
        <c:delete val="0"/>
        <c:axPos val="b"/>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3345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[Test file TrendLytics.xlsx]Pivot Table!PivotTable37</c:name>
    <c:fmtId val="-1"/>
  </c:pivotSource>
  <c:chart>
    <c:title>
      <c:tx>
        <c:rich>
          <a:bodyPr rot="0" spcFirstLastPara="1" vertOverflow="ellipsis" vert="horz" wrap="square" anchor="ctr" anchorCtr="1"/>
          <a:lstStyle/>
          <a:p>
            <a:pPr>
              <a:defRPr sz="1400" b="0" i="0" u="none" strike="noStrike" kern="1200" spc="0" baseline="0">
                <a:solidFill>
                  <a:schemeClr val="accent2">
                    <a:lumMod val="20000"/>
                    <a:lumOff val="80000"/>
                  </a:schemeClr>
                </a:solidFill>
                <a:latin typeface="+mn-lt"/>
                <a:ea typeface="+mn-ea"/>
                <a:cs typeface="+mn-cs"/>
              </a:defRPr>
            </a:pPr>
            <a:r>
              <a:rPr lang="en-IN">
                <a:solidFill>
                  <a:schemeClr val="accent2">
                    <a:lumMod val="20000"/>
                    <a:lumOff val="80000"/>
                  </a:schemeClr>
                </a:solidFill>
              </a:rPr>
              <a:t>Revenue Trend Over Time</a:t>
            </a:r>
          </a:p>
        </c:rich>
      </c:tx>
      <c:layout>
        <c:manualLayout>
          <c:xMode val="edge"/>
          <c:yMode val="edge"/>
          <c:x val="0.37075548511125445"/>
          <c:y val="3.5184079098866214E-2"/>
        </c:manualLayout>
      </c:layout>
      <c:overlay val="0"/>
      <c:spPr>
        <a:solidFill>
          <a:schemeClr val="tx1">
            <a:lumMod val="65000"/>
            <a:lumOff val="35000"/>
          </a:schemeClr>
        </a:solidFill>
        <a:ln>
          <a:noFill/>
        </a:ln>
        <a:effectLst/>
      </c:spPr>
      <c:txPr>
        <a:bodyPr rot="0" spcFirstLastPara="1" vertOverflow="ellipsis" vert="horz" wrap="square" anchor="ctr" anchorCtr="1"/>
        <a:lstStyle/>
        <a:p>
          <a:pPr>
            <a:defRPr sz="1400" b="0" i="0" u="none" strike="noStrike" kern="1200" spc="0" baseline="0">
              <a:solidFill>
                <a:schemeClr val="accent2">
                  <a:lumMod val="20000"/>
                  <a:lumOff val="80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9880BE"/>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9880BE"/>
            </a:solidFill>
            <a:round/>
          </a:ln>
          <a:effectLst/>
        </c:spPr>
        <c:marker>
          <c:symbol val="none"/>
        </c:marker>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rgbClr val="9880BE"/>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rgbClr val="9880BE"/>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8857020226781431E-2"/>
          <c:y val="0.33907332830215564"/>
          <c:w val="0.89671133784988599"/>
          <c:h val="0.3152580482147111"/>
        </c:manualLayout>
      </c:layout>
      <c:lineChart>
        <c:grouping val="stacked"/>
        <c:varyColors val="0"/>
        <c:ser>
          <c:idx val="0"/>
          <c:order val="0"/>
          <c:tx>
            <c:strRef>
              <c:f>'Pivot Table'!$M$1:$M$2</c:f>
              <c:strCache>
                <c:ptCount val="1"/>
                <c:pt idx="0">
                  <c:v>2017H2</c:v>
                </c:pt>
              </c:strCache>
            </c:strRef>
          </c:tx>
          <c:spPr>
            <a:ln w="28575" cap="rnd">
              <a:solidFill>
                <a:schemeClr val="accent1"/>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14-98CD-4534-9DAE-E5C2CA29FC84}"/>
                </c:ext>
              </c:extLst>
            </c:dLbl>
            <c:dLbl>
              <c:idx val="1"/>
              <c:delete val="1"/>
              <c:extLst>
                <c:ext xmlns:c15="http://schemas.microsoft.com/office/drawing/2012/chart" uri="{CE6537A1-D6FC-4f65-9D91-7224C49458BB}"/>
                <c:ext xmlns:c16="http://schemas.microsoft.com/office/drawing/2014/chart" uri="{C3380CC4-5D6E-409C-BE32-E72D297353CC}">
                  <c16:uniqueId val="{00000012-98CD-4534-9DAE-E5C2CA29FC84}"/>
                </c:ext>
              </c:extLst>
            </c:dLbl>
            <c:dLbl>
              <c:idx val="2"/>
              <c:delete val="1"/>
              <c:extLst>
                <c:ext xmlns:c15="http://schemas.microsoft.com/office/drawing/2012/chart" uri="{CE6537A1-D6FC-4f65-9D91-7224C49458BB}"/>
                <c:ext xmlns:c16="http://schemas.microsoft.com/office/drawing/2014/chart" uri="{C3380CC4-5D6E-409C-BE32-E72D297353CC}">
                  <c16:uniqueId val="{0000000F-98CD-4534-9DAE-E5C2CA29FC84}"/>
                </c:ext>
              </c:extLst>
            </c:dLbl>
            <c:dLbl>
              <c:idx val="3"/>
              <c:delete val="1"/>
              <c:extLst>
                <c:ext xmlns:c15="http://schemas.microsoft.com/office/drawing/2012/chart" uri="{CE6537A1-D6FC-4f65-9D91-7224C49458BB}"/>
                <c:ext xmlns:c16="http://schemas.microsoft.com/office/drawing/2014/chart" uri="{C3380CC4-5D6E-409C-BE32-E72D297353CC}">
                  <c16:uniqueId val="{0000000C-98CD-4534-9DAE-E5C2CA29FC84}"/>
                </c:ext>
              </c:extLst>
            </c:dLbl>
            <c:dLbl>
              <c:idx val="4"/>
              <c:delete val="1"/>
              <c:extLst>
                <c:ext xmlns:c15="http://schemas.microsoft.com/office/drawing/2012/chart" uri="{CE6537A1-D6FC-4f65-9D91-7224C49458BB}"/>
                <c:ext xmlns:c16="http://schemas.microsoft.com/office/drawing/2014/chart" uri="{C3380CC4-5D6E-409C-BE32-E72D297353CC}">
                  <c16:uniqueId val="{00000009-98CD-4534-9DAE-E5C2CA29FC84}"/>
                </c:ext>
              </c:extLst>
            </c:dLbl>
            <c:dLbl>
              <c:idx val="5"/>
              <c:delete val="1"/>
              <c:extLst>
                <c:ext xmlns:c15="http://schemas.microsoft.com/office/drawing/2012/chart" uri="{CE6537A1-D6FC-4f65-9D91-7224C49458BB}"/>
                <c:ext xmlns:c16="http://schemas.microsoft.com/office/drawing/2014/chart" uri="{C3380CC4-5D6E-409C-BE32-E72D297353CC}">
                  <c16:uniqueId val="{00000007-98CD-4534-9DAE-E5C2CA29FC8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Table'!$L$3:$L$11</c:f>
              <c:strCache>
                <c:ptCount val="8"/>
                <c:pt idx="0">
                  <c:v>Asia/Pacific (ex. Japan)</c:v>
                </c:pt>
                <c:pt idx="1">
                  <c:v>Canada</c:v>
                </c:pt>
                <c:pt idx="2">
                  <c:v>Central &amp; Eastern Europe</c:v>
                </c:pt>
                <c:pt idx="3">
                  <c:v>Japan</c:v>
                </c:pt>
                <c:pt idx="4">
                  <c:v>Latin America</c:v>
                </c:pt>
                <c:pt idx="5">
                  <c:v>Middle East &amp; Africa</c:v>
                </c:pt>
                <c:pt idx="6">
                  <c:v>USA</c:v>
                </c:pt>
                <c:pt idx="7">
                  <c:v>Western Europe</c:v>
                </c:pt>
              </c:strCache>
            </c:strRef>
          </c:cat>
          <c:val>
            <c:numRef>
              <c:f>'Pivot Table'!$M$3:$M$11</c:f>
              <c:numCache>
                <c:formatCode>0.00</c:formatCode>
                <c:ptCount val="8"/>
                <c:pt idx="0">
                  <c:v>65.047162067749326</c:v>
                </c:pt>
                <c:pt idx="1">
                  <c:v>30.490879599711764</c:v>
                </c:pt>
                <c:pt idx="2">
                  <c:v>30.86892302351972</c:v>
                </c:pt>
                <c:pt idx="3">
                  <c:v>68.784087475154536</c:v>
                </c:pt>
                <c:pt idx="4">
                  <c:v>69.24147912203064</c:v>
                </c:pt>
                <c:pt idx="5">
                  <c:v>35.658176435664892</c:v>
                </c:pt>
                <c:pt idx="6">
                  <c:v>788.34657678463486</c:v>
                </c:pt>
                <c:pt idx="7">
                  <c:v>380.24771549153445</c:v>
                </c:pt>
              </c:numCache>
            </c:numRef>
          </c:val>
          <c:smooth val="0"/>
          <c:extLst>
            <c:ext xmlns:c16="http://schemas.microsoft.com/office/drawing/2014/chart" uri="{C3380CC4-5D6E-409C-BE32-E72D297353CC}">
              <c16:uniqueId val="{00000000-98CD-4534-9DAE-E5C2CA29FC84}"/>
            </c:ext>
          </c:extLst>
        </c:ser>
        <c:ser>
          <c:idx val="1"/>
          <c:order val="1"/>
          <c:tx>
            <c:strRef>
              <c:f>'Pivot Table'!$N$1:$N$2</c:f>
              <c:strCache>
                <c:ptCount val="1"/>
                <c:pt idx="0">
                  <c:v>2018H1</c:v>
                </c:pt>
              </c:strCache>
            </c:strRef>
          </c:tx>
          <c:spPr>
            <a:ln w="28575" cap="rnd">
              <a:solidFill>
                <a:schemeClr val="accent2"/>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13-98CD-4534-9DAE-E5C2CA29FC84}"/>
                </c:ext>
              </c:extLst>
            </c:dLbl>
            <c:dLbl>
              <c:idx val="1"/>
              <c:delete val="1"/>
              <c:extLst>
                <c:ext xmlns:c15="http://schemas.microsoft.com/office/drawing/2012/chart" uri="{CE6537A1-D6FC-4f65-9D91-7224C49458BB}"/>
                <c:ext xmlns:c16="http://schemas.microsoft.com/office/drawing/2014/chart" uri="{C3380CC4-5D6E-409C-BE32-E72D297353CC}">
                  <c16:uniqueId val="{00000011-98CD-4534-9DAE-E5C2CA29FC84}"/>
                </c:ext>
              </c:extLst>
            </c:dLbl>
            <c:dLbl>
              <c:idx val="2"/>
              <c:delete val="1"/>
              <c:extLst>
                <c:ext xmlns:c15="http://schemas.microsoft.com/office/drawing/2012/chart" uri="{CE6537A1-D6FC-4f65-9D91-7224C49458BB}"/>
                <c:ext xmlns:c16="http://schemas.microsoft.com/office/drawing/2014/chart" uri="{C3380CC4-5D6E-409C-BE32-E72D297353CC}">
                  <c16:uniqueId val="{0000000E-98CD-4534-9DAE-E5C2CA29FC84}"/>
                </c:ext>
              </c:extLst>
            </c:dLbl>
            <c:dLbl>
              <c:idx val="3"/>
              <c:delete val="1"/>
              <c:extLst>
                <c:ext xmlns:c15="http://schemas.microsoft.com/office/drawing/2012/chart" uri="{CE6537A1-D6FC-4f65-9D91-7224C49458BB}"/>
                <c:ext xmlns:c16="http://schemas.microsoft.com/office/drawing/2014/chart" uri="{C3380CC4-5D6E-409C-BE32-E72D297353CC}">
                  <c16:uniqueId val="{0000000B-98CD-4534-9DAE-E5C2CA29FC84}"/>
                </c:ext>
              </c:extLst>
            </c:dLbl>
            <c:dLbl>
              <c:idx val="4"/>
              <c:delete val="1"/>
              <c:extLst>
                <c:ext xmlns:c15="http://schemas.microsoft.com/office/drawing/2012/chart" uri="{CE6537A1-D6FC-4f65-9D91-7224C49458BB}"/>
                <c:ext xmlns:c16="http://schemas.microsoft.com/office/drawing/2014/chart" uri="{C3380CC4-5D6E-409C-BE32-E72D297353CC}">
                  <c16:uniqueId val="{00000008-98CD-4534-9DAE-E5C2CA29FC84}"/>
                </c:ext>
              </c:extLst>
            </c:dLbl>
            <c:dLbl>
              <c:idx val="5"/>
              <c:delete val="1"/>
              <c:extLst>
                <c:ext xmlns:c15="http://schemas.microsoft.com/office/drawing/2012/chart" uri="{CE6537A1-D6FC-4f65-9D91-7224C49458BB}"/>
                <c:ext xmlns:c16="http://schemas.microsoft.com/office/drawing/2014/chart" uri="{C3380CC4-5D6E-409C-BE32-E72D297353CC}">
                  <c16:uniqueId val="{00000006-98CD-4534-9DAE-E5C2CA29FC84}"/>
                </c:ext>
              </c:extLst>
            </c:dLbl>
            <c:dLbl>
              <c:idx val="7"/>
              <c:layout>
                <c:manualLayout>
                  <c:x val="-2.3837522747059837E-2"/>
                  <c:y val="-8.19480898221055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98CD-4534-9DAE-E5C2CA29FC8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Table'!$L$3:$L$11</c:f>
              <c:strCache>
                <c:ptCount val="8"/>
                <c:pt idx="0">
                  <c:v>Asia/Pacific (ex. Japan)</c:v>
                </c:pt>
                <c:pt idx="1">
                  <c:v>Canada</c:v>
                </c:pt>
                <c:pt idx="2">
                  <c:v>Central &amp; Eastern Europe</c:v>
                </c:pt>
                <c:pt idx="3">
                  <c:v>Japan</c:v>
                </c:pt>
                <c:pt idx="4">
                  <c:v>Latin America</c:v>
                </c:pt>
                <c:pt idx="5">
                  <c:v>Middle East &amp; Africa</c:v>
                </c:pt>
                <c:pt idx="6">
                  <c:v>USA</c:v>
                </c:pt>
                <c:pt idx="7">
                  <c:v>Western Europe</c:v>
                </c:pt>
              </c:strCache>
            </c:strRef>
          </c:cat>
          <c:val>
            <c:numRef>
              <c:f>'Pivot Table'!$N$3:$N$11</c:f>
              <c:numCache>
                <c:formatCode>0.00</c:formatCode>
                <c:ptCount val="8"/>
                <c:pt idx="0">
                  <c:v>65.958848032350687</c:v>
                </c:pt>
                <c:pt idx="1">
                  <c:v>29.01117558381608</c:v>
                </c:pt>
                <c:pt idx="2">
                  <c:v>27.937359392064643</c:v>
                </c:pt>
                <c:pt idx="3">
                  <c:v>76.777450945928223</c:v>
                </c:pt>
                <c:pt idx="4">
                  <c:v>53.671257850804487</c:v>
                </c:pt>
                <c:pt idx="5">
                  <c:v>36.05612350925135</c:v>
                </c:pt>
                <c:pt idx="6">
                  <c:v>780.88073020539423</c:v>
                </c:pt>
                <c:pt idx="7">
                  <c:v>373.59362983564876</c:v>
                </c:pt>
              </c:numCache>
            </c:numRef>
          </c:val>
          <c:smooth val="0"/>
          <c:extLst>
            <c:ext xmlns:c16="http://schemas.microsoft.com/office/drawing/2014/chart" uri="{C3380CC4-5D6E-409C-BE32-E72D297353CC}">
              <c16:uniqueId val="{00000001-98CD-4534-9DAE-E5C2CA29FC84}"/>
            </c:ext>
          </c:extLst>
        </c:ser>
        <c:ser>
          <c:idx val="2"/>
          <c:order val="2"/>
          <c:tx>
            <c:strRef>
              <c:f>'Pivot Table'!$O$1:$O$2</c:f>
              <c:strCache>
                <c:ptCount val="1"/>
                <c:pt idx="0">
                  <c:v>2018H2</c:v>
                </c:pt>
              </c:strCache>
            </c:strRef>
          </c:tx>
          <c:spPr>
            <a:ln w="28575" cap="rnd">
              <a:solidFill>
                <a:srgbClr val="9880BE"/>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3-98CD-4534-9DAE-E5C2CA29FC84}"/>
                </c:ext>
              </c:extLst>
            </c:dLbl>
            <c:dLbl>
              <c:idx val="1"/>
              <c:delete val="1"/>
              <c:extLst>
                <c:ext xmlns:c15="http://schemas.microsoft.com/office/drawing/2012/chart" uri="{CE6537A1-D6FC-4f65-9D91-7224C49458BB}"/>
                <c:ext xmlns:c16="http://schemas.microsoft.com/office/drawing/2014/chart" uri="{C3380CC4-5D6E-409C-BE32-E72D297353CC}">
                  <c16:uniqueId val="{00000010-98CD-4534-9DAE-E5C2CA29FC84}"/>
                </c:ext>
              </c:extLst>
            </c:dLbl>
            <c:dLbl>
              <c:idx val="2"/>
              <c:delete val="1"/>
              <c:extLst>
                <c:ext xmlns:c15="http://schemas.microsoft.com/office/drawing/2012/chart" uri="{CE6537A1-D6FC-4f65-9D91-7224C49458BB}"/>
                <c:ext xmlns:c16="http://schemas.microsoft.com/office/drawing/2014/chart" uri="{C3380CC4-5D6E-409C-BE32-E72D297353CC}">
                  <c16:uniqueId val="{0000000D-98CD-4534-9DAE-E5C2CA29FC84}"/>
                </c:ext>
              </c:extLst>
            </c:dLbl>
            <c:dLbl>
              <c:idx val="3"/>
              <c:delete val="1"/>
              <c:extLst>
                <c:ext xmlns:c15="http://schemas.microsoft.com/office/drawing/2012/chart" uri="{CE6537A1-D6FC-4f65-9D91-7224C49458BB}"/>
                <c:ext xmlns:c16="http://schemas.microsoft.com/office/drawing/2014/chart" uri="{C3380CC4-5D6E-409C-BE32-E72D297353CC}">
                  <c16:uniqueId val="{0000000A-98CD-4534-9DAE-E5C2CA29FC84}"/>
                </c:ext>
              </c:extLst>
            </c:dLbl>
            <c:dLbl>
              <c:idx val="4"/>
              <c:delete val="1"/>
              <c:extLst>
                <c:ext xmlns:c15="http://schemas.microsoft.com/office/drawing/2012/chart" uri="{CE6537A1-D6FC-4f65-9D91-7224C49458BB}"/>
                <c:ext xmlns:c16="http://schemas.microsoft.com/office/drawing/2014/chart" uri="{C3380CC4-5D6E-409C-BE32-E72D297353CC}">
                  <c16:uniqueId val="{00000004-98CD-4534-9DAE-E5C2CA29FC84}"/>
                </c:ext>
              </c:extLst>
            </c:dLbl>
            <c:dLbl>
              <c:idx val="5"/>
              <c:delete val="1"/>
              <c:extLst>
                <c:ext xmlns:c15="http://schemas.microsoft.com/office/drawing/2012/chart" uri="{CE6537A1-D6FC-4f65-9D91-7224C49458BB}"/>
                <c:ext xmlns:c16="http://schemas.microsoft.com/office/drawing/2014/chart" uri="{C3380CC4-5D6E-409C-BE32-E72D297353CC}">
                  <c16:uniqueId val="{00000005-98CD-4534-9DAE-E5C2CA29FC84}"/>
                </c:ext>
              </c:extLst>
            </c:dLbl>
            <c:dLbl>
              <c:idx val="7"/>
              <c:layout>
                <c:manualLayout>
                  <c:x val="-2.3837522747059837E-2"/>
                  <c:y val="-0.12152965612122918"/>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98CD-4534-9DAE-E5C2CA29FC8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Table'!$L$3:$L$11</c:f>
              <c:strCache>
                <c:ptCount val="8"/>
                <c:pt idx="0">
                  <c:v>Asia/Pacific (ex. Japan)</c:v>
                </c:pt>
                <c:pt idx="1">
                  <c:v>Canada</c:v>
                </c:pt>
                <c:pt idx="2">
                  <c:v>Central &amp; Eastern Europe</c:v>
                </c:pt>
                <c:pt idx="3">
                  <c:v>Japan</c:v>
                </c:pt>
                <c:pt idx="4">
                  <c:v>Latin America</c:v>
                </c:pt>
                <c:pt idx="5">
                  <c:v>Middle East &amp; Africa</c:v>
                </c:pt>
                <c:pt idx="6">
                  <c:v>USA</c:v>
                </c:pt>
                <c:pt idx="7">
                  <c:v>Western Europe</c:v>
                </c:pt>
              </c:strCache>
            </c:strRef>
          </c:cat>
          <c:val>
            <c:numRef>
              <c:f>'Pivot Table'!$O$3:$O$11</c:f>
              <c:numCache>
                <c:formatCode>0.00</c:formatCode>
                <c:ptCount val="8"/>
                <c:pt idx="0">
                  <c:v>70.838707259726945</c:v>
                </c:pt>
                <c:pt idx="1">
                  <c:v>30.937415910971094</c:v>
                </c:pt>
                <c:pt idx="2">
                  <c:v>29.847040421271409</c:v>
                </c:pt>
                <c:pt idx="3">
                  <c:v>83.018135725576855</c:v>
                </c:pt>
                <c:pt idx="4">
                  <c:v>58.063886946060364</c:v>
                </c:pt>
                <c:pt idx="5">
                  <c:v>38.700978191918722</c:v>
                </c:pt>
                <c:pt idx="6">
                  <c:v>821.52597953775592</c:v>
                </c:pt>
                <c:pt idx="7">
                  <c:v>401.41467793671876</c:v>
                </c:pt>
              </c:numCache>
            </c:numRef>
          </c:val>
          <c:smooth val="0"/>
          <c:extLst>
            <c:ext xmlns:c16="http://schemas.microsoft.com/office/drawing/2014/chart" uri="{C3380CC4-5D6E-409C-BE32-E72D297353CC}">
              <c16:uniqueId val="{00000002-98CD-4534-9DAE-E5C2CA29FC84}"/>
            </c:ext>
          </c:extLst>
        </c:ser>
        <c:dLbls>
          <c:dLblPos val="t"/>
          <c:showLegendKey val="0"/>
          <c:showVal val="1"/>
          <c:showCatName val="0"/>
          <c:showSerName val="0"/>
          <c:showPercent val="0"/>
          <c:showBubbleSize val="0"/>
        </c:dLbls>
        <c:smooth val="0"/>
        <c:axId val="1977007296"/>
        <c:axId val="1977008736"/>
      </c:lineChart>
      <c:catAx>
        <c:axId val="197700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accent4">
                    <a:lumMod val="40000"/>
                    <a:lumOff val="60000"/>
                  </a:schemeClr>
                </a:solidFill>
                <a:latin typeface="Cascadia Mono" panose="020B0609020000020004" pitchFamily="49" charset="0"/>
                <a:ea typeface="Cascadia Mono" panose="020B0609020000020004" pitchFamily="49" charset="0"/>
                <a:cs typeface="Cascadia Mono" panose="020B0609020000020004" pitchFamily="49" charset="0"/>
              </a:defRPr>
            </a:pPr>
            <a:endParaRPr lang="en-US"/>
          </a:p>
        </c:txPr>
        <c:crossAx val="1977008736"/>
        <c:crosses val="autoZero"/>
        <c:auto val="1"/>
        <c:lblAlgn val="ctr"/>
        <c:lblOffset val="100"/>
        <c:noMultiLvlLbl val="0"/>
      </c:catAx>
      <c:valAx>
        <c:axId val="1977008736"/>
        <c:scaling>
          <c:orientation val="minMax"/>
        </c:scaling>
        <c:delete val="0"/>
        <c:axPos val="l"/>
        <c:majorGridlines>
          <c:spPr>
            <a:ln w="9525" cap="flat" cmpd="sng" algn="ctr">
              <a:solidFill>
                <a:srgbClr val="9880BE">
                  <a:alpha val="34902"/>
                </a:srgb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1977007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lumMod val="65000"/>
        <a:lumOff val="3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Kumar</dc:creator>
  <cp:keywords/>
  <dc:description/>
  <cp:lastModifiedBy>Ankur Kumar</cp:lastModifiedBy>
  <cp:revision>3</cp:revision>
  <dcterms:created xsi:type="dcterms:W3CDTF">2024-06-20T07:59:00Z</dcterms:created>
  <dcterms:modified xsi:type="dcterms:W3CDTF">2024-06-20T09:24:00Z</dcterms:modified>
</cp:coreProperties>
</file>