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F0F23"/>
          <w:sz w:val="44"/>
        </w:rPr>
        <w:t>Data Coverage &amp; Extraction Report: Carta Integration</w:t>
      </w:r>
    </w:p>
    <w:p>
      <w:r>
        <w:rPr>
          <w:rFonts w:ascii="Arial" w:hAnsi="Arial"/>
          <w:i/>
          <w:color w:val="64646E"/>
          <w:sz w:val="20"/>
        </w:rPr>
        <w:t>TO: Product Management Team</w:t>
        <w:br/>
        <w:t>SUBJECT: Analysis of Carta Extraction Coverage and Platform Schema Endpoints</w:t>
        <w:br/>
        <w:t>DATE: June 24, 2026</w:t>
      </w:r>
    </w:p>
    <w:p>
      <w:pPr>
        <w:spacing w:after="240"/>
      </w:pPr>
    </w:p>
    <w:p>
      <w:r>
        <w:rPr>
          <w:rFonts w:ascii="Arial" w:hAnsi="Arial"/>
          <w:b/>
          <w:color w:val="4361EE"/>
          <w:sz w:val="28"/>
        </w:rPr>
        <w:t>Executive Summary</w:t>
      </w:r>
    </w:p>
    <w:p>
      <w:r>
        <w:rPr>
          <w:rFonts w:ascii="Arial" w:hAnsi="Arial"/>
          <w:sz w:val="22"/>
        </w:rPr>
        <w:t xml:space="preserve">We have successfully completed the architectural mapping of the raw Carta extraction data into the mandated 19-table Investment Module platform schema. Currently, </w:t>
      </w:r>
      <w:r>
        <w:rPr>
          <w:rFonts w:ascii="Arial" w:hAnsi="Arial"/>
          <w:b/>
          <w:sz w:val="22"/>
        </w:rPr>
        <w:t>12 out of the 19 platform endpoints</w:t>
      </w:r>
      <w:r>
        <w:rPr>
          <w:rFonts w:ascii="Arial" w:hAnsi="Arial"/>
          <w:sz w:val="22"/>
        </w:rPr>
        <w:t xml:space="preserve"> are fully populated with robust financial and ownership data. The remaining </w:t>
      </w:r>
      <w:r>
        <w:rPr>
          <w:rFonts w:ascii="Arial" w:hAnsi="Arial"/>
          <w:b/>
          <w:sz w:val="22"/>
        </w:rPr>
        <w:t>7 endpoints</w:t>
      </w:r>
      <w:r>
        <w:rPr>
          <w:rFonts w:ascii="Arial" w:hAnsi="Arial"/>
          <w:sz w:val="22"/>
        </w:rPr>
        <w:t xml:space="preserve"> are currently returning 0 records (empty stubs).</w:t>
        <w:br/>
        <w:br/>
      </w:r>
      <w:r>
        <w:rPr>
          <w:rFonts w:ascii="Arial" w:hAnsi="Arial"/>
          <w:b/>
          <w:sz w:val="22"/>
        </w:rPr>
        <w:t xml:space="preserve">It is important to note that this is not a failure of the scraping or extraction pipeline. </w:t>
      </w:r>
      <w:r>
        <w:rPr>
          <w:rFonts w:ascii="Arial" w:hAnsi="Arial"/>
          <w:sz w:val="22"/>
        </w:rPr>
        <w:t>The extraction pipeline successfully captured 100% of the available data from the Carta platform. The 7 empty endpoints correspond to data categories that Carta, by design, does not track or store.</w:t>
        <w:br/>
        <w:br/>
        <w:t>This document outlines exactly which endpoints are empty, why they are empty based on Carta's product model, and how our architecture handles this seamlessly.</w:t>
      </w:r>
    </w:p>
    <w:p>
      <w:r>
        <w:rPr>
          <w:rFonts w:ascii="Arial" w:hAnsi="Arial"/>
          <w:b/>
          <w:color w:val="4361EE"/>
          <w:sz w:val="28"/>
        </w:rPr>
        <w:t>The 7 Unpopulated Endpoints</w:t>
      </w:r>
    </w:p>
    <w:p>
      <w:r>
        <w:rPr>
          <w:rFonts w:ascii="Arial" w:hAnsi="Arial"/>
          <w:sz w:val="22"/>
        </w:rPr>
        <w:t>The following endpoints successfully execute and return a valid JSON platform envelope, but contain 0 records in the data array:</w:t>
      </w:r>
    </w:p>
    <w:p>
      <w:pPr>
        <w:pStyle w:val="ListBullet"/>
      </w:pPr>
      <w:r>
        <w:rPr>
          <w:rFonts w:ascii="Arial" w:hAnsi="Arial"/>
          <w:b/>
          <w:sz w:val="21"/>
        </w:rPr>
        <w:t xml:space="preserve">get_investment_sectors </w:t>
      </w:r>
      <w:r>
        <w:rPr>
          <w:rFonts w:ascii="Arial" w:hAnsi="Arial"/>
          <w:i/>
          <w:color w:val="64646E"/>
          <w:sz w:val="21"/>
        </w:rPr>
        <w:t>(Table: inv_investment_sector)</w:t>
      </w:r>
    </w:p>
    <w:p>
      <w:pPr>
        <w:pStyle w:val="ListBullet"/>
      </w:pPr>
      <w:r>
        <w:rPr>
          <w:rFonts w:ascii="Arial" w:hAnsi="Arial"/>
          <w:b/>
          <w:sz w:val="21"/>
        </w:rPr>
        <w:t xml:space="preserve">get_investment_expenses </w:t>
      </w:r>
      <w:r>
        <w:rPr>
          <w:rFonts w:ascii="Arial" w:hAnsi="Arial"/>
          <w:i/>
          <w:color w:val="64646E"/>
          <w:sz w:val="21"/>
        </w:rPr>
        <w:t>(Table: inv_investment_expense)</w:t>
      </w:r>
    </w:p>
    <w:p>
      <w:pPr>
        <w:pStyle w:val="ListBullet"/>
      </w:pPr>
      <w:r>
        <w:rPr>
          <w:rFonts w:ascii="Arial" w:hAnsi="Arial"/>
          <w:b/>
          <w:sz w:val="21"/>
        </w:rPr>
        <w:t xml:space="preserve">get_investment_interest </w:t>
      </w:r>
      <w:r>
        <w:rPr>
          <w:rFonts w:ascii="Arial" w:hAnsi="Arial"/>
          <w:i/>
          <w:color w:val="64646E"/>
          <w:sz w:val="21"/>
        </w:rPr>
        <w:t>(Table: inv_investment_interest)</w:t>
      </w:r>
    </w:p>
    <w:p>
      <w:pPr>
        <w:pStyle w:val="ListBullet"/>
      </w:pPr>
      <w:r>
        <w:rPr>
          <w:rFonts w:ascii="Arial" w:hAnsi="Arial"/>
          <w:b/>
          <w:sz w:val="21"/>
        </w:rPr>
        <w:t xml:space="preserve">get_investment_services </w:t>
      </w:r>
      <w:r>
        <w:rPr>
          <w:rFonts w:ascii="Arial" w:hAnsi="Arial"/>
          <w:i/>
          <w:color w:val="64646E"/>
          <w:sz w:val="21"/>
        </w:rPr>
        <w:t>(Table: inv_investment_service)</w:t>
      </w:r>
    </w:p>
    <w:p>
      <w:pPr>
        <w:pStyle w:val="ListBullet"/>
      </w:pPr>
      <w:r>
        <w:rPr>
          <w:rFonts w:ascii="Arial" w:hAnsi="Arial"/>
          <w:b/>
          <w:sz w:val="21"/>
        </w:rPr>
        <w:t xml:space="preserve">get_usage_logs </w:t>
      </w:r>
      <w:r>
        <w:rPr>
          <w:rFonts w:ascii="Arial" w:hAnsi="Arial"/>
          <w:i/>
          <w:color w:val="64646E"/>
          <w:sz w:val="21"/>
        </w:rPr>
        <w:t>(Table: inv_asset_usage_log)</w:t>
      </w:r>
    </w:p>
    <w:p>
      <w:pPr>
        <w:pStyle w:val="ListBullet"/>
      </w:pPr>
      <w:r>
        <w:rPr>
          <w:rFonts w:ascii="Arial" w:hAnsi="Arial"/>
          <w:b/>
          <w:sz w:val="21"/>
        </w:rPr>
        <w:t xml:space="preserve">get_recent_developments </w:t>
      </w:r>
      <w:r>
        <w:rPr>
          <w:rFonts w:ascii="Arial" w:hAnsi="Arial"/>
          <w:i/>
          <w:color w:val="64646E"/>
          <w:sz w:val="21"/>
        </w:rPr>
        <w:t>(Table: extra_info_recent_development)</w:t>
      </w:r>
    </w:p>
    <w:p>
      <w:pPr>
        <w:pStyle w:val="ListBullet"/>
      </w:pPr>
      <w:r>
        <w:rPr>
          <w:rFonts w:ascii="Arial" w:hAnsi="Arial"/>
          <w:b/>
          <w:sz w:val="21"/>
        </w:rPr>
        <w:t xml:space="preserve">get_growth_signals </w:t>
      </w:r>
      <w:r>
        <w:rPr>
          <w:rFonts w:ascii="Arial" w:hAnsi="Arial"/>
          <w:i/>
          <w:color w:val="64646E"/>
          <w:sz w:val="21"/>
        </w:rPr>
        <w:t>(Table: research_growing_traction)</w:t>
      </w:r>
    </w:p>
    <w:p>
      <w:r>
        <w:rPr>
          <w:rFonts w:ascii="Arial" w:hAnsi="Arial"/>
          <w:b/>
          <w:color w:val="4361EE"/>
          <w:sz w:val="28"/>
        </w:rPr>
        <w:t>Why is this data missing? (The Carta Context)</w:t>
      </w:r>
    </w:p>
    <w:p>
      <w:r>
        <w:rPr>
          <w:rFonts w:ascii="Arial" w:hAnsi="Arial"/>
          <w:sz w:val="22"/>
        </w:rPr>
        <w:t>Carta is exclusively an equity, valuation, and cap table management platform. It is designed to track who owns what shares, the price of those shares (409A/Post-Money), and the transactions (Capital Calls, Distributions) that fund those shares.</w:t>
        <w:br/>
        <w:br/>
        <w:t>Carta is not an accounting ledger, a CRM, or a deal-flow research database. Therefore, the data for the 7 empty endpoints simply does not exist natively within Carta:</w:t>
      </w:r>
    </w:p>
    <w:p>
      <w:pPr>
        <w:pStyle w:val="ListBullet"/>
      </w:pPr>
      <w:r>
        <w:rPr>
          <w:rFonts w:ascii="Arial" w:hAnsi="Arial"/>
          <w:b/>
          <w:sz w:val="21"/>
        </w:rPr>
        <w:t xml:space="preserve">Expenses &amp; Services: </w:t>
      </w:r>
      <w:r>
        <w:rPr>
          <w:rFonts w:ascii="Arial" w:hAnsi="Arial"/>
          <w:sz w:val="21"/>
        </w:rPr>
        <w:t>Carta does not track day-to-day operational expenses, legal fees, or vendor services for portfolio companies. General Partners (GPs) track this data in dedicated accounting software (e.g., Xero, QuickBooks) or through their Fund Administrator.</w:t>
      </w:r>
    </w:p>
    <w:p>
      <w:pPr>
        <w:pStyle w:val="ListBullet"/>
      </w:pPr>
      <w:r>
        <w:rPr>
          <w:rFonts w:ascii="Arial" w:hAnsi="Arial"/>
          <w:b/>
          <w:sz w:val="21"/>
        </w:rPr>
        <w:t xml:space="preserve">Usage Logs: </w:t>
      </w:r>
      <w:r>
        <w:rPr>
          <w:rFonts w:ascii="Arial" w:hAnsi="Arial"/>
          <w:sz w:val="21"/>
        </w:rPr>
        <w:t>This table is designed for physical assets (e.g., flight hours on a leased jet, mileage on fleet vehicles). Because Venture Capital deals entirely in company equity, usage logs are inherently Not Applicable (N/A).</w:t>
      </w:r>
    </w:p>
    <w:p>
      <w:pPr>
        <w:pStyle w:val="ListBullet"/>
      </w:pPr>
      <w:r>
        <w:rPr>
          <w:rFonts w:ascii="Arial" w:hAnsi="Arial"/>
          <w:b/>
          <w:sz w:val="21"/>
        </w:rPr>
        <w:t xml:space="preserve">Qualitative Research: </w:t>
      </w:r>
      <w:r>
        <w:rPr>
          <w:rFonts w:ascii="Arial" w:hAnsi="Arial"/>
          <w:sz w:val="21"/>
        </w:rPr>
        <w:t>These tables require subjective, narrative-driven data (news, PR announcements, user growth metrics). Carta does not track company traction or recent developments. VCs typically track this in CRMs like Affinity or research databases like PitchBook.</w:t>
      </w:r>
    </w:p>
    <w:p>
      <w:pPr>
        <w:pStyle w:val="ListBullet"/>
      </w:pPr>
      <w:r>
        <w:rPr>
          <w:rFonts w:ascii="Arial" w:hAnsi="Arial"/>
          <w:b/>
          <w:sz w:val="21"/>
        </w:rPr>
        <w:t xml:space="preserve">Sectors/Stage: </w:t>
      </w:r>
      <w:r>
        <w:rPr>
          <w:rFonts w:ascii="Arial" w:hAnsi="Arial"/>
          <w:sz w:val="21"/>
        </w:rPr>
        <w:t>While Carta does have an optional 'industry' field in a company's profile, our extraction analysis showed that portfolio companies almost universally leave this field blank.</w:t>
      </w:r>
    </w:p>
    <w:p>
      <w:pPr>
        <w:pStyle w:val="ListBullet"/>
      </w:pPr>
      <w:r>
        <w:rPr>
          <w:rFonts w:ascii="Arial" w:hAnsi="Arial"/>
          <w:b/>
          <w:sz w:val="21"/>
        </w:rPr>
        <w:t xml:space="preserve">Interest: </w:t>
      </w:r>
      <w:r>
        <w:rPr>
          <w:rFonts w:ascii="Arial" w:hAnsi="Arial"/>
          <w:sz w:val="21"/>
        </w:rPr>
        <w:t>Active interest payouts are rare in standard VC equity (outside of convertible notes rolling into equity), and Carta does not maintain a dedicated ledger for active interest yield in the way a debt-management platform would.</w:t>
      </w:r>
    </w:p>
    <w:p>
      <w:r>
        <w:rPr>
          <w:rFonts w:ascii="Arial" w:hAnsi="Arial"/>
          <w:b/>
          <w:color w:val="4361EE"/>
          <w:sz w:val="28"/>
        </w:rPr>
        <w:t>Architectural Handling &amp; Next Steps</w:t>
      </w:r>
    </w:p>
    <w:p>
      <w:r>
        <w:rPr>
          <w:rFonts w:ascii="Arial" w:hAnsi="Arial"/>
          <w:sz w:val="22"/>
        </w:rPr>
        <w:t>We anticipated this limitation during the system design phase. To ensure the integration perfectly satisfies the external platform's API contract, we implemented the following strategy:</w:t>
        <w:br/>
        <w:br/>
      </w:r>
    </w:p>
    <w:p>
      <w:pPr>
        <w:pStyle w:val="ListNumber"/>
      </w:pPr>
      <w:r>
        <w:rPr>
          <w:rFonts w:ascii="Arial" w:hAnsi="Arial"/>
          <w:b/>
          <w:sz w:val="21"/>
        </w:rPr>
        <w:t xml:space="preserve">Stubbed Responses: </w:t>
      </w:r>
      <w:r>
        <w:rPr>
          <w:rFonts w:ascii="Arial" w:hAnsi="Arial"/>
          <w:sz w:val="21"/>
        </w:rPr>
        <w:t>The 7 endpoints have been intentionally built as 'stubs.' When queried, they safely return an empty array ("data": []) rather than throwing an error. This ensures downstream systems do not break when querying the full 19-table schema.</w:t>
      </w:r>
    </w:p>
    <w:p>
      <w:pPr>
        <w:pStyle w:val="ListNumber"/>
      </w:pPr>
      <w:r>
        <w:rPr>
          <w:rFonts w:ascii="Arial" w:hAnsi="Arial"/>
          <w:b/>
          <w:sz w:val="21"/>
        </w:rPr>
        <w:t xml:space="preserve">Phase 2 Enrichment (Optional): </w:t>
      </w:r>
      <w:r>
        <w:rPr>
          <w:rFonts w:ascii="Arial" w:hAnsi="Arial"/>
          <w:sz w:val="21"/>
        </w:rPr>
        <w:t>Because the architecture is decoupled (using a Canonical Data Model), we can populate these 7 empty tables in the future without altering the Carta integration. For example, we can use an LLM (AI) to parse the PDF Investment Memos attached to the Carta profiles to synthetically extract traction/recent developments, or build a secondary adapter to pull expenses directly from the firm's accounting software.</w:t>
      </w:r>
    </w:p>
    <w:p>
      <w:pPr>
        <w:spacing w:before="480"/>
      </w:pPr>
    </w:p>
    <w:p>
      <w:r>
        <w:rPr>
          <w:rFonts w:ascii="Arial" w:hAnsi="Arial"/>
          <w:b/>
          <w:color w:val="64646E"/>
          <w:sz w:val="22"/>
        </w:rPr>
        <w:t>Conclusion: The Carta integration is fully operational and has maximized the data available from the provider. The remaining data gaps are strategic opportunities for future multi-system enrichment.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