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0B6" w:rsidRPr="00F00CA0" w:rsidRDefault="006112C4" w:rsidP="00C70D53">
      <w:pPr>
        <w:spacing w:after="0"/>
        <w:ind w:left="-426" w:right="-421"/>
        <w:jc w:val="center"/>
        <w:rPr>
          <w:rFonts w:ascii="Times New Roman" w:hAnsi="Times New Roman" w:cs="Times New Roman"/>
          <w:b/>
        </w:rPr>
      </w:pPr>
      <w:r w:rsidRPr="00F00CA0">
        <w:rPr>
          <w:rFonts w:ascii="Times New Roman" w:hAnsi="Times New Roman" w:cs="Times New Roman"/>
          <w:b/>
        </w:rPr>
        <w:t xml:space="preserve">Structural Vulnerabilities and Synergies in International Carbon Trade: </w:t>
      </w:r>
      <w:r w:rsidR="000605B9" w:rsidRPr="00F00CA0">
        <w:rPr>
          <w:rFonts w:ascii="Times New Roman" w:hAnsi="Times New Roman" w:cs="Times New Roman"/>
          <w:b/>
        </w:rPr>
        <w:t>An ERGM-SBM Analysis for Aligning SDGs and Trade Patterns</w:t>
      </w:r>
    </w:p>
    <w:p w:rsidR="006112C4" w:rsidRPr="00F00CA0" w:rsidRDefault="006112C4" w:rsidP="00C70D53">
      <w:pPr>
        <w:spacing w:after="0"/>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Abstract</w:t>
      </w:r>
    </w:p>
    <w:p w:rsidR="006112C4" w:rsidRPr="00F00CA0" w:rsidRDefault="006112C4" w:rsidP="00C70D53">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rPr>
        <w:t>This study evaluates the structural topology of the international Carbon Trade Network (</w:t>
      </w:r>
      <w:proofErr w:type="spellStart"/>
      <w:r w:rsidR="003D3EDB" w:rsidRPr="00F00CA0">
        <w:rPr>
          <w:rFonts w:ascii="Times New Roman" w:eastAsia="Times New Roman" w:hAnsi="Times New Roman" w:cs="Times New Roman"/>
        </w:rPr>
        <w:t>i</w:t>
      </w:r>
      <w:r w:rsidRPr="00F00CA0">
        <w:rPr>
          <w:rFonts w:ascii="Times New Roman" w:eastAsia="Times New Roman" w:hAnsi="Times New Roman" w:cs="Times New Roman"/>
        </w:rPr>
        <w:t>CTN</w:t>
      </w:r>
      <w:proofErr w:type="spellEnd"/>
      <w:r w:rsidRPr="00F00CA0">
        <w:rPr>
          <w:rFonts w:ascii="Times New Roman" w:eastAsia="Times New Roman" w:hAnsi="Times New Roman" w:cs="Times New Roman"/>
        </w:rPr>
        <w:t xml:space="preserve">) and its alignment with the United Nations Sustainable Development Goals (SDGs). Utilizing bilateral carbon transfer data alongside ten macroeconomic and environmental indicators from the World Bank’s World Development Indicators (WDI) spanning a </w:t>
      </w:r>
      <w:r w:rsidR="000605B9" w:rsidRPr="00F00CA0">
        <w:rPr>
          <w:rFonts w:ascii="Times New Roman" w:eastAsia="Times New Roman" w:hAnsi="Times New Roman" w:cs="Times New Roman"/>
        </w:rPr>
        <w:t>four</w:t>
      </w:r>
      <w:r w:rsidRPr="00F00CA0">
        <w:rPr>
          <w:rFonts w:ascii="Times New Roman" w:eastAsia="Times New Roman" w:hAnsi="Times New Roman" w:cs="Times New Roman"/>
        </w:rPr>
        <w:t xml:space="preserve">-year period, we examine the underlying forces driving transnational ecological liabilities. Methodologically, we apply Exponential Random Graph Models (ERGMs) to isolate the structural and non-structural determinants of carbon trade link formation, accounting for relational interdependencies. Furthermore, we deploy Stochastic Block Models (SBMs) via a </w:t>
      </w:r>
      <w:proofErr w:type="spellStart"/>
      <w:r w:rsidRPr="00F00CA0">
        <w:rPr>
          <w:rFonts w:ascii="Times New Roman" w:eastAsia="Times New Roman" w:hAnsi="Times New Roman" w:cs="Times New Roman"/>
        </w:rPr>
        <w:t>variational</w:t>
      </w:r>
      <w:proofErr w:type="spellEnd"/>
      <w:r w:rsidRPr="00F00CA0">
        <w:rPr>
          <w:rFonts w:ascii="Times New Roman" w:eastAsia="Times New Roman" w:hAnsi="Times New Roman" w:cs="Times New Roman"/>
        </w:rPr>
        <w:t xml:space="preserve"> Expectation-Maximization algorithm to partition sovereign states into latent structural blocks based on their connectivity profiles. Our findings reveal that the </w:t>
      </w:r>
      <w:proofErr w:type="spellStart"/>
      <w:r w:rsidR="003D3EDB" w:rsidRPr="00F00CA0">
        <w:rPr>
          <w:rFonts w:ascii="Times New Roman" w:eastAsia="Times New Roman" w:hAnsi="Times New Roman" w:cs="Times New Roman"/>
        </w:rPr>
        <w:t>i</w:t>
      </w:r>
      <w:r w:rsidRPr="00F00CA0">
        <w:rPr>
          <w:rFonts w:ascii="Times New Roman" w:eastAsia="Times New Roman" w:hAnsi="Times New Roman" w:cs="Times New Roman"/>
        </w:rPr>
        <w:t>CTN</w:t>
      </w:r>
      <w:proofErr w:type="spellEnd"/>
      <w:r w:rsidRPr="00F00CA0">
        <w:rPr>
          <w:rFonts w:ascii="Times New Roman" w:eastAsia="Times New Roman" w:hAnsi="Times New Roman" w:cs="Times New Roman"/>
        </w:rPr>
        <w:t xml:space="preserve"> exhibits a marked disassortative hierarchy, where a country's structural position within global carbon flows directly mirrors its capacity to fulfill sustainable development benchmarks, highlighting critical implications for global climate governance.</w:t>
      </w:r>
    </w:p>
    <w:p w:rsidR="006112C4" w:rsidRPr="00F00CA0" w:rsidRDefault="006112C4" w:rsidP="00C70D53">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b/>
          <w:i/>
        </w:rPr>
        <w:t>Keywords</w:t>
      </w:r>
      <w:r w:rsidRPr="00F00CA0">
        <w:rPr>
          <w:rFonts w:ascii="Times New Roman" w:eastAsia="Times New Roman" w:hAnsi="Times New Roman" w:cs="Times New Roman"/>
        </w:rPr>
        <w:t>:</w:t>
      </w:r>
      <w:r w:rsidRPr="00F00CA0">
        <w:t xml:space="preserve"> </w:t>
      </w:r>
      <w:r w:rsidRPr="00F00CA0">
        <w:rPr>
          <w:rFonts w:ascii="Times New Roman" w:hAnsi="Times New Roman" w:cs="Times New Roman"/>
        </w:rPr>
        <w:t>International Carbon Trade</w:t>
      </w:r>
      <w:r w:rsidRPr="00F00CA0">
        <w:rPr>
          <w:rFonts w:ascii="Times New Roman" w:eastAsia="Times New Roman" w:hAnsi="Times New Roman" w:cs="Times New Roman"/>
        </w:rPr>
        <w:t xml:space="preserve">, </w:t>
      </w:r>
      <w:r w:rsidR="003D3EDB" w:rsidRPr="00F00CA0">
        <w:rPr>
          <w:rFonts w:ascii="Times New Roman" w:hAnsi="Times New Roman" w:cs="Times New Roman"/>
        </w:rPr>
        <w:t>C</w:t>
      </w:r>
      <w:r w:rsidRPr="00F00CA0">
        <w:rPr>
          <w:rFonts w:ascii="Times New Roman" w:hAnsi="Times New Roman" w:cs="Times New Roman"/>
        </w:rPr>
        <w:t>arbon, ERGM, SBM</w:t>
      </w:r>
      <w:r w:rsidRPr="00F00CA0">
        <w:rPr>
          <w:rFonts w:ascii="Times New Roman" w:eastAsia="Times New Roman" w:hAnsi="Times New Roman" w:cs="Times New Roman"/>
        </w:rPr>
        <w:t>, SDGs</w:t>
      </w:r>
      <w:r w:rsidR="00775ADE" w:rsidRPr="00F00CA0">
        <w:rPr>
          <w:rFonts w:ascii="Times New Roman" w:eastAsia="Times New Roman" w:hAnsi="Times New Roman" w:cs="Times New Roman"/>
        </w:rPr>
        <w:t>, Network Analysis.</w:t>
      </w:r>
    </w:p>
    <w:p w:rsidR="006112C4" w:rsidRPr="00F00CA0" w:rsidRDefault="006112C4" w:rsidP="00C70D53">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b/>
          <w:i/>
        </w:rPr>
        <w:t>JEL Codes:</w:t>
      </w:r>
      <w:r w:rsidR="003D3EDB" w:rsidRPr="00F00CA0">
        <w:rPr>
          <w:rFonts w:ascii="Times New Roman" w:eastAsia="Times New Roman" w:hAnsi="Times New Roman" w:cs="Times New Roman"/>
        </w:rPr>
        <w:t xml:space="preserve"> </w:t>
      </w:r>
      <w:r w:rsidR="003D3EDB" w:rsidRPr="00F00CA0">
        <w:rPr>
          <w:rFonts w:ascii="Times New Roman" w:hAnsi="Times New Roman" w:cs="Times New Roman"/>
        </w:rPr>
        <w:t>C38</w:t>
      </w:r>
      <w:r w:rsidR="003D3EDB" w:rsidRPr="00F00CA0">
        <w:rPr>
          <w:rFonts w:ascii="Times New Roman" w:eastAsia="Times New Roman" w:hAnsi="Times New Roman" w:cs="Times New Roman"/>
        </w:rPr>
        <w:t>, D85</w:t>
      </w:r>
      <w:r w:rsidR="003D3EDB" w:rsidRPr="00F00CA0">
        <w:rPr>
          <w:rFonts w:ascii="Times New Roman" w:hAnsi="Times New Roman" w:cs="Times New Roman"/>
        </w:rPr>
        <w:t>, F18, Q56</w:t>
      </w:r>
      <w:r w:rsidR="003D3EDB" w:rsidRPr="00F00CA0">
        <w:rPr>
          <w:rFonts w:ascii="Times New Roman" w:eastAsia="Times New Roman" w:hAnsi="Times New Roman" w:cs="Times New Roman"/>
        </w:rPr>
        <w:t>.</w:t>
      </w:r>
    </w:p>
    <w:p w:rsidR="003D3EDB" w:rsidRPr="00F00CA0" w:rsidRDefault="003D3EDB" w:rsidP="00C70D53">
      <w:pPr>
        <w:spacing w:after="0"/>
        <w:ind w:left="-426" w:right="-421"/>
        <w:jc w:val="both"/>
        <w:rPr>
          <w:rFonts w:ascii="Times New Roman" w:eastAsia="Times New Roman" w:hAnsi="Times New Roman" w:cs="Times New Roman"/>
        </w:rPr>
      </w:pPr>
    </w:p>
    <w:p w:rsidR="003D3EDB" w:rsidRPr="00F00CA0" w:rsidRDefault="003D3EDB" w:rsidP="00E87B5F">
      <w:pPr>
        <w:pStyle w:val="ListParagraph"/>
        <w:numPr>
          <w:ilvl w:val="0"/>
          <w:numId w:val="2"/>
        </w:numPr>
        <w:ind w:right="-421"/>
        <w:jc w:val="both"/>
        <w:rPr>
          <w:rFonts w:ascii="Times New Roman" w:eastAsia="Times New Roman" w:hAnsi="Times New Roman" w:cs="Times New Roman"/>
          <w:b/>
        </w:rPr>
      </w:pPr>
      <w:r w:rsidRPr="00F00CA0">
        <w:rPr>
          <w:rFonts w:ascii="Times New Roman" w:eastAsia="Times New Roman" w:hAnsi="Times New Roman" w:cs="Times New Roman"/>
          <w:b/>
        </w:rPr>
        <w:t>Introduction</w:t>
      </w:r>
    </w:p>
    <w:p w:rsidR="00487C54" w:rsidRPr="00F00CA0" w:rsidRDefault="00487C54" w:rsidP="00C70D53">
      <w:pPr>
        <w:pStyle w:val="NormalWeb"/>
        <w:spacing w:before="0" w:beforeAutospacing="0" w:after="200" w:afterAutospacing="0" w:line="276" w:lineRule="auto"/>
        <w:ind w:left="-426" w:right="-421"/>
        <w:jc w:val="both"/>
        <w:rPr>
          <w:color w:val="1F1F1F"/>
          <w:sz w:val="22"/>
          <w:szCs w:val="22"/>
        </w:rPr>
      </w:pPr>
      <w:r w:rsidRPr="00F00CA0">
        <w:rPr>
          <w:color w:val="1F1F1F"/>
          <w:sz w:val="22"/>
          <w:szCs w:val="22"/>
        </w:rPr>
        <w:t>The acceleration of climate change has transformed the structural dynamics of global commerce, forcing an intense re-evaluation of how environmental degradation propagates across international borders. In a deeply integrated global marketplace, the physical trade of goods and services is inextricably linked to the cross-border transfer of embodied environmental externalities, commonly examined as the international carbon trade network (Shan et al., 2023). As manufacturing activities are outsourced to minimize localized production costs, c</w:t>
      </w:r>
      <w:r w:rsidR="0006672C" w:rsidRPr="00F00CA0">
        <w:rPr>
          <w:color w:val="1F1F1F"/>
          <w:sz w:val="22"/>
          <w:szCs w:val="22"/>
        </w:rPr>
        <w:t>arbon emissions are implicitly leaked</w:t>
      </w:r>
      <w:r w:rsidRPr="00F00CA0">
        <w:rPr>
          <w:color w:val="1F1F1F"/>
          <w:sz w:val="22"/>
          <w:szCs w:val="22"/>
        </w:rPr>
        <w:t xml:space="preserve"> from highly regulated, consumer-driven economies to rapidly developing export hubs. This spatial separation between consumption and production means that a nation's true carbon footprint can no longer be evaluated in isolation. Instead, it must be mapped through complex relational dependencies where carbon-intensive production processes are traded as commodity flows across a dense global web (De Nicola et al., 2023; Global Carbon Budget, 2025).</w:t>
      </w:r>
      <w:r w:rsidR="0006672C" w:rsidRPr="00F00CA0">
        <w:rPr>
          <w:color w:val="1F1F1F"/>
          <w:sz w:val="22"/>
          <w:szCs w:val="22"/>
        </w:rPr>
        <w:t xml:space="preserve"> </w:t>
      </w:r>
      <w:r w:rsidRPr="00F00CA0">
        <w:rPr>
          <w:color w:val="1F1F1F"/>
          <w:sz w:val="22"/>
          <w:szCs w:val="22"/>
        </w:rPr>
        <w:t>This phenomenon occurs when a product is manufactured in Country A (generating localized emissions) but exported and consumed in Country B, effectively transferring the ecological burden through commercial channels</w:t>
      </w:r>
      <w:r w:rsidR="00F3201A" w:rsidRPr="00F00CA0">
        <w:rPr>
          <w:color w:val="1F1F1F"/>
          <w:sz w:val="22"/>
          <w:szCs w:val="22"/>
        </w:rPr>
        <w:t xml:space="preserve"> generally called embodied carbon transfers (</w:t>
      </w:r>
      <w:r w:rsidRPr="00F00CA0">
        <w:rPr>
          <w:color w:val="1F1F1F"/>
          <w:sz w:val="22"/>
          <w:szCs w:val="22"/>
        </w:rPr>
        <w:t>Hannah et al., 2023).</w:t>
      </w:r>
    </w:p>
    <w:p w:rsidR="00487C54" w:rsidRPr="00F00CA0" w:rsidRDefault="00487C54" w:rsidP="00C70D53">
      <w:pPr>
        <w:pStyle w:val="NormalWeb"/>
        <w:spacing w:after="0" w:afterAutospacing="0" w:line="276" w:lineRule="auto"/>
        <w:ind w:left="-426" w:right="-421"/>
        <w:jc w:val="both"/>
        <w:rPr>
          <w:color w:val="1F1F1F"/>
          <w:sz w:val="22"/>
          <w:szCs w:val="22"/>
        </w:rPr>
      </w:pPr>
      <w:r w:rsidRPr="00F00CA0">
        <w:rPr>
          <w:color w:val="1F1F1F"/>
          <w:sz w:val="22"/>
          <w:szCs w:val="22"/>
        </w:rPr>
        <w:t>Understanding the precise architecture of this international carbon trade network is increasingly critical for tracking alignment with the United Nations Sustainable Development Goals (SDGs). This network does not merely reflect supply-chain efficiencies; it serves as a structural blueprint of how international trade directly impacts climate action (SDG 13), clean energy transitions (SDG 7), and sustainable industry and infrastructure (SDG 9). For instance, when a nation experiences exponential export growth at the cost of expanding its carbon-intensive sectors, immediate economic indicators may surge, yet long-term environmental sustainability is compromised. The tension between achieving responsible consumption and production (SDG 12) and promoting sustained economic growth (SDG 8) introduces structural imbalances that determine how countries position themselves within the global hierarchy of carbon liabilities (Huh &amp; Kim, 2020).</w:t>
      </w:r>
      <w:r w:rsidR="0006672C" w:rsidRPr="00F00CA0">
        <w:rPr>
          <w:color w:val="1F1F1F"/>
          <w:sz w:val="22"/>
          <w:szCs w:val="22"/>
        </w:rPr>
        <w:t xml:space="preserve"> </w:t>
      </w:r>
      <w:r w:rsidRPr="00F00CA0">
        <w:rPr>
          <w:color w:val="1F1F1F"/>
          <w:sz w:val="22"/>
          <w:szCs w:val="22"/>
        </w:rPr>
        <w:t xml:space="preserve">Consequently, the global trade landscape is far from homogeneous; rather, it naturally organizes into systemic clusters and blocks where specific nations establish dense, specialized carbon trading communities. These clusters are often driven by regional trade blocks, shared geographic proximity, varying domestic energy architectures, and historical resource dependencies (Hannah et al., 2023). Developed economies, functioning primarily as net carbon importers, frequently anchor specific clusters, </w:t>
      </w:r>
      <w:r w:rsidRPr="00F00CA0">
        <w:rPr>
          <w:color w:val="1F1F1F"/>
          <w:sz w:val="22"/>
          <w:szCs w:val="22"/>
        </w:rPr>
        <w:lastRenderedPageBreak/>
        <w:t>pulling raw materials and embodied carbon outward from developing economic hubs that serve as net carbon exporters (Shan et al., 2023).</w:t>
      </w:r>
      <w:r w:rsidR="0006672C" w:rsidRPr="00F00CA0">
        <w:rPr>
          <w:color w:val="1F1F1F"/>
          <w:sz w:val="22"/>
          <w:szCs w:val="22"/>
        </w:rPr>
        <w:t xml:space="preserve"> </w:t>
      </w:r>
      <w:r w:rsidRPr="00F00CA0">
        <w:rPr>
          <w:color w:val="1F1F1F"/>
          <w:sz w:val="22"/>
          <w:szCs w:val="22"/>
        </w:rPr>
        <w:t>This dynamic fosters severe structural stratification, sorting nations into distinct roles based on whether they act as primary carbon suppliers or final consumption sinks. Analyzing how these socioeconomic f</w:t>
      </w:r>
      <w:r w:rsidR="0006672C" w:rsidRPr="00F00CA0">
        <w:rPr>
          <w:color w:val="1F1F1F"/>
          <w:sz w:val="22"/>
          <w:szCs w:val="22"/>
        </w:rPr>
        <w:t xml:space="preserve">actors </w:t>
      </w:r>
      <w:r w:rsidRPr="00F00CA0">
        <w:rPr>
          <w:color w:val="1F1F1F"/>
          <w:sz w:val="22"/>
          <w:szCs w:val="22"/>
        </w:rPr>
        <w:t>captured globally through institutional metrics like the Wor</w:t>
      </w:r>
      <w:r w:rsidR="0006672C" w:rsidRPr="00F00CA0">
        <w:rPr>
          <w:color w:val="1F1F1F"/>
          <w:sz w:val="22"/>
          <w:szCs w:val="22"/>
        </w:rPr>
        <w:t xml:space="preserve">ld Development Indicators (WDI) </w:t>
      </w:r>
      <w:r w:rsidRPr="00F00CA0">
        <w:rPr>
          <w:color w:val="1F1F1F"/>
          <w:sz w:val="22"/>
          <w:szCs w:val="22"/>
        </w:rPr>
        <w:t>intersect with international trade networks provides a clear window into how country-level developmental trajectories catalyze or mitigate global carbon flows. Synthesizing these multi-dimensional factors over a multi-year horizon reveals the deep macroscopic patterns that govern global environmental accountability and shapes the real-world feasibility of achieving the SDGs.</w:t>
      </w:r>
    </w:p>
    <w:p w:rsidR="0006672C" w:rsidRPr="00F00CA0" w:rsidRDefault="0006672C" w:rsidP="00C70D53">
      <w:pPr>
        <w:pStyle w:val="NormalWeb"/>
        <w:spacing w:after="0" w:afterAutospacing="0" w:line="276" w:lineRule="auto"/>
        <w:ind w:left="-426" w:right="-421"/>
        <w:jc w:val="both"/>
        <w:rPr>
          <w:color w:val="1F1F1F"/>
          <w:sz w:val="22"/>
          <w:szCs w:val="22"/>
        </w:rPr>
      </w:pPr>
    </w:p>
    <w:p w:rsidR="00865C64" w:rsidRPr="00F00CA0" w:rsidRDefault="00865C64" w:rsidP="00E87B5F">
      <w:pPr>
        <w:pStyle w:val="ListParagraph"/>
        <w:numPr>
          <w:ilvl w:val="0"/>
          <w:numId w:val="2"/>
        </w:numPr>
        <w:ind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Literature Review</w:t>
      </w:r>
    </w:p>
    <w:p w:rsidR="00865C64" w:rsidRPr="00F00CA0" w:rsidRDefault="00865C64" w:rsidP="00C70D53">
      <w:pPr>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evolution of the international trade network (ITN) has transformed global economic landscapes into a tightly bound web of localized supply chains, causing localized environmental issues to propagate as global cascading shocks (De </w:t>
      </w:r>
      <w:proofErr w:type="spellStart"/>
      <w:r w:rsidRPr="00F00CA0">
        <w:rPr>
          <w:rFonts w:ascii="Times New Roman" w:eastAsia="Times New Roman" w:hAnsi="Times New Roman" w:cs="Times New Roman"/>
          <w:color w:val="1F1F1F"/>
        </w:rPr>
        <w:t>Benedictis</w:t>
      </w:r>
      <w:proofErr w:type="spellEnd"/>
      <w:r w:rsidRPr="00F00CA0">
        <w:rPr>
          <w:rFonts w:ascii="Times New Roman" w:eastAsia="Times New Roman" w:hAnsi="Times New Roman" w:cs="Times New Roman"/>
          <w:color w:val="1F1F1F"/>
        </w:rPr>
        <w:t xml:space="preserve"> et al., 2014; Liu et al., 2025). Within this architecture, the physical flow of commodities functions as a conduit for "embodied carbon" emissions generated during manufacturing within export-heavy jurisdictions but effectively consumed by importing sovereign states (Hannah et al., 2023; Shan et al., 2023). This </w:t>
      </w:r>
      <w:proofErr w:type="spellStart"/>
      <w:r w:rsidRPr="00F00CA0">
        <w:rPr>
          <w:rFonts w:ascii="Times New Roman" w:eastAsia="Times New Roman" w:hAnsi="Times New Roman" w:cs="Times New Roman"/>
          <w:color w:val="1F1F1F"/>
        </w:rPr>
        <w:t>transboundary</w:t>
      </w:r>
      <w:proofErr w:type="spellEnd"/>
      <w:r w:rsidRPr="00F00CA0">
        <w:rPr>
          <w:rFonts w:ascii="Times New Roman" w:eastAsia="Times New Roman" w:hAnsi="Times New Roman" w:cs="Times New Roman"/>
          <w:color w:val="1F1F1F"/>
        </w:rPr>
        <w:t xml:space="preserve"> transfer reveals a highly asymmetric </w:t>
      </w:r>
      <w:proofErr w:type="spellStart"/>
      <w:r w:rsidRPr="00F00CA0">
        <w:rPr>
          <w:rFonts w:ascii="Times New Roman" w:eastAsia="Times New Roman" w:hAnsi="Times New Roman" w:cs="Times New Roman"/>
          <w:color w:val="1F1F1F"/>
        </w:rPr>
        <w:t>telecoupling</w:t>
      </w:r>
      <w:proofErr w:type="spellEnd"/>
      <w:r w:rsidRPr="00F00CA0">
        <w:rPr>
          <w:rFonts w:ascii="Times New Roman" w:eastAsia="Times New Roman" w:hAnsi="Times New Roman" w:cs="Times New Roman"/>
          <w:color w:val="1F1F1F"/>
        </w:rPr>
        <w:t xml:space="preserve"> structure: highly developed consumer nations systematically delegate carbon-intensive, extraction-heavy industrial tasks to emerging economies, effectively </w:t>
      </w:r>
      <w:proofErr w:type="spellStart"/>
      <w:r w:rsidRPr="00F00CA0">
        <w:rPr>
          <w:rFonts w:ascii="Times New Roman" w:eastAsia="Times New Roman" w:hAnsi="Times New Roman" w:cs="Times New Roman"/>
          <w:color w:val="1F1F1F"/>
        </w:rPr>
        <w:t>offshoring</w:t>
      </w:r>
      <w:proofErr w:type="spellEnd"/>
      <w:r w:rsidRPr="00F00CA0">
        <w:rPr>
          <w:rFonts w:ascii="Times New Roman" w:eastAsia="Times New Roman" w:hAnsi="Times New Roman" w:cs="Times New Roman"/>
          <w:color w:val="1F1F1F"/>
        </w:rPr>
        <w:t xml:space="preserve"> their domestic environmental liabilities (Pan, 2026). The political and economic impetus behind these structural patterns is intrinsically tied to the United Nations Sustainable Development Goals (SDGs). As nations work to balance the trade-offs between clean energy transitions (SDG 7), industrial innovations (SDG 9), and climate mitigation (SDG 13), severe structural imbalances materialize. For instance, when a developing state accelerates carbon-dense production to achieve industrial expansion (SDG 9) or economic growth (SDG 8), it compromises its commitments to sustainable production and consumption (SDG 12) (Huh &amp; Kim, 2020). Understanding how these multi-dimensional socioeconomic indicators captured globally through institutional World Development Indicators (WDI) intersect with macro-level trade configurations requires moving beyond descriptive analytics. It demands inferential network modeling capable of resolving statistical dependencies and uncovering systemic clustering.</w:t>
      </w:r>
    </w:p>
    <w:p w:rsidR="00865C64" w:rsidRPr="00F00CA0" w:rsidRDefault="00865C64"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Evaluating the underlying behavioral and structural forces within global trade requires statistical tools that can account for the intense interdependencies of relational data, where the creation of a commercial link is never an isolated dyadic event (De Nicola et al., 2023). In complex network analysis, two robust yet historically separated frameworks offer a resolution to this challenge. First, </w:t>
      </w:r>
      <w:r w:rsidRPr="00F00CA0">
        <w:rPr>
          <w:rFonts w:ascii="Times New Roman" w:eastAsia="Times New Roman" w:hAnsi="Times New Roman" w:cs="Times New Roman"/>
          <w:bCs/>
          <w:color w:val="1F1F1F"/>
          <w:bdr w:val="none" w:sz="0" w:space="0" w:color="auto" w:frame="1"/>
        </w:rPr>
        <w:t>Exponential Random Graph Models (ERGMs)</w:t>
      </w:r>
      <w:r w:rsidRPr="00F00CA0">
        <w:rPr>
          <w:rFonts w:ascii="Times New Roman" w:eastAsia="Times New Roman" w:hAnsi="Times New Roman" w:cs="Times New Roman"/>
          <w:color w:val="1F1F1F"/>
        </w:rPr>
        <w:t xml:space="preserve"> framework which allows researchers to define the probability of observed network architecture based on localized configurations and specific node attributes (Morris et al., 2008). Within an ERGM design, the deployment of </w:t>
      </w:r>
      <w:r w:rsidRPr="00F00CA0">
        <w:rPr>
          <w:rFonts w:ascii="Times New Roman" w:eastAsia="Times New Roman" w:hAnsi="Times New Roman" w:cs="Times New Roman"/>
          <w:bCs/>
          <w:color w:val="1F1F1F"/>
          <w:bdr w:val="none" w:sz="0" w:space="0" w:color="auto" w:frame="1"/>
        </w:rPr>
        <w:t>node covariates</w:t>
      </w:r>
      <w:r w:rsidRPr="00F00CA0">
        <w:rPr>
          <w:rFonts w:ascii="Times New Roman" w:eastAsia="Times New Roman" w:hAnsi="Times New Roman" w:cs="Times New Roman"/>
          <w:color w:val="1F1F1F"/>
        </w:rPr>
        <w:t xml:space="preserve"> enables the direct statistical evaluation of how a country’s continuous metrics such as industrial emission scales or energy efficiencies affect its baseline likelihood of initiating or receiving carbon trade links (Sosa et al., 2024). Simultaneously, the use of </w:t>
      </w:r>
      <w:r w:rsidRPr="00F00CA0">
        <w:rPr>
          <w:rFonts w:ascii="Times New Roman" w:eastAsia="Times New Roman" w:hAnsi="Times New Roman" w:cs="Times New Roman"/>
          <w:bCs/>
          <w:color w:val="1F1F1F"/>
          <w:bdr w:val="none" w:sz="0" w:space="0" w:color="auto" w:frame="1"/>
        </w:rPr>
        <w:t xml:space="preserve">node </w:t>
      </w:r>
      <w:proofErr w:type="gramStart"/>
      <w:r w:rsidRPr="00F00CA0">
        <w:rPr>
          <w:rFonts w:ascii="Times New Roman" w:eastAsia="Times New Roman" w:hAnsi="Times New Roman" w:cs="Times New Roman"/>
          <w:bCs/>
          <w:color w:val="1F1F1F"/>
          <w:bdr w:val="none" w:sz="0" w:space="0" w:color="auto" w:frame="1"/>
        </w:rPr>
        <w:t>Homophily</w:t>
      </w:r>
      <w:proofErr w:type="gramEnd"/>
      <w:r w:rsidRPr="00F00CA0">
        <w:rPr>
          <w:rFonts w:ascii="Times New Roman" w:eastAsia="Times New Roman" w:hAnsi="Times New Roman" w:cs="Times New Roman"/>
          <w:bCs/>
          <w:color w:val="1F1F1F"/>
          <w:bdr w:val="none" w:sz="0" w:space="0" w:color="auto" w:frame="1"/>
        </w:rPr>
        <w:t xml:space="preserve"> </w:t>
      </w:r>
      <w:r w:rsidRPr="00F00CA0">
        <w:rPr>
          <w:rFonts w:ascii="Times New Roman" w:eastAsia="Times New Roman" w:hAnsi="Times New Roman" w:cs="Times New Roman"/>
          <w:color w:val="1F1F1F"/>
        </w:rPr>
        <w:t xml:space="preserve">quantifies whether states sharing identical discrete characteristics, such as regional environmental treaties or regulatory frameworks, exhibit a statistically significant tendency to trade preferentially with one another rather than by random chance (Morris et al., 2008). </w:t>
      </w:r>
      <w:proofErr w:type="gramStart"/>
      <w:r w:rsidRPr="00F00CA0">
        <w:rPr>
          <w:rFonts w:ascii="Times New Roman" w:eastAsia="Times New Roman" w:hAnsi="Times New Roman" w:cs="Times New Roman"/>
          <w:color w:val="1F1F1F"/>
        </w:rPr>
        <w:t xml:space="preserve">Second, </w:t>
      </w:r>
      <w:r w:rsidRPr="00F00CA0">
        <w:rPr>
          <w:rFonts w:ascii="Times New Roman" w:eastAsia="Times New Roman" w:hAnsi="Times New Roman" w:cs="Times New Roman"/>
          <w:bCs/>
          <w:color w:val="1F1F1F"/>
          <w:bdr w:val="none" w:sz="0" w:space="0" w:color="auto" w:frame="1"/>
        </w:rPr>
        <w:t xml:space="preserve">Stochastic Block Models (SBMs), </w:t>
      </w:r>
      <w:r w:rsidRPr="00F00CA0">
        <w:rPr>
          <w:rFonts w:ascii="Times New Roman" w:eastAsia="Times New Roman" w:hAnsi="Times New Roman" w:cs="Times New Roman"/>
          <w:color w:val="1F1F1F"/>
        </w:rPr>
        <w:t>while ERGMs isolate local, attribute-driven behavioral traits, they can encounter severe computational degeneracy when handling dense global network structures.</w:t>
      </w:r>
      <w:proofErr w:type="gramEnd"/>
      <w:r w:rsidRPr="00F00CA0">
        <w:rPr>
          <w:rFonts w:ascii="Times New Roman" w:eastAsia="Times New Roman" w:hAnsi="Times New Roman" w:cs="Times New Roman"/>
          <w:color w:val="1F1F1F"/>
        </w:rPr>
        <w:t xml:space="preserve"> SBMs complement this by shifting focus from local parameters to macroscopic architectures. Instead of defining tie formation through explicit individual traits, SBMs algorithmically group nodes into latent, distinct clusters based on their overall connectivity </w:t>
      </w:r>
      <w:r w:rsidRPr="00F00CA0">
        <w:rPr>
          <w:rFonts w:ascii="Times New Roman" w:eastAsia="Times New Roman" w:hAnsi="Times New Roman" w:cs="Times New Roman"/>
          <w:color w:val="1F1F1F"/>
        </w:rPr>
        <w:lastRenderedPageBreak/>
        <w:t>profiles (Ye et al., 2025). This provides a mathematical lens to map international economic stratification, revealing exactly how global markets fragment into distinct raw material blocks, intermediate manufacturing clusters, and final consumption sinks (</w:t>
      </w:r>
      <w:proofErr w:type="spellStart"/>
      <w:r w:rsidRPr="00F00CA0">
        <w:rPr>
          <w:rFonts w:ascii="Times New Roman" w:eastAsia="Times New Roman" w:hAnsi="Times New Roman" w:cs="Times New Roman"/>
          <w:color w:val="1F1F1F"/>
        </w:rPr>
        <w:t>Simeonov</w:t>
      </w:r>
      <w:proofErr w:type="spellEnd"/>
      <w:r w:rsidRPr="00F00CA0">
        <w:rPr>
          <w:rFonts w:ascii="Times New Roman" w:eastAsia="Times New Roman" w:hAnsi="Times New Roman" w:cs="Times New Roman"/>
          <w:color w:val="1F1F1F"/>
        </w:rPr>
        <w:t>, 2024).</w:t>
      </w:r>
    </w:p>
    <w:p w:rsidR="00865C64" w:rsidRPr="00F00CA0" w:rsidRDefault="00865C64"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Despite the rapid growth of environmental network science, a notable gap remains at the intersection of network inferential methods, WDI socio-economic indicators, and comprehensive SDG trajectories over explicit temporal horizons. Where </w:t>
      </w:r>
      <w:r w:rsidR="00651A73" w:rsidRPr="00F00CA0">
        <w:rPr>
          <w:rFonts w:ascii="Times New Roman" w:eastAsia="Times New Roman" w:hAnsi="Times New Roman" w:cs="Times New Roman"/>
          <w:color w:val="1F1F1F"/>
        </w:rPr>
        <w:t>international</w:t>
      </w:r>
      <w:r w:rsidRPr="00F00CA0">
        <w:rPr>
          <w:rFonts w:ascii="Times New Roman" w:eastAsia="Times New Roman" w:hAnsi="Times New Roman" w:cs="Times New Roman"/>
          <w:color w:val="1F1F1F"/>
        </w:rPr>
        <w:t xml:space="preserve"> trade models incorporate individual national variables, they traditionally rely on standard economic metrics such as absolute GDP, geographical proximity, or shared common languages (De Nicola et al., 2023). There is a distinct shortage of research that explicitly adapts multi-dimensional World Development Indicators (WDI) into direct proxies for Sustainable Development Goals to determine how progress toward green transitions alters a country's structural position in the global trade network.</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No prior study has mapped a co</w:t>
      </w:r>
      <w:r w:rsidR="000605B9" w:rsidRPr="00F00CA0">
        <w:rPr>
          <w:rFonts w:ascii="Times New Roman" w:eastAsia="Times New Roman" w:hAnsi="Times New Roman" w:cs="Times New Roman"/>
          <w:color w:val="1F1F1F"/>
        </w:rPr>
        <w:t>ntinuous 4</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year network panel to track how the annual shifting of structural mechanics co-evolves</w:t>
      </w:r>
      <w:r w:rsidR="00651A73" w:rsidRPr="00F00CA0">
        <w:rPr>
          <w:rFonts w:ascii="Times New Roman" w:eastAsia="Times New Roman" w:hAnsi="Times New Roman" w:cs="Times New Roman"/>
          <w:color w:val="1F1F1F"/>
        </w:rPr>
        <w:t xml:space="preserve"> via ERGM</w:t>
      </w:r>
      <w:r w:rsidRPr="00F00CA0">
        <w:rPr>
          <w:rFonts w:ascii="Times New Roman" w:eastAsia="Times New Roman" w:hAnsi="Times New Roman" w:cs="Times New Roman"/>
          <w:color w:val="1F1F1F"/>
        </w:rPr>
        <w:t xml:space="preserve"> with the emergent macro blocks derived via an SBM on the exact same dataset.</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By executing an ERGM alongside an SB</w:t>
      </w:r>
      <w:r w:rsidR="009A1166" w:rsidRPr="00F00CA0">
        <w:rPr>
          <w:rFonts w:ascii="Times New Roman" w:eastAsia="Times New Roman" w:hAnsi="Times New Roman" w:cs="Times New Roman"/>
          <w:color w:val="1F1F1F"/>
        </w:rPr>
        <w:t>M on a 4</w:t>
      </w:r>
      <w:r w:rsidR="00651A73"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year panel of carbon-linked export flows tied directly to SDG-oriented indicators, this stud</w:t>
      </w:r>
      <w:r w:rsidR="00651A73" w:rsidRPr="00F00CA0">
        <w:rPr>
          <w:rFonts w:ascii="Times New Roman" w:eastAsia="Times New Roman" w:hAnsi="Times New Roman" w:cs="Times New Roman"/>
          <w:color w:val="1F1F1F"/>
        </w:rPr>
        <w:t xml:space="preserve">y offers a pioneering synthesis </w:t>
      </w:r>
      <w:r w:rsidRPr="00F00CA0">
        <w:rPr>
          <w:rFonts w:ascii="Times New Roman" w:eastAsia="Times New Roman" w:hAnsi="Times New Roman" w:cs="Times New Roman"/>
          <w:color w:val="1F1F1F"/>
        </w:rPr>
        <w:t>capturing both the microscopic behavioral parameters and the macroscopic block stratifications that characterize global environmental governance.</w:t>
      </w:r>
    </w:p>
    <w:p w:rsidR="0061363B" w:rsidRPr="00F00CA0" w:rsidRDefault="009D506F" w:rsidP="00E87B5F">
      <w:pPr>
        <w:pStyle w:val="ListParagraph"/>
        <w:numPr>
          <w:ilvl w:val="0"/>
          <w:numId w:val="2"/>
        </w:numPr>
        <w:spacing w:before="100" w:beforeAutospacing="1" w:after="0"/>
        <w:ind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 xml:space="preserve">Data and </w:t>
      </w:r>
      <w:r w:rsidR="007765E1" w:rsidRPr="00F00CA0">
        <w:rPr>
          <w:rFonts w:ascii="Times New Roman" w:eastAsia="Times New Roman" w:hAnsi="Times New Roman" w:cs="Times New Roman"/>
          <w:b/>
          <w:bCs/>
          <w:color w:val="1F1F1F"/>
        </w:rPr>
        <w:t>Methodology</w:t>
      </w:r>
    </w:p>
    <w:p w:rsidR="0061363B" w:rsidRPr="00F00CA0" w:rsidRDefault="00C2314F" w:rsidP="00C70D53">
      <w:pPr>
        <w:spacing w:before="100" w:beforeAutospacing="1" w:after="0"/>
        <w:ind w:left="-426" w:right="-421"/>
        <w:outlineLvl w:val="1"/>
        <w:rPr>
          <w:rFonts w:ascii="Times New Roman" w:eastAsia="Times New Roman" w:hAnsi="Times New Roman" w:cs="Times New Roman"/>
          <w:b/>
          <w:bCs/>
          <w:color w:val="1F1F1F"/>
        </w:rPr>
      </w:pPr>
      <w:r w:rsidRPr="00F00CA0">
        <w:rPr>
          <w:rFonts w:ascii="Times New Roman" w:eastAsia="Times New Roman" w:hAnsi="Times New Roman" w:cs="Times New Roman"/>
          <w:b/>
          <w:bCs/>
          <w:iCs/>
          <w:color w:val="000000"/>
        </w:rPr>
        <w:t xml:space="preserve">3.1 </w:t>
      </w:r>
      <w:r w:rsidR="0061363B" w:rsidRPr="00F00CA0">
        <w:rPr>
          <w:rFonts w:ascii="Times New Roman" w:eastAsia="Times New Roman" w:hAnsi="Times New Roman" w:cs="Times New Roman"/>
          <w:b/>
          <w:bCs/>
          <w:iCs/>
          <w:color w:val="000000"/>
        </w:rPr>
        <w:t>Data Source</w:t>
      </w:r>
    </w:p>
    <w:p w:rsidR="0061363B" w:rsidRPr="00F00CA0" w:rsidRDefault="0061363B" w:rsidP="00C70D53">
      <w:pPr>
        <w:autoSpaceDE w:val="0"/>
        <w:autoSpaceDN w:val="0"/>
        <w:adjustRightInd w:val="0"/>
        <w:spacing w:after="0"/>
        <w:ind w:left="-426" w:right="-421"/>
        <w:jc w:val="both"/>
        <w:rPr>
          <w:rFonts w:ascii="Times New Roman" w:hAnsi="Times New Roman" w:cs="Times New Roman"/>
        </w:rPr>
      </w:pPr>
      <w:r w:rsidRPr="00F00CA0">
        <w:rPr>
          <w:rFonts w:ascii="Times New Roman" w:hAnsi="Times New Roman" w:cs="Times New Roman"/>
        </w:rPr>
        <w:t xml:space="preserve">Data relating to bilateral </w:t>
      </w:r>
      <w:r w:rsidR="00AC6258" w:rsidRPr="00F00CA0">
        <w:rPr>
          <w:rFonts w:ascii="Times New Roman" w:hAnsi="Times New Roman" w:cs="Times New Roman"/>
        </w:rPr>
        <w:t>carbon</w:t>
      </w:r>
      <w:r w:rsidRPr="00F00CA0">
        <w:rPr>
          <w:rFonts w:ascii="Times New Roman" w:hAnsi="Times New Roman" w:cs="Times New Roman"/>
        </w:rPr>
        <w:t xml:space="preserve"> trade extracted from the </w:t>
      </w:r>
      <w:r w:rsidR="00AC6258" w:rsidRPr="00F00CA0">
        <w:rPr>
          <w:rFonts w:ascii="Times New Roman" w:hAnsi="Times New Roman" w:cs="Times New Roman"/>
        </w:rPr>
        <w:t>WITS Repository during the period of 2019 to 2022</w:t>
      </w:r>
      <w:r w:rsidR="00B52A2F" w:rsidRPr="00F00CA0">
        <w:rPr>
          <w:rFonts w:ascii="Times New Roman" w:hAnsi="Times New Roman" w:cs="Times New Roman"/>
        </w:rPr>
        <w:t xml:space="preserve"> from </w:t>
      </w:r>
      <w:r w:rsidR="00C2314F" w:rsidRPr="00F00CA0">
        <w:rPr>
          <w:rFonts w:ascii="Times New Roman" w:hAnsi="Times New Roman" w:cs="Times New Roman"/>
        </w:rPr>
        <w:t>all</w:t>
      </w:r>
      <w:r w:rsidR="00B52A2F" w:rsidRPr="00F00CA0">
        <w:rPr>
          <w:rFonts w:ascii="Times New Roman" w:hAnsi="Times New Roman" w:cs="Times New Roman"/>
        </w:rPr>
        <w:t xml:space="preserve"> nations</w:t>
      </w:r>
      <w:r w:rsidRPr="00F00CA0">
        <w:rPr>
          <w:rFonts w:ascii="Times New Roman" w:hAnsi="Times New Roman" w:cs="Times New Roman"/>
        </w:rPr>
        <w:t xml:space="preserve">, provided by the United Nations Statistics Division (UNSD), and a second open data source, </w:t>
      </w:r>
      <w:r w:rsidR="00B52A2F" w:rsidRPr="00F00CA0">
        <w:rPr>
          <w:rFonts w:ascii="Times New Roman" w:eastAsia="Times New Roman" w:hAnsi="Times New Roman" w:cs="Times New Roman"/>
          <w:color w:val="000000"/>
        </w:rPr>
        <w:t xml:space="preserve">Furthermore, the macroeconomic variables related to the SDGs were retracted from World Development Indicators (WDI) provided as a free and open source for data collection developed and managed by World Bank Group (WBG) for the exact period. </w:t>
      </w:r>
      <w:proofErr w:type="spellStart"/>
      <w:r w:rsidR="000C0B85" w:rsidRPr="00F00CA0">
        <w:rPr>
          <w:rFonts w:ascii="Times New Roman" w:hAnsi="Times New Roman" w:cs="Times New Roman"/>
        </w:rPr>
        <w:t>Sajedianfard</w:t>
      </w:r>
      <w:proofErr w:type="spellEnd"/>
      <w:r w:rsidR="000C0B85" w:rsidRPr="00F00CA0">
        <w:rPr>
          <w:rFonts w:ascii="Times New Roman" w:hAnsi="Times New Roman" w:cs="Times New Roman"/>
        </w:rPr>
        <w:t xml:space="preserve"> et al. (2021) argue that, in practice, measurements of exports and imports do not necessarily align due to methodological differences in data collection, which typically results in discrepancies. Therefore, export and import data should be analyzed separately. Consequently, in this article we exclusively focus on export data, primarily concentrating on exporting countries. This approach does not undermine the analysis, as export data should effectively represent the majority of global trade flows, since theoretically, exports from country A to country B should be equal to the imports of country B from country A (</w:t>
      </w:r>
      <w:proofErr w:type="spellStart"/>
      <w:r w:rsidR="000C0B85" w:rsidRPr="00F00CA0">
        <w:rPr>
          <w:rFonts w:ascii="Times New Roman" w:hAnsi="Times New Roman" w:cs="Times New Roman"/>
        </w:rPr>
        <w:t>Bussière</w:t>
      </w:r>
      <w:proofErr w:type="spellEnd"/>
      <w:r w:rsidR="000C0B85" w:rsidRPr="00F00CA0">
        <w:rPr>
          <w:rFonts w:ascii="Times New Roman" w:hAnsi="Times New Roman" w:cs="Times New Roman"/>
        </w:rPr>
        <w:t xml:space="preserve"> and Chinn, 2018).</w:t>
      </w:r>
    </w:p>
    <w:p w:rsidR="00B919CF" w:rsidRPr="00F00CA0" w:rsidRDefault="00B40F93" w:rsidP="00C70D53">
      <w:pPr>
        <w:autoSpaceDE w:val="0"/>
        <w:autoSpaceDN w:val="0"/>
        <w:adjustRightInd w:val="0"/>
        <w:spacing w:after="0"/>
        <w:ind w:left="-426" w:right="-421"/>
        <w:jc w:val="both"/>
        <w:rPr>
          <w:rFonts w:ascii="Times New Roman" w:hAnsi="Times New Roman" w:cs="Times New Roman"/>
        </w:rPr>
      </w:pPr>
      <w:r w:rsidRPr="00F00CA0">
        <w:rPr>
          <w:rFonts w:ascii="Times New Roman" w:hAnsi="Times New Roman" w:cs="Times New Roman"/>
        </w:rPr>
        <w:t>The filtered bilateral trade relations database consists of 195 countries, and additional special administrative regions, economic and monetary unions, among others were excluded. For this analysis, we chose countries as the unit of analysis. Therefore, the list of ISO country codes recognized by the United Nations (UN) can be used to filter the original database accordingly. It is important to note that the WITS database does not provide reports for all countries, resulting in a final dataset comprising 154-164 countries throughout the study period. Table 1 presents the descriptive statistics of the trade.</w:t>
      </w:r>
    </w:p>
    <w:tbl>
      <w:tblPr>
        <w:tblW w:w="7487" w:type="dxa"/>
        <w:jc w:val="center"/>
        <w:tblInd w:w="-1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66"/>
        <w:gridCol w:w="1199"/>
        <w:gridCol w:w="1154"/>
        <w:gridCol w:w="1251"/>
        <w:gridCol w:w="1417"/>
      </w:tblGrid>
      <w:tr w:rsidR="00067433" w:rsidRPr="00F00CA0" w:rsidTr="00850FA5">
        <w:trPr>
          <w:trHeight w:val="239"/>
          <w:jc w:val="center"/>
        </w:trPr>
        <w:tc>
          <w:tcPr>
            <w:tcW w:w="7487" w:type="dxa"/>
            <w:gridSpan w:val="5"/>
            <w:shd w:val="clear" w:color="auto" w:fill="auto"/>
            <w:vAlign w:val="bottom"/>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hAnsi="Times New Roman" w:cs="Times New Roman"/>
              </w:rPr>
              <w:t>Table 1: Descriptive statistics of the bilateral trade relations database.</w:t>
            </w:r>
          </w:p>
        </w:tc>
      </w:tr>
      <w:tr w:rsidR="00067433" w:rsidRPr="00F00CA0" w:rsidTr="00850FA5">
        <w:trPr>
          <w:trHeight w:val="504"/>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Metrics</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2019</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2020</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2021</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b/>
                <w:bCs/>
                <w:color w:val="333333"/>
              </w:rPr>
            </w:pPr>
            <w:r w:rsidRPr="00F00CA0">
              <w:rPr>
                <w:rFonts w:ascii="Times New Roman" w:eastAsia="Times New Roman" w:hAnsi="Times New Roman" w:cs="Times New Roman"/>
                <w:b/>
                <w:bCs/>
                <w:color w:val="333333"/>
              </w:rPr>
              <w:t>2022</w:t>
            </w:r>
          </w:p>
        </w:tc>
      </w:tr>
      <w:tr w:rsidR="00067433" w:rsidRPr="00F00CA0" w:rsidTr="00850FA5">
        <w:trPr>
          <w:trHeight w:val="335"/>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Number of Nations</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162</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154</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164</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160</w:t>
            </w:r>
          </w:p>
        </w:tc>
      </w:tr>
      <w:tr w:rsidR="00067433" w:rsidRPr="00F00CA0" w:rsidTr="00850FA5">
        <w:trPr>
          <w:trHeight w:val="269"/>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Number of links</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1665</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1561</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1687</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1558</w:t>
            </w:r>
          </w:p>
        </w:tc>
      </w:tr>
      <w:tr w:rsidR="00067433" w:rsidRPr="00F00CA0" w:rsidTr="00850FA5">
        <w:trPr>
          <w:trHeight w:val="273"/>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w:t>
            </w:r>
            <w:r w:rsidRPr="00F00CA0">
              <w:rPr>
                <w:rFonts w:ascii="Times New Roman" w:eastAsia="Times New Roman" w:hAnsi="Times New Roman" w:cs="Times New Roman"/>
                <w:color w:val="333333"/>
                <w:vertAlign w:val="superscript"/>
              </w:rPr>
              <w:t>st</w:t>
            </w:r>
            <w:r w:rsidRPr="00F00CA0">
              <w:rPr>
                <w:rFonts w:ascii="Times New Roman" w:eastAsia="Times New Roman" w:hAnsi="Times New Roman" w:cs="Times New Roman"/>
                <w:color w:val="333333"/>
              </w:rPr>
              <w:t xml:space="preserve"> Quartile</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5.04</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9.42</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9.32</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6.0</w:t>
            </w:r>
          </w:p>
        </w:tc>
      </w:tr>
      <w:tr w:rsidR="00067433" w:rsidRPr="00F00CA0" w:rsidTr="00850FA5">
        <w:trPr>
          <w:trHeight w:val="257"/>
          <w:jc w:val="center"/>
        </w:trPr>
        <w:tc>
          <w:tcPr>
            <w:tcW w:w="2466"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Median Trade Flows</w:t>
            </w:r>
          </w:p>
        </w:tc>
        <w:tc>
          <w:tcPr>
            <w:tcW w:w="1199"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58.50</w:t>
            </w:r>
          </w:p>
        </w:tc>
        <w:tc>
          <w:tcPr>
            <w:tcW w:w="1154"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70.12</w:t>
            </w:r>
          </w:p>
        </w:tc>
        <w:tc>
          <w:tcPr>
            <w:tcW w:w="1251"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91.49</w:t>
            </w:r>
          </w:p>
        </w:tc>
        <w:tc>
          <w:tcPr>
            <w:tcW w:w="1417"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85.8</w:t>
            </w:r>
          </w:p>
        </w:tc>
      </w:tr>
      <w:tr w:rsidR="00067433" w:rsidRPr="00F00CA0" w:rsidTr="00850FA5">
        <w:trPr>
          <w:trHeight w:val="275"/>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lastRenderedPageBreak/>
              <w:t>Average Trade Flows</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2721.32</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2241.29</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3076.03</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3710.1</w:t>
            </w:r>
          </w:p>
        </w:tc>
      </w:tr>
      <w:tr w:rsidR="00067433" w:rsidRPr="00F00CA0" w:rsidTr="00850FA5">
        <w:trPr>
          <w:trHeight w:val="285"/>
          <w:jc w:val="center"/>
        </w:trPr>
        <w:tc>
          <w:tcPr>
            <w:tcW w:w="2466"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w:t>
            </w:r>
            <w:r w:rsidRPr="00F00CA0">
              <w:rPr>
                <w:rFonts w:ascii="Times New Roman" w:eastAsia="Times New Roman" w:hAnsi="Times New Roman" w:cs="Times New Roman"/>
                <w:color w:val="333333"/>
                <w:vertAlign w:val="superscript"/>
              </w:rPr>
              <w:t>rd</w:t>
            </w:r>
            <w:r w:rsidRPr="00F00CA0">
              <w:rPr>
                <w:rFonts w:ascii="Times New Roman" w:eastAsia="Times New Roman" w:hAnsi="Times New Roman" w:cs="Times New Roman"/>
                <w:color w:val="333333"/>
              </w:rPr>
              <w:t xml:space="preserve"> Quartile</w:t>
            </w:r>
          </w:p>
        </w:tc>
        <w:tc>
          <w:tcPr>
            <w:tcW w:w="1199"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638.46</w:t>
            </w:r>
          </w:p>
        </w:tc>
        <w:tc>
          <w:tcPr>
            <w:tcW w:w="1154"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705.73</w:t>
            </w:r>
          </w:p>
        </w:tc>
        <w:tc>
          <w:tcPr>
            <w:tcW w:w="1251"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842.32</w:t>
            </w:r>
          </w:p>
        </w:tc>
        <w:tc>
          <w:tcPr>
            <w:tcW w:w="1417" w:type="dxa"/>
            <w:shd w:val="clear" w:color="000000" w:fill="F9F9F9"/>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1060.3</w:t>
            </w:r>
          </w:p>
        </w:tc>
      </w:tr>
      <w:tr w:rsidR="00067433" w:rsidRPr="00F00CA0" w:rsidTr="00850FA5">
        <w:trPr>
          <w:trHeight w:val="281"/>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Maximum</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252611.01</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187128.95</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305897.36</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330602.9</w:t>
            </w:r>
          </w:p>
        </w:tc>
      </w:tr>
      <w:tr w:rsidR="00067433" w:rsidRPr="00F00CA0" w:rsidTr="00850FA5">
        <w:trPr>
          <w:trHeight w:val="306"/>
          <w:jc w:val="center"/>
        </w:trPr>
        <w:tc>
          <w:tcPr>
            <w:tcW w:w="2466"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Minimum</w:t>
            </w:r>
          </w:p>
        </w:tc>
        <w:tc>
          <w:tcPr>
            <w:tcW w:w="1199"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154"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251"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0.00</w:t>
            </w:r>
          </w:p>
        </w:tc>
        <w:tc>
          <w:tcPr>
            <w:tcW w:w="1417" w:type="dxa"/>
            <w:shd w:val="clear" w:color="auto" w:fill="auto"/>
            <w:vAlign w:val="center"/>
            <w:hideMark/>
          </w:tcPr>
          <w:p w:rsidR="00067433" w:rsidRPr="00F00CA0" w:rsidRDefault="00067433" w:rsidP="00C70D53">
            <w:pPr>
              <w:spacing w:after="0"/>
              <w:ind w:left="-426" w:right="-421"/>
              <w:jc w:val="center"/>
              <w:rPr>
                <w:rFonts w:ascii="Times New Roman" w:eastAsia="Times New Roman" w:hAnsi="Times New Roman" w:cs="Times New Roman"/>
                <w:color w:val="333333"/>
              </w:rPr>
            </w:pPr>
            <w:r w:rsidRPr="00F00CA0">
              <w:rPr>
                <w:rFonts w:ascii="Times New Roman" w:eastAsia="Times New Roman" w:hAnsi="Times New Roman" w:cs="Times New Roman"/>
                <w:color w:val="333333"/>
              </w:rPr>
              <w:t>0.0</w:t>
            </w:r>
          </w:p>
        </w:tc>
      </w:tr>
    </w:tbl>
    <w:p w:rsidR="00DE7138" w:rsidRPr="00F56890" w:rsidRDefault="00067433" w:rsidP="00C70D53">
      <w:pPr>
        <w:ind w:left="-426" w:right="-421"/>
        <w:jc w:val="center"/>
        <w:rPr>
          <w:rFonts w:ascii="Times New Roman" w:eastAsia="Times New Roman" w:hAnsi="Times New Roman" w:cs="Times New Roman"/>
          <w:i/>
        </w:rPr>
      </w:pPr>
      <w:r w:rsidRPr="00F56890">
        <w:rPr>
          <w:rFonts w:ascii="Times New Roman" w:hAnsi="Times New Roman" w:cs="Times New Roman"/>
          <w:i/>
        </w:rPr>
        <w:t xml:space="preserve">Source: Prepared by the author based on </w:t>
      </w:r>
      <w:r w:rsidR="00F56890">
        <w:rPr>
          <w:rFonts w:ascii="Times New Roman" w:hAnsi="Times New Roman" w:cs="Times New Roman"/>
          <w:i/>
        </w:rPr>
        <w:t>WITS repository</w:t>
      </w:r>
      <w:r w:rsidRPr="00F56890">
        <w:rPr>
          <w:rFonts w:ascii="Times New Roman" w:hAnsi="Times New Roman" w:cs="Times New Roman"/>
          <w:i/>
        </w:rPr>
        <w:t xml:space="preserve"> data.</w:t>
      </w:r>
    </w:p>
    <w:p w:rsidR="009D506F" w:rsidRPr="00F00CA0" w:rsidRDefault="009D506F" w:rsidP="00C70D53">
      <w:pPr>
        <w:spacing w:after="0"/>
        <w:ind w:left="-426" w:right="-421"/>
        <w:outlineLvl w:val="2"/>
        <w:rPr>
          <w:rFonts w:ascii="Times New Roman" w:eastAsia="Times New Roman" w:hAnsi="Times New Roman" w:cs="Times New Roman"/>
          <w:b/>
          <w:bCs/>
          <w:i/>
          <w:color w:val="1F1F1F"/>
        </w:rPr>
      </w:pPr>
      <w:r w:rsidRPr="00F00CA0">
        <w:rPr>
          <w:rFonts w:ascii="Times New Roman" w:eastAsia="Times New Roman" w:hAnsi="Times New Roman" w:cs="Times New Roman"/>
          <w:b/>
          <w:bCs/>
          <w:i/>
          <w:color w:val="1F1F1F"/>
        </w:rPr>
        <w:t>Variable Selection and Nodal Attributes</w:t>
      </w:r>
    </w:p>
    <w:p w:rsidR="00850FA5" w:rsidRPr="00F00CA0" w:rsidRDefault="00F00CA0" w:rsidP="00C70D53">
      <w:pPr>
        <w:spacing w:after="0"/>
        <w:ind w:left="-426" w:right="-421"/>
        <w:jc w:val="both"/>
        <w:rPr>
          <w:rFonts w:ascii="Times New Roman" w:eastAsia="Times New Roman" w:hAnsi="Times New Roman" w:cs="Times New Roman"/>
          <w:bCs/>
          <w:color w:val="1F1F1F"/>
          <w:bdr w:val="none" w:sz="0" w:space="0" w:color="auto" w:frame="1"/>
        </w:rPr>
      </w:pPr>
      <w:r>
        <w:rPr>
          <w:rFonts w:ascii="Times New Roman" w:eastAsia="Times New Roman" w:hAnsi="Times New Roman" w:cs="Times New Roman"/>
          <w:noProof/>
          <w:color w:val="1F1F1F"/>
        </w:rPr>
        <w:drawing>
          <wp:anchor distT="0" distB="0" distL="114300" distR="114300" simplePos="0" relativeHeight="251659264" behindDoc="1" locked="0" layoutInCell="1" allowOverlap="1">
            <wp:simplePos x="0" y="0"/>
            <wp:positionH relativeFrom="margin">
              <wp:align>center</wp:align>
            </wp:positionH>
            <wp:positionV relativeFrom="paragraph">
              <wp:posOffset>1353185</wp:posOffset>
            </wp:positionV>
            <wp:extent cx="2991485" cy="2733675"/>
            <wp:effectExtent l="19050" t="0" r="0" b="0"/>
            <wp:wrapTopAndBottom/>
            <wp:docPr id="7" name="Picture 1" descr="SD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0.jpg"/>
                    <pic:cNvPicPr/>
                  </pic:nvPicPr>
                  <pic:blipFill>
                    <a:blip r:embed="rId8" cstate="print"/>
                    <a:srcRect l="12943" t="6996" r="12971" b="8048"/>
                    <a:stretch>
                      <a:fillRect/>
                    </a:stretch>
                  </pic:blipFill>
                  <pic:spPr>
                    <a:xfrm>
                      <a:off x="0" y="0"/>
                      <a:ext cx="2991485" cy="2733675"/>
                    </a:xfrm>
                    <a:prstGeom prst="rect">
                      <a:avLst/>
                    </a:prstGeom>
                  </pic:spPr>
                </pic:pic>
              </a:graphicData>
            </a:graphic>
          </wp:anchor>
        </w:drawing>
      </w:r>
      <w:r w:rsidR="009D506F" w:rsidRPr="00F00CA0">
        <w:rPr>
          <w:rFonts w:ascii="Times New Roman" w:eastAsia="Times New Roman" w:hAnsi="Times New Roman" w:cs="Times New Roman"/>
          <w:color w:val="1F1F1F"/>
        </w:rPr>
        <w:t>To assess the international carbon trade network, a nodal attribute database was constructed using the World Bank’s World Development Indicators (WDI), choosing metrics that map to the UN Sustainable Development Goals (SDGs).</w:t>
      </w:r>
      <w:r w:rsidR="00205068"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bCs/>
          <w:color w:val="1F1F1F"/>
          <w:bdr w:val="none" w:sz="0" w:space="0" w:color="auto" w:frame="1"/>
        </w:rPr>
        <w:t>Economic Scale &amp; Consumption (SDG 8)</w:t>
      </w:r>
      <w:r w:rsidR="00C14A64" w:rsidRPr="00F00CA0">
        <w:rPr>
          <w:rFonts w:ascii="Times New Roman" w:eastAsia="Times New Roman" w:hAnsi="Times New Roman" w:cs="Times New Roman"/>
          <w:color w:val="1F1F1F"/>
        </w:rPr>
        <w:t xml:space="preserve"> provided</w:t>
      </w:r>
      <w:r w:rsidR="009D506F" w:rsidRPr="00F00CA0">
        <w:rPr>
          <w:rFonts w:ascii="Times New Roman" w:eastAsia="Times New Roman" w:hAnsi="Times New Roman" w:cs="Times New Roman"/>
          <w:color w:val="1F1F1F"/>
        </w:rPr>
        <w:t xml:space="preserve"> by </w:t>
      </w:r>
      <w:r w:rsidR="009D506F" w:rsidRPr="00F00CA0">
        <w:rPr>
          <w:rFonts w:ascii="Times New Roman" w:eastAsia="Times New Roman" w:hAnsi="Times New Roman" w:cs="Times New Roman"/>
          <w:iCs/>
          <w:color w:val="1F1F1F"/>
          <w:bdr w:val="none" w:sz="0" w:space="0" w:color="auto" w:frame="1"/>
        </w:rPr>
        <w:t>Gross Domestic Product per capita (current US</w:t>
      </w:r>
      <w:r w:rsidR="00E703A6" w:rsidRPr="00F00CA0">
        <w:rPr>
          <w:rFonts w:ascii="Times New Roman" w:eastAsia="Times New Roman" w:hAnsi="Times New Roman" w:cs="Times New Roman"/>
          <w:iCs/>
          <w:color w:val="1F1F1F"/>
          <w:bdr w:val="none" w:sz="0" w:space="0" w:color="auto" w:frame="1"/>
        </w:rPr>
        <w:t>$) and GDP (constant 2015 US$</w:t>
      </w:r>
      <w:r w:rsidR="009D506F" w:rsidRPr="00F00CA0">
        <w:rPr>
          <w:rFonts w:ascii="Times New Roman" w:eastAsia="Times New Roman" w:hAnsi="Times New Roman" w:cs="Times New Roman"/>
          <w:iCs/>
          <w:color w:val="1F1F1F"/>
          <w:bdr w:val="none" w:sz="0" w:space="0" w:color="auto" w:frame="1"/>
        </w:rPr>
        <w:t>)</w:t>
      </w:r>
      <w:r w:rsidR="009D506F"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bCs/>
          <w:color w:val="1F1F1F"/>
          <w:bdr w:val="none" w:sz="0" w:space="0" w:color="auto" w:frame="1"/>
        </w:rPr>
        <w:t>Environmental Profiles (SDG 7 &amp; 13)</w:t>
      </w:r>
      <w:r w:rsidR="00C14A64" w:rsidRPr="00F00CA0">
        <w:rPr>
          <w:rFonts w:ascii="Times New Roman" w:eastAsia="Times New Roman" w:hAnsi="Times New Roman" w:cs="Times New Roman"/>
          <w:bCs/>
          <w:color w:val="1F1F1F"/>
          <w:bdr w:val="none" w:sz="0" w:space="0" w:color="auto" w:frame="1"/>
        </w:rPr>
        <w:t xml:space="preserve"> c</w:t>
      </w:r>
      <w:r w:rsidR="009D506F" w:rsidRPr="00F00CA0">
        <w:rPr>
          <w:rFonts w:ascii="Times New Roman" w:eastAsia="Times New Roman" w:hAnsi="Times New Roman" w:cs="Times New Roman"/>
          <w:color w:val="1F1F1F"/>
        </w:rPr>
        <w:t xml:space="preserve">aptured via </w:t>
      </w:r>
      <w:r w:rsidR="009D506F" w:rsidRPr="00F00CA0">
        <w:rPr>
          <w:rFonts w:ascii="Times New Roman" w:eastAsia="Times New Roman" w:hAnsi="Times New Roman" w:cs="Times New Roman"/>
          <w:iCs/>
          <w:color w:val="1F1F1F"/>
          <w:bdr w:val="none" w:sz="0" w:space="0" w:color="auto" w:frame="1"/>
        </w:rPr>
        <w:t>Total greenhouse gas emissions including LULUCF (Mt CO2e)</w:t>
      </w:r>
      <w:r w:rsidR="009D506F"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iCs/>
          <w:color w:val="1F1F1F"/>
          <w:bdr w:val="none" w:sz="0" w:space="0" w:color="auto" w:frame="1"/>
        </w:rPr>
        <w:t>Total greenhouse gas emissions per capita</w:t>
      </w:r>
      <w:r w:rsidR="009D506F" w:rsidRPr="00F00CA0">
        <w:rPr>
          <w:rFonts w:ascii="Times New Roman" w:eastAsia="Times New Roman" w:hAnsi="Times New Roman" w:cs="Times New Roman"/>
          <w:color w:val="1F1F1F"/>
        </w:rPr>
        <w:t xml:space="preserve">, </w:t>
      </w:r>
      <w:r w:rsidR="00C14A64" w:rsidRPr="00F00CA0">
        <w:rPr>
          <w:rFonts w:ascii="Times New Roman" w:eastAsia="Times New Roman" w:hAnsi="Times New Roman" w:cs="Times New Roman"/>
          <w:iCs/>
          <w:color w:val="1F1F1F"/>
          <w:bdr w:val="none" w:sz="0" w:space="0" w:color="auto" w:frame="1"/>
        </w:rPr>
        <w:t>CO2</w:t>
      </w:r>
      <w:r w:rsidR="009D506F" w:rsidRPr="00F00CA0">
        <w:rPr>
          <w:rFonts w:ascii="Times New Roman" w:eastAsia="Times New Roman" w:hAnsi="Times New Roman" w:cs="Times New Roman"/>
          <w:iCs/>
          <w:color w:val="1F1F1F"/>
          <w:bdr w:val="none" w:sz="0" w:space="0" w:color="auto" w:frame="1"/>
        </w:rPr>
        <w:t xml:space="preserve"> emissions per capita</w:t>
      </w:r>
      <w:r w:rsidR="009D506F" w:rsidRPr="00F00CA0">
        <w:rPr>
          <w:rFonts w:ascii="Times New Roman" w:eastAsia="Times New Roman" w:hAnsi="Times New Roman" w:cs="Times New Roman"/>
          <w:color w:val="1F1F1F"/>
        </w:rPr>
        <w:t xml:space="preserve">, and </w:t>
      </w:r>
      <w:r w:rsidR="009D506F" w:rsidRPr="00F00CA0">
        <w:rPr>
          <w:rFonts w:ascii="Times New Roman" w:eastAsia="Times New Roman" w:hAnsi="Times New Roman" w:cs="Times New Roman"/>
          <w:iCs/>
          <w:color w:val="1F1F1F"/>
          <w:bdr w:val="none" w:sz="0" w:space="0" w:color="auto" w:frame="1"/>
        </w:rPr>
        <w:t>Renewable energy consumption (% of total final energy consumption)</w:t>
      </w:r>
      <w:r w:rsidR="00C14A64" w:rsidRPr="00F00CA0">
        <w:rPr>
          <w:rFonts w:ascii="Times New Roman" w:eastAsia="Times New Roman" w:hAnsi="Times New Roman" w:cs="Times New Roman"/>
          <w:color w:val="1F1F1F"/>
        </w:rPr>
        <w:t>, GHG per capita</w:t>
      </w:r>
      <w:r w:rsidR="009D506F"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r w:rsidR="009D506F" w:rsidRPr="00F00CA0">
        <w:rPr>
          <w:rFonts w:ascii="Times New Roman" w:eastAsia="Times New Roman" w:hAnsi="Times New Roman" w:cs="Times New Roman"/>
          <w:bCs/>
          <w:color w:val="1F1F1F"/>
          <w:bdr w:val="none" w:sz="0" w:space="0" w:color="auto" w:frame="1"/>
        </w:rPr>
        <w:t>Trade Integration</w:t>
      </w:r>
      <w:r w:rsidR="0061363B" w:rsidRPr="00F00CA0">
        <w:rPr>
          <w:rFonts w:ascii="Times New Roman" w:eastAsia="Times New Roman" w:hAnsi="Times New Roman" w:cs="Times New Roman"/>
          <w:bCs/>
          <w:color w:val="1F1F1F"/>
          <w:bdr w:val="none" w:sz="0" w:space="0" w:color="auto" w:frame="1"/>
        </w:rPr>
        <w:t xml:space="preserve"> and partnership (SDG 17) </w:t>
      </w:r>
      <w:proofErr w:type="spellStart"/>
      <w:r w:rsidR="0061363B" w:rsidRPr="00F00CA0">
        <w:rPr>
          <w:rFonts w:ascii="Times New Roman" w:eastAsia="Times New Roman" w:hAnsi="Times New Roman" w:cs="Times New Roman"/>
          <w:bCs/>
          <w:color w:val="1F1F1F"/>
          <w:bdr w:val="none" w:sz="0" w:space="0" w:color="auto" w:frame="1"/>
        </w:rPr>
        <w:t>o</w:t>
      </w:r>
      <w:r w:rsidR="0061363B" w:rsidRPr="00F00CA0">
        <w:rPr>
          <w:rFonts w:ascii="Times New Roman" w:eastAsia="Times New Roman" w:hAnsi="Times New Roman" w:cs="Times New Roman"/>
          <w:color w:val="1F1F1F"/>
        </w:rPr>
        <w:t>perationaliz</w:t>
      </w:r>
      <w:r w:rsidR="009D506F" w:rsidRPr="00F00CA0">
        <w:rPr>
          <w:rFonts w:ascii="Times New Roman" w:eastAsia="Times New Roman" w:hAnsi="Times New Roman" w:cs="Times New Roman"/>
          <w:color w:val="1F1F1F"/>
        </w:rPr>
        <w:t>ed</w:t>
      </w:r>
      <w:proofErr w:type="spellEnd"/>
      <w:r w:rsidR="009D506F" w:rsidRPr="00F00CA0">
        <w:rPr>
          <w:rFonts w:ascii="Times New Roman" w:eastAsia="Times New Roman" w:hAnsi="Times New Roman" w:cs="Times New Roman"/>
          <w:color w:val="1F1F1F"/>
        </w:rPr>
        <w:t xml:space="preserve"> via </w:t>
      </w:r>
      <w:r w:rsidR="009D506F" w:rsidRPr="00F00CA0">
        <w:rPr>
          <w:rFonts w:ascii="Times New Roman" w:eastAsia="Times New Roman" w:hAnsi="Times New Roman" w:cs="Times New Roman"/>
          <w:iCs/>
          <w:color w:val="1F1F1F"/>
          <w:bdr w:val="none" w:sz="0" w:space="0" w:color="auto" w:frame="1"/>
        </w:rPr>
        <w:t>Merchandise trade (% of GDP)</w:t>
      </w:r>
      <w:r w:rsidR="009D506F" w:rsidRPr="00F00CA0">
        <w:rPr>
          <w:rFonts w:ascii="Times New Roman" w:eastAsia="Times New Roman" w:hAnsi="Times New Roman" w:cs="Times New Roman"/>
          <w:color w:val="1F1F1F"/>
        </w:rPr>
        <w:t xml:space="preserve"> and </w:t>
      </w:r>
      <w:r w:rsidR="009D506F" w:rsidRPr="00F00CA0">
        <w:rPr>
          <w:rFonts w:ascii="Times New Roman" w:eastAsia="Times New Roman" w:hAnsi="Times New Roman" w:cs="Times New Roman"/>
          <w:iCs/>
          <w:color w:val="1F1F1F"/>
          <w:bdr w:val="none" w:sz="0" w:space="0" w:color="auto" w:frame="1"/>
        </w:rPr>
        <w:t>Trade (% of GDP)</w:t>
      </w:r>
      <w:r w:rsidR="009D506F" w:rsidRPr="00F00CA0">
        <w:rPr>
          <w:rFonts w:ascii="Times New Roman" w:eastAsia="Times New Roman" w:hAnsi="Times New Roman" w:cs="Times New Roman"/>
          <w:color w:val="1F1F1F"/>
        </w:rPr>
        <w:t>.</w:t>
      </w:r>
      <w:r w:rsidR="00205068" w:rsidRPr="00F00CA0">
        <w:rPr>
          <w:rFonts w:ascii="Times New Roman" w:eastAsia="Times New Roman" w:hAnsi="Times New Roman" w:cs="Times New Roman"/>
          <w:color w:val="1F1F1F"/>
        </w:rPr>
        <w:t xml:space="preserve"> </w:t>
      </w:r>
    </w:p>
    <w:p w:rsidR="00C2314F" w:rsidRPr="00F56890" w:rsidRDefault="00C2314F" w:rsidP="00C70D53">
      <w:pPr>
        <w:spacing w:after="0"/>
        <w:ind w:left="-426" w:right="-421"/>
        <w:jc w:val="center"/>
        <w:outlineLvl w:val="2"/>
        <w:rPr>
          <w:rFonts w:ascii="Times New Roman" w:eastAsia="Times New Roman" w:hAnsi="Times New Roman" w:cs="Times New Roman"/>
          <w:bCs/>
          <w:i/>
          <w:color w:val="1F1F1F"/>
          <w:sz w:val="20"/>
          <w:szCs w:val="20"/>
        </w:rPr>
      </w:pPr>
      <w:r w:rsidRPr="00F56890">
        <w:rPr>
          <w:rFonts w:ascii="Times New Roman" w:eastAsia="Times New Roman" w:hAnsi="Times New Roman" w:cs="Times New Roman"/>
          <w:bCs/>
          <w:i/>
          <w:color w:val="1F1F1F"/>
          <w:sz w:val="20"/>
          <w:szCs w:val="20"/>
        </w:rPr>
        <w:t>Source: Visualized by authors using R and WDI data</w:t>
      </w:r>
    </w:p>
    <w:p w:rsidR="00C2314F" w:rsidRPr="00F00CA0" w:rsidRDefault="00C2314F" w:rsidP="00C70D53">
      <w:pPr>
        <w:spacing w:after="0"/>
        <w:ind w:left="-426" w:right="-421"/>
        <w:jc w:val="center"/>
        <w:outlineLvl w:val="2"/>
        <w:rPr>
          <w:rFonts w:ascii="Times New Roman" w:eastAsia="Times New Roman" w:hAnsi="Times New Roman" w:cs="Times New Roman"/>
          <w:bCs/>
          <w:color w:val="1F1F1F"/>
        </w:rPr>
      </w:pPr>
      <w:r w:rsidRPr="005C6D05">
        <w:rPr>
          <w:rFonts w:ascii="Times New Roman" w:eastAsia="Times New Roman" w:hAnsi="Times New Roman" w:cs="Times New Roman"/>
          <w:b/>
          <w:bCs/>
          <w:color w:val="1F1F1F"/>
        </w:rPr>
        <w:t>Figure</w:t>
      </w:r>
      <w:r w:rsidR="00F00CA0" w:rsidRPr="005C6D05">
        <w:rPr>
          <w:rFonts w:ascii="Times New Roman" w:eastAsia="Times New Roman" w:hAnsi="Times New Roman" w:cs="Times New Roman"/>
          <w:b/>
          <w:bCs/>
          <w:color w:val="1F1F1F"/>
        </w:rPr>
        <w:t xml:space="preserve"> 1</w:t>
      </w:r>
      <w:r w:rsidRPr="00F00CA0">
        <w:rPr>
          <w:rFonts w:ascii="Times New Roman" w:eastAsia="Times New Roman" w:hAnsi="Times New Roman" w:cs="Times New Roman"/>
          <w:bCs/>
          <w:color w:val="1F1F1F"/>
        </w:rPr>
        <w:t>: Map of ERGM network covariates to SDGs</w:t>
      </w:r>
    </w:p>
    <w:p w:rsidR="00C2314F" w:rsidRPr="00F00CA0" w:rsidRDefault="00C2314F" w:rsidP="00C70D53">
      <w:pPr>
        <w:spacing w:after="0"/>
        <w:ind w:left="-426" w:right="-421"/>
        <w:jc w:val="both"/>
        <w:rPr>
          <w:rFonts w:ascii="Times New Roman" w:eastAsia="Times New Roman" w:hAnsi="Times New Roman" w:cs="Times New Roman"/>
          <w:b/>
          <w:color w:val="1F1F1F"/>
        </w:rPr>
      </w:pPr>
    </w:p>
    <w:p w:rsidR="00850FA5" w:rsidRPr="00F00CA0" w:rsidRDefault="00850FA5" w:rsidP="00C70D53">
      <w:pPr>
        <w:spacing w:after="0"/>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3</w:t>
      </w:r>
      <w:r w:rsidR="00C2314F" w:rsidRPr="00F00CA0">
        <w:rPr>
          <w:rFonts w:ascii="Times New Roman" w:eastAsia="Times New Roman" w:hAnsi="Times New Roman" w:cs="Times New Roman"/>
          <w:b/>
          <w:color w:val="1F1F1F"/>
        </w:rPr>
        <w:t>.2</w:t>
      </w:r>
      <w:r w:rsidRPr="00F00CA0">
        <w:rPr>
          <w:rFonts w:ascii="Times New Roman" w:eastAsia="Times New Roman" w:hAnsi="Times New Roman" w:cs="Times New Roman"/>
          <w:b/>
          <w:color w:val="1F1F1F"/>
        </w:rPr>
        <w:t xml:space="preserve"> Methodology</w:t>
      </w:r>
    </w:p>
    <w:p w:rsidR="00850FA5" w:rsidRPr="00F00CA0" w:rsidRDefault="00850FA5" w:rsidP="00C70D53">
      <w:pPr>
        <w:spacing w:after="0"/>
        <w:ind w:left="-426" w:right="-421"/>
        <w:jc w:val="both"/>
        <w:rPr>
          <w:rFonts w:ascii="Times New Roman" w:eastAsia="Times New Roman" w:hAnsi="Times New Roman" w:cs="Times New Roman"/>
          <w:color w:val="1F1F1F"/>
        </w:rPr>
      </w:pPr>
    </w:p>
    <w:p w:rsidR="00850FA5" w:rsidRPr="00F00CA0" w:rsidRDefault="00850FA5"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To investigate the structural architecture and local drivers of the international carbon trade network across the </w:t>
      </w:r>
      <w:r w:rsidR="00C2314F" w:rsidRPr="00F00CA0">
        <w:rPr>
          <w:rFonts w:ascii="Times New Roman" w:eastAsia="Times New Roman" w:hAnsi="Times New Roman" w:cs="Times New Roman"/>
          <w:color w:val="1F1F1F"/>
        </w:rPr>
        <w:t>four</w:t>
      </w:r>
      <w:r w:rsidRPr="00F00CA0">
        <w:rPr>
          <w:rFonts w:ascii="Times New Roman" w:eastAsia="Times New Roman" w:hAnsi="Times New Roman" w:cs="Times New Roman"/>
          <w:color w:val="1F1F1F"/>
        </w:rPr>
        <w:t>-year timeline (20</w:t>
      </w:r>
      <w:r w:rsidR="00C2314F" w:rsidRPr="00F00CA0">
        <w:rPr>
          <w:rFonts w:ascii="Times New Roman" w:eastAsia="Times New Roman" w:hAnsi="Times New Roman" w:cs="Times New Roman"/>
          <w:color w:val="1F1F1F"/>
        </w:rPr>
        <w:t>19–2022</w:t>
      </w:r>
      <w:r w:rsidRPr="00F00CA0">
        <w:rPr>
          <w:rFonts w:ascii="Times New Roman" w:eastAsia="Times New Roman" w:hAnsi="Times New Roman" w:cs="Times New Roman"/>
          <w:color w:val="1F1F1F"/>
        </w:rPr>
        <w:t>), this study deploys a three-tiered network analysis framework. First, we construct a directed, weighted graph to extract macro-topological properties. Second, we specify an Exponential Random Graph Model (ERGM) to isolate local macroeconomic, environmental, and institutional determinants of link formation. Third, we implement a Stochastic Block Model (SBM) to partition nations into latent generative community blocks based on their global trade connectivity profiles.</w:t>
      </w:r>
    </w:p>
    <w:p w:rsidR="00850FA5" w:rsidRPr="00F00CA0" w:rsidRDefault="00850FA5" w:rsidP="00C70D53">
      <w:pPr>
        <w:spacing w:after="0"/>
        <w:ind w:left="-426" w:right="-421"/>
        <w:jc w:val="both"/>
        <w:rPr>
          <w:rFonts w:ascii="Times New Roman" w:eastAsia="Times New Roman" w:hAnsi="Times New Roman" w:cs="Times New Roman"/>
          <w:color w:val="1F1F1F"/>
        </w:rPr>
      </w:pPr>
    </w:p>
    <w:p w:rsidR="00850FA5" w:rsidRPr="00F00CA0" w:rsidRDefault="00850FA5" w:rsidP="00C70D53">
      <w:pPr>
        <w:spacing w:after="0"/>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 xml:space="preserve"> 3.1 Data Processing and Network Construction</w:t>
      </w:r>
    </w:p>
    <w:p w:rsidR="00850FA5" w:rsidRPr="00F00CA0" w:rsidRDefault="00850FA5" w:rsidP="00C70D53">
      <w:pPr>
        <w:spacing w:after="0"/>
        <w:ind w:left="-426" w:right="-421"/>
        <w:jc w:val="both"/>
        <w:rPr>
          <w:rFonts w:ascii="Times New Roman" w:eastAsia="Times New Roman" w:hAnsi="Times New Roman" w:cs="Times New Roman"/>
          <w:color w:val="1F1F1F"/>
        </w:rPr>
      </w:pPr>
    </w:p>
    <w:p w:rsidR="009F6326" w:rsidRPr="00F00CA0" w:rsidRDefault="009F6326"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lastRenderedPageBreak/>
        <w:t xml:space="preserve">Let </w:t>
      </w:r>
      <w:r w:rsidRPr="00F00CA0">
        <w:rPr>
          <w:rFonts w:ascii="Times New Roman" w:hAnsi="Times New Roman" w:cs="Times New Roman"/>
          <w:position w:val="-12"/>
        </w:rPr>
        <w:object w:dxaOrig="11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18pt" o:ole="">
            <v:imagedata r:id="rId9" o:title=""/>
          </v:shape>
          <o:OLEObject Type="Embed" ProgID="Equation.DSMT4" ShapeID="_x0000_i1025" DrawAspect="Content" ObjectID="_1846526827" r:id="rId10"/>
        </w:object>
      </w:r>
      <w:r w:rsidRPr="00F00CA0">
        <w:rPr>
          <w:rFonts w:ascii="Times New Roman" w:eastAsia="Times New Roman" w:hAnsi="Times New Roman" w:cs="Times New Roman"/>
          <w:color w:val="1F1F1F"/>
        </w:rPr>
        <w:t xml:space="preserve"> be a directed, unweighted international carbon trade network for </w:t>
      </w:r>
      <w:proofErr w:type="gramStart"/>
      <w:r w:rsidRPr="00F00CA0">
        <w:rPr>
          <w:rFonts w:ascii="Times New Roman" w:eastAsia="Times New Roman" w:hAnsi="Times New Roman" w:cs="Times New Roman"/>
          <w:color w:val="1F1F1F"/>
        </w:rPr>
        <w:t xml:space="preserve">year </w:t>
      </w:r>
      <w:proofErr w:type="gramEnd"/>
      <w:r w:rsidRPr="00F00CA0">
        <w:rPr>
          <w:rFonts w:ascii="Times New Roman" w:hAnsi="Times New Roman" w:cs="Times New Roman"/>
          <w:position w:val="-10"/>
        </w:rPr>
        <w:object w:dxaOrig="2720" w:dyaOrig="320">
          <v:shape id="_x0000_i1026" type="#_x0000_t75" style="width:136.5pt;height:16.5pt" o:ole="">
            <v:imagedata r:id="rId11" o:title=""/>
          </v:shape>
          <o:OLEObject Type="Embed" ProgID="Equation.DSMT4" ShapeID="_x0000_i1026" DrawAspect="Content" ObjectID="_1846526828" r:id="rId12"/>
        </w:object>
      </w:r>
      <w:r w:rsidRPr="00F00CA0">
        <w:rPr>
          <w:rFonts w:ascii="Times New Roman" w:eastAsia="Times New Roman" w:hAnsi="Times New Roman" w:cs="Times New Roman"/>
          <w:color w:val="1F1F1F"/>
        </w:rPr>
        <w:t xml:space="preserve">. The network is represented by an adjacency </w:t>
      </w:r>
      <w:proofErr w:type="gramStart"/>
      <w:r w:rsidRPr="00F00CA0">
        <w:rPr>
          <w:rFonts w:ascii="Times New Roman" w:eastAsia="Times New Roman" w:hAnsi="Times New Roman" w:cs="Times New Roman"/>
          <w:color w:val="1F1F1F"/>
        </w:rPr>
        <w:t xml:space="preserve">matrix </w:t>
      </w:r>
      <w:proofErr w:type="gramEnd"/>
      <w:r w:rsidRPr="00F00CA0">
        <w:rPr>
          <w:rFonts w:ascii="Times New Roman" w:hAnsi="Times New Roman" w:cs="Times New Roman"/>
          <w:position w:val="-4"/>
        </w:rPr>
        <w:object w:dxaOrig="380" w:dyaOrig="300">
          <v:shape id="_x0000_i1027" type="#_x0000_t75" style="width:19.5pt;height:15pt" o:ole="">
            <v:imagedata r:id="rId13" o:title=""/>
          </v:shape>
          <o:OLEObject Type="Embed" ProgID="Equation.DSMT4" ShapeID="_x0000_i1027" DrawAspect="Content" ObjectID="_1846526829" r:id="rId14"/>
        </w:object>
      </w:r>
      <w:r w:rsidRPr="00F00CA0">
        <w:rPr>
          <w:rFonts w:ascii="Times New Roman" w:eastAsia="Times New Roman" w:hAnsi="Times New Roman" w:cs="Times New Roman"/>
          <w:color w:val="1F1F1F"/>
        </w:rPr>
        <w:t xml:space="preserve">, where </w:t>
      </w:r>
      <w:r w:rsidRPr="00F00CA0">
        <w:rPr>
          <w:rFonts w:ascii="Times New Roman" w:hAnsi="Times New Roman" w:cs="Times New Roman"/>
          <w:position w:val="-14"/>
        </w:rPr>
        <w:object w:dxaOrig="720" w:dyaOrig="400">
          <v:shape id="_x0000_i1028" type="#_x0000_t75" style="width:36pt;height:19.5pt" o:ole="">
            <v:imagedata r:id="rId15" o:title=""/>
          </v:shape>
          <o:OLEObject Type="Embed" ProgID="Equation.DSMT4" ShapeID="_x0000_i1028" DrawAspect="Content" ObjectID="_1846526830" r:id="rId16"/>
        </w:object>
      </w:r>
      <w:r w:rsidRPr="00F00CA0">
        <w:rPr>
          <w:rFonts w:ascii="Times New Roman" w:eastAsia="Times New Roman" w:hAnsi="Times New Roman" w:cs="Times New Roman"/>
          <w:color w:val="1F1F1F"/>
        </w:rPr>
        <w:t xml:space="preserve"> if nation </w:t>
      </w:r>
      <w:r w:rsidRPr="00F00CA0">
        <w:rPr>
          <w:rFonts w:ascii="Times New Roman" w:hAnsi="Times New Roman" w:cs="Times New Roman"/>
          <w:position w:val="-6"/>
        </w:rPr>
        <w:object w:dxaOrig="139" w:dyaOrig="260">
          <v:shape id="_x0000_i1029" type="#_x0000_t75" style="width:7.5pt;height:13.5pt" o:ole="">
            <v:imagedata r:id="rId17" o:title=""/>
          </v:shape>
          <o:OLEObject Type="Embed" ProgID="Equation.DSMT4" ShapeID="_x0000_i1029" DrawAspect="Content" ObjectID="_1846526831" r:id="rId18"/>
        </w:object>
      </w:r>
      <w:r w:rsidRPr="00F00CA0">
        <w:rPr>
          <w:rFonts w:ascii="Times New Roman" w:eastAsia="Times New Roman" w:hAnsi="Times New Roman" w:cs="Times New Roman"/>
          <w:color w:val="1F1F1F"/>
        </w:rPr>
        <w:t xml:space="preserve"> exports carbon credits/assets to nation </w:t>
      </w:r>
      <w:r w:rsidRPr="00F00CA0">
        <w:rPr>
          <w:rFonts w:ascii="Times New Roman" w:hAnsi="Times New Roman" w:cs="Times New Roman"/>
          <w:position w:val="-10"/>
        </w:rPr>
        <w:object w:dxaOrig="200" w:dyaOrig="300">
          <v:shape id="_x0000_i1030" type="#_x0000_t75" style="width:10.5pt;height:15pt" o:ole="">
            <v:imagedata r:id="rId19" o:title=""/>
          </v:shape>
          <o:OLEObject Type="Embed" ProgID="Equation.DSMT4" ShapeID="_x0000_i1030" DrawAspect="Content" ObjectID="_1846526832" r:id="rId20"/>
        </w:object>
      </w:r>
      <w:r w:rsidRPr="00F00CA0">
        <w:rPr>
          <w:rFonts w:ascii="Times New Roman" w:eastAsia="Times New Roman" w:hAnsi="Times New Roman" w:cs="Times New Roman"/>
          <w:color w:val="1F1F1F"/>
        </w:rPr>
        <w:t xml:space="preserve">, and </w:t>
      </w:r>
      <w:r w:rsidRPr="00F00CA0">
        <w:rPr>
          <w:rFonts w:ascii="Times New Roman" w:hAnsi="Times New Roman" w:cs="Times New Roman"/>
          <w:position w:val="-14"/>
        </w:rPr>
        <w:object w:dxaOrig="760" w:dyaOrig="400">
          <v:shape id="_x0000_i1031" type="#_x0000_t75" style="width:37.5pt;height:19.5pt" o:ole="">
            <v:imagedata r:id="rId21" o:title=""/>
          </v:shape>
          <o:OLEObject Type="Embed" ProgID="Equation.DSMT4" ShapeID="_x0000_i1031" DrawAspect="Content" ObjectID="_1846526833" r:id="rId22"/>
        </w:object>
      </w:r>
      <w:r w:rsidRPr="00F00CA0">
        <w:rPr>
          <w:rFonts w:ascii="Times New Roman" w:eastAsia="Times New Roman" w:hAnsi="Times New Roman" w:cs="Times New Roman"/>
          <w:color w:val="1F1F1F"/>
        </w:rPr>
        <w:t xml:space="preserve"> otherwise. Self-loops are excluded, </w:t>
      </w:r>
      <w:proofErr w:type="gramStart"/>
      <w:r w:rsidRPr="00F00CA0">
        <w:rPr>
          <w:rFonts w:ascii="Times New Roman" w:eastAsia="Times New Roman" w:hAnsi="Times New Roman" w:cs="Times New Roman"/>
          <w:color w:val="1F1F1F"/>
        </w:rPr>
        <w:t xml:space="preserve">meaning </w:t>
      </w:r>
      <w:proofErr w:type="gramEnd"/>
      <w:r w:rsidRPr="00F00CA0">
        <w:rPr>
          <w:rFonts w:ascii="Times New Roman" w:hAnsi="Times New Roman" w:cs="Times New Roman"/>
          <w:position w:val="-12"/>
        </w:rPr>
        <w:object w:dxaOrig="760" w:dyaOrig="380">
          <v:shape id="_x0000_i1032" type="#_x0000_t75" style="width:37.5pt;height:19.5pt" o:ole="">
            <v:imagedata r:id="rId23" o:title=""/>
          </v:shape>
          <o:OLEObject Type="Embed" ProgID="Equation.DSMT4" ShapeID="_x0000_i1032" DrawAspect="Content" ObjectID="_1846526834" r:id="rId24"/>
        </w:object>
      </w:r>
      <w:r w:rsidRPr="00F00CA0">
        <w:rPr>
          <w:rFonts w:ascii="Times New Roman" w:eastAsia="Times New Roman" w:hAnsi="Times New Roman" w:cs="Times New Roman"/>
          <w:color w:val="1F1F1F"/>
        </w:rPr>
        <w:t>.</w:t>
      </w:r>
    </w:p>
    <w:p w:rsidR="00850FA5" w:rsidRPr="00F00CA0" w:rsidRDefault="00850FA5"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international carbon trade network is defined as a sequence of directed graphs </w:t>
      </w:r>
      <w:r w:rsidRPr="00F00CA0">
        <w:rPr>
          <w:rFonts w:ascii="Times New Roman" w:hAnsi="Times New Roman" w:cs="Times New Roman"/>
          <w:position w:val="-12"/>
        </w:rPr>
        <w:object w:dxaOrig="1180" w:dyaOrig="360">
          <v:shape id="_x0000_i1033" type="#_x0000_t75" style="width:58.5pt;height:18pt" o:ole="">
            <v:imagedata r:id="rId25" o:title=""/>
          </v:shape>
          <o:OLEObject Type="Embed" ProgID="Equation.DSMT4" ShapeID="_x0000_i1033" DrawAspect="Content" ObjectID="_1846526835" r:id="rId26"/>
        </w:object>
      </w:r>
      <w:r w:rsidRPr="00F00CA0">
        <w:rPr>
          <w:rFonts w:ascii="Times New Roman" w:eastAsia="Times New Roman" w:hAnsi="Times New Roman" w:cs="Times New Roman"/>
          <w:color w:val="1F1F1F"/>
        </w:rPr>
        <w:t xml:space="preserve"> for a given time </w:t>
      </w:r>
      <w:proofErr w:type="gramStart"/>
      <w:r w:rsidRPr="00F00CA0">
        <w:rPr>
          <w:rFonts w:ascii="Times New Roman" w:eastAsia="Times New Roman" w:hAnsi="Times New Roman" w:cs="Times New Roman"/>
          <w:color w:val="1F1F1F"/>
        </w:rPr>
        <w:t xml:space="preserve">period </w:t>
      </w:r>
      <w:proofErr w:type="gramEnd"/>
      <w:r w:rsidRPr="00F00CA0">
        <w:rPr>
          <w:rFonts w:ascii="Times New Roman" w:hAnsi="Times New Roman" w:cs="Times New Roman"/>
          <w:position w:val="-10"/>
        </w:rPr>
        <w:object w:dxaOrig="2740" w:dyaOrig="320">
          <v:shape id="_x0000_i1034" type="#_x0000_t75" style="width:136.5pt;height:16.5pt" o:ole="">
            <v:imagedata r:id="rId27" o:title=""/>
          </v:shape>
          <o:OLEObject Type="Embed" ProgID="Equation.DSMT4" ShapeID="_x0000_i1034" DrawAspect="Content" ObjectID="_1846526836" r:id="rId28"/>
        </w:object>
      </w:r>
      <w:r w:rsidRPr="00F00CA0">
        <w:rPr>
          <w:rFonts w:ascii="Times New Roman" w:eastAsia="Times New Roman" w:hAnsi="Times New Roman" w:cs="Times New Roman"/>
          <w:color w:val="1F1F1F"/>
        </w:rPr>
        <w:t xml:space="preserve">, where </w:t>
      </w:r>
      <w:r w:rsidRPr="00F00CA0">
        <w:rPr>
          <w:rFonts w:ascii="Times New Roman" w:hAnsi="Times New Roman" w:cs="Times New Roman"/>
          <w:position w:val="-12"/>
        </w:rPr>
        <w:object w:dxaOrig="240" w:dyaOrig="360">
          <v:shape id="_x0000_i1035" type="#_x0000_t75" style="width:12pt;height:18pt" o:ole="">
            <v:imagedata r:id="rId29" o:title=""/>
          </v:shape>
          <o:OLEObject Type="Embed" ProgID="Equation.DSMT4" ShapeID="_x0000_i1035" DrawAspect="Content" ObjectID="_1846526837" r:id="rId30"/>
        </w:object>
      </w:r>
      <w:r w:rsidRPr="00F00CA0">
        <w:rPr>
          <w:rFonts w:ascii="Times New Roman" w:eastAsia="Times New Roman" w:hAnsi="Times New Roman" w:cs="Times New Roman"/>
          <w:color w:val="1F1F1F"/>
        </w:rPr>
        <w:t xml:space="preserve"> represents the set of unique trading countries (nodes) and </w:t>
      </w:r>
      <w:r w:rsidRPr="00F00CA0">
        <w:rPr>
          <w:rFonts w:ascii="Times New Roman" w:hAnsi="Times New Roman" w:cs="Times New Roman"/>
          <w:position w:val="-12"/>
        </w:rPr>
        <w:object w:dxaOrig="260" w:dyaOrig="360">
          <v:shape id="_x0000_i1036" type="#_x0000_t75" style="width:13.5pt;height:18pt" o:ole="">
            <v:imagedata r:id="rId31" o:title=""/>
          </v:shape>
          <o:OLEObject Type="Embed" ProgID="Equation.DSMT4" ShapeID="_x0000_i1036" DrawAspect="Content" ObjectID="_1846526838" r:id="rId32"/>
        </w:object>
      </w:r>
      <w:r w:rsidRPr="00F00CA0">
        <w:rPr>
          <w:rFonts w:ascii="Times New Roman" w:eastAsia="Times New Roman" w:hAnsi="Times New Roman" w:cs="Times New Roman"/>
          <w:color w:val="1F1F1F"/>
        </w:rPr>
        <w:t xml:space="preserve"> denotes the set of directed carbon export pathways (edges). Following international trade network conventions, we exclusively focus on export flows to minimize reporting discrepancies arising from asymmetric customs collection methods. Let </w:t>
      </w:r>
      <w:r w:rsidRPr="00F00CA0">
        <w:rPr>
          <w:rFonts w:ascii="Times New Roman" w:hAnsi="Times New Roman" w:cs="Times New Roman"/>
          <w:position w:val="-12"/>
        </w:rPr>
        <w:object w:dxaOrig="220" w:dyaOrig="360">
          <v:shape id="_x0000_i1037" type="#_x0000_t75" style="width:10.5pt;height:18pt" o:ole="">
            <v:imagedata r:id="rId33" o:title=""/>
          </v:shape>
          <o:OLEObject Type="Embed" ProgID="Equation.DSMT4" ShapeID="_x0000_i1037" DrawAspect="Content" ObjectID="_1846526839" r:id="rId34"/>
        </w:object>
      </w:r>
      <w:r w:rsidRPr="00F00CA0">
        <w:rPr>
          <w:rFonts w:ascii="Times New Roman" w:eastAsia="Times New Roman" w:hAnsi="Times New Roman" w:cs="Times New Roman"/>
          <w:color w:val="1F1F1F"/>
        </w:rPr>
        <w:t xml:space="preserve"> denote the </w:t>
      </w:r>
      <w:r w:rsidRPr="00F00CA0">
        <w:rPr>
          <w:rFonts w:ascii="Times New Roman" w:hAnsi="Times New Roman" w:cs="Times New Roman"/>
          <w:position w:val="-6"/>
        </w:rPr>
        <w:object w:dxaOrig="499" w:dyaOrig="220">
          <v:shape id="_x0000_i1038" type="#_x0000_t75" style="width:25.5pt;height:10.5pt" o:ole="">
            <v:imagedata r:id="rId35" o:title=""/>
          </v:shape>
          <o:OLEObject Type="Embed" ProgID="Equation.DSMT4" ShapeID="_x0000_i1038" DrawAspect="Content" ObjectID="_1846526840" r:id="rId36"/>
        </w:object>
      </w:r>
      <w:r w:rsidRPr="00F00CA0">
        <w:rPr>
          <w:rFonts w:ascii="Times New Roman" w:eastAsia="Times New Roman" w:hAnsi="Times New Roman" w:cs="Times New Roman"/>
          <w:color w:val="1F1F1F"/>
        </w:rPr>
        <w:t xml:space="preserve"> binary adjacency matrix for </w:t>
      </w:r>
      <w:proofErr w:type="gramStart"/>
      <w:r w:rsidRPr="00F00CA0">
        <w:rPr>
          <w:rFonts w:ascii="Times New Roman" w:eastAsia="Times New Roman" w:hAnsi="Times New Roman" w:cs="Times New Roman"/>
          <w:color w:val="1F1F1F"/>
        </w:rPr>
        <w:t xml:space="preserve">year </w:t>
      </w:r>
      <w:proofErr w:type="gramEnd"/>
      <w:r w:rsidRPr="00F00CA0">
        <w:rPr>
          <w:rFonts w:ascii="Times New Roman" w:hAnsi="Times New Roman" w:cs="Times New Roman"/>
          <w:position w:val="-6"/>
        </w:rPr>
        <w:object w:dxaOrig="139" w:dyaOrig="240">
          <v:shape id="_x0000_i1039" type="#_x0000_t75" style="width:7.5pt;height:12pt" o:ole="">
            <v:imagedata r:id="rId37" o:title=""/>
          </v:shape>
          <o:OLEObject Type="Embed" ProgID="Equation.DSMT4" ShapeID="_x0000_i1039" DrawAspect="Content" ObjectID="_1846526841" r:id="rId38"/>
        </w:object>
      </w:r>
      <w:r w:rsidRPr="00F00CA0">
        <w:rPr>
          <w:rFonts w:ascii="Times New Roman" w:eastAsia="Times New Roman" w:hAnsi="Times New Roman" w:cs="Times New Roman"/>
          <w:color w:val="1F1F1F"/>
        </w:rPr>
        <w:t>, where:</w:t>
      </w:r>
    </w:p>
    <w:p w:rsidR="00850FA5" w:rsidRPr="00F00CA0" w:rsidRDefault="00850FA5" w:rsidP="00C70D53">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30"/>
        </w:rPr>
        <w:object w:dxaOrig="6440" w:dyaOrig="720">
          <v:shape id="_x0000_i1040" type="#_x0000_t75" style="width:322.5pt;height:36pt" o:ole="">
            <v:imagedata r:id="rId39" o:title=""/>
          </v:shape>
          <o:OLEObject Type="Embed" ProgID="Equation.DSMT4" ShapeID="_x0000_i1040" DrawAspect="Content" ObjectID="_1846526842" r:id="rId40"/>
        </w:object>
      </w:r>
    </w:p>
    <w:p w:rsidR="00D7150B" w:rsidRPr="00F00CA0" w:rsidRDefault="00850FA5" w:rsidP="00C70D53">
      <w:pPr>
        <w:spacing w:after="0"/>
        <w:ind w:left="-426" w:right="-421"/>
        <w:jc w:val="both"/>
        <w:rPr>
          <w:rFonts w:ascii="Times New Roman" w:eastAsia="Times New Roman" w:hAnsi="Times New Roman" w:cs="Times New Roman"/>
          <w:color w:val="1F1F1F"/>
        </w:rPr>
      </w:pPr>
      <w:r w:rsidRPr="00F00CA0">
        <w:rPr>
          <w:rStyle w:val="citation-111"/>
          <w:rFonts w:ascii="Times New Roman" w:hAnsi="Times New Roman" w:cs="Times New Roman"/>
        </w:rPr>
        <w:t xml:space="preserve">The corresponding edge weight </w:t>
      </w:r>
      <w:r w:rsidRPr="00F00CA0">
        <w:rPr>
          <w:rFonts w:ascii="Times New Roman" w:hAnsi="Times New Roman" w:cs="Times New Roman"/>
          <w:position w:val="-14"/>
        </w:rPr>
        <w:object w:dxaOrig="420" w:dyaOrig="380">
          <v:shape id="_x0000_i1041" type="#_x0000_t75" style="width:21pt;height:19.5pt" o:ole="">
            <v:imagedata r:id="rId41" o:title=""/>
          </v:shape>
          <o:OLEObject Type="Embed" ProgID="Equation.DSMT4" ShapeID="_x0000_i1041" DrawAspect="Content" ObjectID="_1846526843" r:id="rId42"/>
        </w:object>
      </w:r>
      <w:r w:rsidRPr="00F00CA0">
        <w:rPr>
          <w:rStyle w:val="citation-111"/>
          <w:rFonts w:ascii="Times New Roman" w:hAnsi="Times New Roman" w:cs="Times New Roman"/>
        </w:rPr>
        <w:t xml:space="preserve"> captures the continuous financial magnitude of the carbon trade flow, denominated in thousands of current US dollars (</w:t>
      </w:r>
      <w:r w:rsidRPr="00F00CA0">
        <w:rPr>
          <w:rStyle w:val="math-inline"/>
          <w:rFonts w:ascii="Times New Roman" w:hAnsi="Times New Roman" w:cs="Times New Roman"/>
        </w:rPr>
        <w:t>USD$</w:t>
      </w:r>
      <w:r w:rsidRPr="00F00CA0">
        <w:rPr>
          <w:rStyle w:val="citation-111"/>
          <w:rFonts w:ascii="Times New Roman" w:hAnsi="Times New Roman" w:cs="Times New Roman"/>
        </w:rPr>
        <w:t>)</w:t>
      </w:r>
      <w:r w:rsidRPr="00F00CA0">
        <w:rPr>
          <w:rFonts w:ascii="Times New Roman" w:hAnsi="Times New Roman" w:cs="Times New Roman"/>
        </w:rPr>
        <w:t xml:space="preserve">. </w:t>
      </w:r>
      <w:r w:rsidRPr="00F00CA0">
        <w:rPr>
          <w:rStyle w:val="citation-110"/>
          <w:rFonts w:ascii="Times New Roman" w:hAnsi="Times New Roman" w:cs="Times New Roman"/>
        </w:rPr>
        <w:t>Territories and administrative regions are filtered using the standard ISO country codes recognized by the United Nations to guarantee structural consistency</w:t>
      </w:r>
      <w:r w:rsidRPr="00F00CA0">
        <w:rPr>
          <w:rFonts w:ascii="Times New Roman" w:hAnsi="Times New Roman" w:cs="Times New Roman"/>
        </w:rPr>
        <w:t xml:space="preserve">. </w:t>
      </w:r>
      <w:r w:rsidRPr="00F00CA0">
        <w:rPr>
          <w:rStyle w:val="citation-109"/>
          <w:rFonts w:ascii="Times New Roman" w:hAnsi="Times New Roman" w:cs="Times New Roman"/>
        </w:rPr>
        <w:t>To build the nodal covariate matrix</w:t>
      </w:r>
      <w:r w:rsidRPr="00F00CA0">
        <w:rPr>
          <w:rFonts w:ascii="Times New Roman" w:hAnsi="Times New Roman" w:cs="Times New Roman"/>
          <w:position w:val="-12"/>
        </w:rPr>
        <w:object w:dxaOrig="240" w:dyaOrig="360">
          <v:shape id="_x0000_i1042" type="#_x0000_t75" style="width:12pt;height:18pt" o:ole="">
            <v:imagedata r:id="rId43" o:title=""/>
          </v:shape>
          <o:OLEObject Type="Embed" ProgID="Equation.DSMT4" ShapeID="_x0000_i1042" DrawAspect="Content" ObjectID="_1846526844" r:id="rId44"/>
        </w:object>
      </w:r>
      <w:r w:rsidRPr="00F00CA0">
        <w:rPr>
          <w:rStyle w:val="citation-109"/>
          <w:rFonts w:ascii="Times New Roman" w:hAnsi="Times New Roman" w:cs="Times New Roman"/>
        </w:rPr>
        <w:t>, country-level indicators are extracted from the World Bank Development Indicators repository and mapped straight to the United Nations Sustainable Development Goals (SDGs)</w:t>
      </w:r>
      <w:r w:rsidRPr="00F00CA0">
        <w:rPr>
          <w:rFonts w:ascii="Times New Roman" w:hAnsi="Times New Roman" w:cs="Times New Roman"/>
        </w:rPr>
        <w:t xml:space="preserve">. </w:t>
      </w:r>
      <w:r w:rsidRPr="00F00CA0">
        <w:rPr>
          <w:rStyle w:val="citation-108"/>
          <w:rFonts w:ascii="Times New Roman" w:hAnsi="Times New Roman" w:cs="Times New Roman"/>
        </w:rPr>
        <w:t xml:space="preserve">Gaps within the macroeconomic feature space are resolved using a </w:t>
      </w:r>
      <w:r w:rsidRPr="00F00CA0">
        <w:rPr>
          <w:rFonts w:ascii="Times New Roman" w:hAnsi="Times New Roman" w:cs="Times New Roman"/>
          <w:position w:val="-6"/>
        </w:rPr>
        <w:object w:dxaOrig="200" w:dyaOrig="279">
          <v:shape id="_x0000_i1043" type="#_x0000_t75" style="width:10.5pt;height:13.5pt" o:ole="">
            <v:imagedata r:id="rId45" o:title=""/>
          </v:shape>
          <o:OLEObject Type="Embed" ProgID="Equation.DSMT4" ShapeID="_x0000_i1043" DrawAspect="Content" ObjectID="_1846526845" r:id="rId46"/>
        </w:object>
      </w:r>
      <w:r w:rsidRPr="00F00CA0">
        <w:rPr>
          <w:rStyle w:val="citation-108"/>
          <w:rFonts w:ascii="Times New Roman" w:hAnsi="Times New Roman" w:cs="Times New Roman"/>
        </w:rPr>
        <w:t>-nearest neighbors algorithm (</w:t>
      </w:r>
      <w:r w:rsidRPr="00F00CA0">
        <w:rPr>
          <w:rFonts w:ascii="Times New Roman" w:hAnsi="Times New Roman" w:cs="Times New Roman"/>
          <w:position w:val="-10"/>
        </w:rPr>
        <w:object w:dxaOrig="1340" w:dyaOrig="320">
          <v:shape id="_x0000_i1044" type="#_x0000_t75" style="width:67.5pt;height:16.5pt" o:ole="">
            <v:imagedata r:id="rId47" o:title=""/>
          </v:shape>
          <o:OLEObject Type="Embed" ProgID="Equation.DSMT4" ShapeID="_x0000_i1044" DrawAspect="Content" ObjectID="_1846526846" r:id="rId48"/>
        </w:object>
      </w:r>
      <w:r w:rsidRPr="00F00CA0">
        <w:rPr>
          <w:rStyle w:val="citation-108"/>
          <w:rFonts w:ascii="Times New Roman" w:hAnsi="Times New Roman" w:cs="Times New Roman"/>
        </w:rPr>
        <w:t>)</w:t>
      </w:r>
      <w:r w:rsidRPr="00F00CA0">
        <w:rPr>
          <w:rFonts w:ascii="Times New Roman" w:hAnsi="Times New Roman" w:cs="Times New Roman"/>
        </w:rPr>
        <w:t xml:space="preserve">. </w:t>
      </w:r>
      <w:r w:rsidRPr="00F00CA0">
        <w:rPr>
          <w:rStyle w:val="citation-107"/>
          <w:rFonts w:ascii="Times New Roman" w:hAnsi="Times New Roman" w:cs="Times New Roman"/>
        </w:rPr>
        <w:t xml:space="preserve">The configuration uses Euclidean distances within the variable space to locate donor nodes, where the optimal number of neighbors is set to </w:t>
      </w:r>
      <w:r w:rsidRPr="00F00CA0">
        <w:rPr>
          <w:rFonts w:ascii="Times New Roman" w:hAnsi="Times New Roman" w:cs="Times New Roman"/>
          <w:position w:val="-6"/>
        </w:rPr>
        <w:object w:dxaOrig="520" w:dyaOrig="279">
          <v:shape id="_x0000_i1045" type="#_x0000_t75" style="width:25.5pt;height:13.5pt" o:ole="">
            <v:imagedata r:id="rId49" o:title=""/>
          </v:shape>
          <o:OLEObject Type="Embed" ProgID="Equation.DSMT4" ShapeID="_x0000_i1045" DrawAspect="Content" ObjectID="_1846526847" r:id="rId50"/>
        </w:object>
      </w:r>
      <w:r w:rsidRPr="00F00CA0">
        <w:rPr>
          <w:rStyle w:val="citation-107"/>
          <w:rFonts w:ascii="Times New Roman" w:hAnsi="Times New Roman" w:cs="Times New Roman"/>
        </w:rPr>
        <w:t xml:space="preserve"> via a 10-fold cross-validation routine minimizing the mean squared error</w:t>
      </w:r>
      <w:r w:rsidRPr="00F00CA0">
        <w:rPr>
          <w:rFonts w:ascii="Times New Roman" w:hAnsi="Times New Roman" w:cs="Times New Roman"/>
        </w:rPr>
        <w:t>.</w:t>
      </w:r>
      <w:r w:rsidRPr="00F00CA0">
        <w:t xml:space="preserve"> </w:t>
      </w:r>
      <w:r w:rsidR="00C2314F" w:rsidRPr="00F00CA0">
        <w:rPr>
          <w:rFonts w:ascii="Times New Roman" w:eastAsia="Times New Roman" w:hAnsi="Times New Roman" w:cs="Times New Roman"/>
          <w:color w:val="1F1F1F"/>
        </w:rPr>
        <w:t xml:space="preserve">Variables with more than 35% missing values were excluded. Gaps in the remaining indicators were resolved via </w:t>
      </w:r>
      <w:r w:rsidR="00C2314F" w:rsidRPr="00F00CA0">
        <w:rPr>
          <w:rFonts w:ascii="Times New Roman" w:hAnsi="Times New Roman" w:cs="Times New Roman"/>
          <w:position w:val="-6"/>
        </w:rPr>
        <w:object w:dxaOrig="200" w:dyaOrig="279">
          <v:shape id="_x0000_i1046" type="#_x0000_t75" style="width:9pt;height:15pt" o:ole="">
            <v:imagedata r:id="rId51" o:title=""/>
          </v:shape>
          <o:OLEObject Type="Embed" ProgID="Equation.DSMT4" ShapeID="_x0000_i1046" DrawAspect="Content" ObjectID="_1846526848" r:id="rId52"/>
        </w:object>
      </w:r>
      <w:r w:rsidR="00C2314F" w:rsidRPr="00F00CA0">
        <w:rPr>
          <w:rFonts w:ascii="Times New Roman" w:eastAsia="Times New Roman" w:hAnsi="Times New Roman" w:cs="Times New Roman"/>
          <w:color w:val="1F1F1F"/>
        </w:rPr>
        <w:t xml:space="preserve">-nearest neighbors (KNN) imputation based on Euclidean distance (Van </w:t>
      </w:r>
      <w:proofErr w:type="spellStart"/>
      <w:r w:rsidR="00C2314F" w:rsidRPr="00F00CA0">
        <w:rPr>
          <w:rFonts w:ascii="Times New Roman" w:eastAsia="Times New Roman" w:hAnsi="Times New Roman" w:cs="Times New Roman"/>
          <w:color w:val="1F1F1F"/>
        </w:rPr>
        <w:t>Buuren</w:t>
      </w:r>
      <w:proofErr w:type="spellEnd"/>
      <w:r w:rsidR="00C2314F" w:rsidRPr="00F00CA0">
        <w:rPr>
          <w:rFonts w:ascii="Times New Roman" w:eastAsia="Times New Roman" w:hAnsi="Times New Roman" w:cs="Times New Roman"/>
          <w:color w:val="1F1F1F"/>
        </w:rPr>
        <w:t xml:space="preserve"> &amp; </w:t>
      </w:r>
      <w:proofErr w:type="spellStart"/>
      <w:r w:rsidR="00C2314F" w:rsidRPr="00F00CA0">
        <w:rPr>
          <w:rFonts w:ascii="Times New Roman" w:eastAsia="Times New Roman" w:hAnsi="Times New Roman" w:cs="Times New Roman"/>
          <w:color w:val="1F1F1F"/>
        </w:rPr>
        <w:t>Groothuis-Oudshoorn</w:t>
      </w:r>
      <w:proofErr w:type="spellEnd"/>
      <w:r w:rsidR="00C2314F" w:rsidRPr="00F00CA0">
        <w:rPr>
          <w:rFonts w:ascii="Times New Roman" w:eastAsia="Times New Roman" w:hAnsi="Times New Roman" w:cs="Times New Roman"/>
          <w:color w:val="1F1F1F"/>
        </w:rPr>
        <w:t xml:space="preserve">, 2011). Cross-validation minimized the Mean Squared Error at an optimal choice </w:t>
      </w:r>
      <w:proofErr w:type="gramStart"/>
      <w:r w:rsidR="00C2314F" w:rsidRPr="00F00CA0">
        <w:rPr>
          <w:rFonts w:ascii="Times New Roman" w:eastAsia="Times New Roman" w:hAnsi="Times New Roman" w:cs="Times New Roman"/>
          <w:color w:val="1F1F1F"/>
        </w:rPr>
        <w:t xml:space="preserve">of </w:t>
      </w:r>
      <w:proofErr w:type="gramEnd"/>
      <w:r w:rsidR="00C2314F" w:rsidRPr="00F00CA0">
        <w:rPr>
          <w:rFonts w:ascii="Times New Roman" w:hAnsi="Times New Roman" w:cs="Times New Roman"/>
          <w:position w:val="-6"/>
        </w:rPr>
        <w:object w:dxaOrig="520" w:dyaOrig="279">
          <v:shape id="_x0000_i1047" type="#_x0000_t75" style="width:22.5pt;height:13.5pt" o:ole="">
            <v:imagedata r:id="rId53" o:title=""/>
          </v:shape>
          <o:OLEObject Type="Embed" ProgID="Equation.DSMT4" ShapeID="_x0000_i1047" DrawAspect="Content" ObjectID="_1846526849" r:id="rId54"/>
        </w:object>
      </w:r>
      <w:r w:rsidR="00C2314F" w:rsidRPr="00F00CA0">
        <w:rPr>
          <w:rFonts w:ascii="Times New Roman" w:eastAsia="Times New Roman" w:hAnsi="Times New Roman" w:cs="Times New Roman"/>
          <w:color w:val="1F1F1F"/>
        </w:rPr>
        <w:t>, imputing missing points using a country's closest structural neighbor (</w:t>
      </w:r>
      <w:proofErr w:type="spellStart"/>
      <w:r w:rsidR="00C2314F" w:rsidRPr="00F00CA0">
        <w:rPr>
          <w:rFonts w:ascii="Times New Roman" w:eastAsia="Times New Roman" w:hAnsi="Times New Roman" w:cs="Times New Roman"/>
          <w:color w:val="1F1F1F"/>
        </w:rPr>
        <w:t>Kowarik</w:t>
      </w:r>
      <w:proofErr w:type="spellEnd"/>
      <w:r w:rsidR="00C2314F" w:rsidRPr="00F00CA0">
        <w:rPr>
          <w:rFonts w:ascii="Times New Roman" w:eastAsia="Times New Roman" w:hAnsi="Times New Roman" w:cs="Times New Roman"/>
          <w:color w:val="1F1F1F"/>
        </w:rPr>
        <w:t xml:space="preserve"> &amp; </w:t>
      </w:r>
      <w:proofErr w:type="spellStart"/>
      <w:r w:rsidR="00C2314F" w:rsidRPr="00F00CA0">
        <w:rPr>
          <w:rFonts w:ascii="Times New Roman" w:eastAsia="Times New Roman" w:hAnsi="Times New Roman" w:cs="Times New Roman"/>
          <w:color w:val="1F1F1F"/>
        </w:rPr>
        <w:t>Templ</w:t>
      </w:r>
      <w:proofErr w:type="spellEnd"/>
      <w:r w:rsidR="00C2314F" w:rsidRPr="00F00CA0">
        <w:rPr>
          <w:rFonts w:ascii="Times New Roman" w:eastAsia="Times New Roman" w:hAnsi="Times New Roman" w:cs="Times New Roman"/>
          <w:color w:val="1F1F1F"/>
        </w:rPr>
        <w:t xml:space="preserve">, 2016). The annual international trade network is formally modeled as a directed, weighted graph </w:t>
      </w:r>
      <w:r w:rsidR="00C2314F" w:rsidRPr="00F00CA0">
        <w:rPr>
          <w:rFonts w:ascii="Times New Roman" w:hAnsi="Times New Roman" w:cs="Times New Roman"/>
          <w:position w:val="-12"/>
        </w:rPr>
        <w:object w:dxaOrig="1579" w:dyaOrig="360">
          <v:shape id="_x0000_i1048" type="#_x0000_t75" style="width:75pt;height:16.5pt" o:ole="">
            <v:imagedata r:id="rId55" o:title=""/>
          </v:shape>
          <o:OLEObject Type="Embed" ProgID="Equation.DSMT4" ShapeID="_x0000_i1048" DrawAspect="Content" ObjectID="_1846526850" r:id="rId56"/>
        </w:object>
      </w:r>
      <w:r w:rsidR="00C2314F" w:rsidRPr="00F00CA0">
        <w:rPr>
          <w:rFonts w:ascii="Times New Roman" w:eastAsia="Times New Roman" w:hAnsi="Times New Roman" w:cs="Times New Roman"/>
          <w:color w:val="1F1F1F"/>
        </w:rPr>
        <w:t xml:space="preserve"> derived from World Integrated Trade Solution (WITS) export data. The binary adjacency matrix </w:t>
      </w:r>
      <w:r w:rsidR="00C2314F" w:rsidRPr="00F00CA0">
        <w:rPr>
          <w:rFonts w:ascii="Times New Roman" w:hAnsi="Times New Roman" w:cs="Times New Roman"/>
          <w:position w:val="-4"/>
        </w:rPr>
        <w:object w:dxaOrig="220" w:dyaOrig="260">
          <v:shape id="_x0000_i1049" type="#_x0000_t75" style="width:10.5pt;height:13.5pt" o:ole="">
            <v:imagedata r:id="rId57" o:title=""/>
          </v:shape>
          <o:OLEObject Type="Embed" ProgID="Equation.DSMT4" ShapeID="_x0000_i1049" DrawAspect="Content" ObjectID="_1846526851" r:id="rId58"/>
        </w:object>
      </w:r>
      <w:r w:rsidR="00C2314F" w:rsidRPr="00F00CA0">
        <w:rPr>
          <w:rFonts w:ascii="Times New Roman" w:eastAsia="Times New Roman" w:hAnsi="Times New Roman" w:cs="Times New Roman"/>
          <w:color w:val="1F1F1F"/>
        </w:rPr>
        <w:t xml:space="preserve"> is defined where </w:t>
      </w:r>
      <w:r w:rsidR="00C2314F" w:rsidRPr="00F00CA0">
        <w:rPr>
          <w:rFonts w:ascii="Times New Roman" w:hAnsi="Times New Roman" w:cs="Times New Roman"/>
          <w:position w:val="-14"/>
        </w:rPr>
        <w:object w:dxaOrig="639" w:dyaOrig="380">
          <v:shape id="_x0000_i1050" type="#_x0000_t75" style="width:28.5pt;height:16.5pt" o:ole="">
            <v:imagedata r:id="rId59" o:title=""/>
          </v:shape>
          <o:OLEObject Type="Embed" ProgID="Equation.DSMT4" ShapeID="_x0000_i1050" DrawAspect="Content" ObjectID="_1846526852" r:id="rId60"/>
        </w:object>
      </w:r>
      <w:r w:rsidR="00C2314F" w:rsidRPr="00F00CA0">
        <w:rPr>
          <w:rFonts w:ascii="Times New Roman" w:eastAsia="Times New Roman" w:hAnsi="Times New Roman" w:cs="Times New Roman"/>
          <w:color w:val="1F1F1F"/>
        </w:rPr>
        <w:t xml:space="preserve"> if country </w:t>
      </w:r>
      <w:r w:rsidR="00C2314F" w:rsidRPr="00F00CA0">
        <w:rPr>
          <w:rFonts w:ascii="Times New Roman" w:hAnsi="Times New Roman" w:cs="Times New Roman"/>
          <w:position w:val="-6"/>
        </w:rPr>
        <w:object w:dxaOrig="139" w:dyaOrig="260">
          <v:shape id="_x0000_i1051" type="#_x0000_t75" style="width:7.5pt;height:13.5pt" o:ole="">
            <v:imagedata r:id="rId61" o:title=""/>
          </v:shape>
          <o:OLEObject Type="Embed" ProgID="Equation.DSMT4" ShapeID="_x0000_i1051" DrawAspect="Content" ObjectID="_1846526853" r:id="rId62"/>
        </w:object>
      </w:r>
      <w:r w:rsidR="00C2314F" w:rsidRPr="00F00CA0">
        <w:rPr>
          <w:rFonts w:ascii="Times New Roman" w:eastAsia="Times New Roman" w:hAnsi="Times New Roman" w:cs="Times New Roman"/>
          <w:color w:val="1F1F1F"/>
        </w:rPr>
        <w:t xml:space="preserve"> exports to country</w:t>
      </w:r>
      <w:r w:rsidR="00C2314F" w:rsidRPr="00F00CA0">
        <w:rPr>
          <w:rFonts w:ascii="Times New Roman" w:hAnsi="Times New Roman" w:cs="Times New Roman"/>
          <w:position w:val="-10"/>
        </w:rPr>
        <w:object w:dxaOrig="200" w:dyaOrig="300">
          <v:shape id="_x0000_i1052" type="#_x0000_t75" style="width:9pt;height:15pt" o:ole="">
            <v:imagedata r:id="rId63" o:title=""/>
          </v:shape>
          <o:OLEObject Type="Embed" ProgID="Equation.DSMT4" ShapeID="_x0000_i1052" DrawAspect="Content" ObjectID="_1846526854" r:id="rId64"/>
        </w:object>
      </w:r>
      <w:r w:rsidR="00C2314F" w:rsidRPr="00F00CA0">
        <w:rPr>
          <w:rFonts w:ascii="Times New Roman" w:eastAsia="Times New Roman" w:hAnsi="Times New Roman" w:cs="Times New Roman"/>
          <w:color w:val="1F1F1F"/>
        </w:rPr>
        <w:t xml:space="preserve">, and </w:t>
      </w:r>
      <w:r w:rsidR="00C2314F" w:rsidRPr="00F00CA0">
        <w:rPr>
          <w:rFonts w:ascii="Times New Roman" w:hAnsi="Times New Roman" w:cs="Times New Roman"/>
          <w:position w:val="-6"/>
        </w:rPr>
        <w:object w:dxaOrig="200" w:dyaOrig="279">
          <v:shape id="_x0000_i1053" type="#_x0000_t75" style="width:9pt;height:15pt" o:ole="">
            <v:imagedata r:id="rId65" o:title=""/>
          </v:shape>
          <o:OLEObject Type="Embed" ProgID="Equation.DSMT4" ShapeID="_x0000_i1053" DrawAspect="Content" ObjectID="_1846526855" r:id="rId66"/>
        </w:object>
      </w:r>
      <w:r w:rsidR="00C2314F" w:rsidRPr="00F00CA0">
        <w:rPr>
          <w:rFonts w:ascii="Times New Roman" w:eastAsia="Times New Roman" w:hAnsi="Times New Roman" w:cs="Times New Roman"/>
          <w:color w:val="1F1F1F"/>
        </w:rPr>
        <w:t xml:space="preserve"> otherwise. Because international carbon flows are asymmetric, </w:t>
      </w:r>
      <w:r w:rsidR="00C2314F" w:rsidRPr="00F00CA0">
        <w:rPr>
          <w:rFonts w:ascii="Times New Roman" w:hAnsi="Times New Roman" w:cs="Times New Roman"/>
          <w:position w:val="-4"/>
        </w:rPr>
        <w:object w:dxaOrig="220" w:dyaOrig="260">
          <v:shape id="_x0000_i1054" type="#_x0000_t75" style="width:10.5pt;height:13.5pt" o:ole="">
            <v:imagedata r:id="rId67" o:title=""/>
          </v:shape>
          <o:OLEObject Type="Embed" ProgID="Equation.DSMT4" ShapeID="_x0000_i1054" DrawAspect="Content" ObjectID="_1846526856" r:id="rId68"/>
        </w:object>
      </w:r>
      <w:r w:rsidR="00C2314F" w:rsidRPr="00F00CA0">
        <w:rPr>
          <w:rFonts w:ascii="Times New Roman" w:eastAsia="Times New Roman" w:hAnsi="Times New Roman" w:cs="Times New Roman"/>
          <w:color w:val="1F1F1F"/>
        </w:rPr>
        <w:t xml:space="preserve"> is directed and non-symmetric (</w:t>
      </w:r>
      <w:r w:rsidR="00C2314F" w:rsidRPr="00F00CA0">
        <w:rPr>
          <w:rFonts w:ascii="Times New Roman" w:hAnsi="Times New Roman" w:cs="Times New Roman"/>
          <w:position w:val="-14"/>
        </w:rPr>
        <w:object w:dxaOrig="880" w:dyaOrig="380">
          <v:shape id="_x0000_i1055" type="#_x0000_t75" style="width:45pt;height:19.5pt" o:ole="">
            <v:imagedata r:id="rId69" o:title=""/>
          </v:shape>
          <o:OLEObject Type="Embed" ProgID="Equation.DSMT4" ShapeID="_x0000_i1055" DrawAspect="Content" ObjectID="_1846526857" r:id="rId70"/>
        </w:object>
      </w:r>
      <w:r w:rsidR="00C2314F" w:rsidRPr="00F00CA0">
        <w:rPr>
          <w:rFonts w:ascii="Times New Roman" w:eastAsia="Times New Roman" w:hAnsi="Times New Roman" w:cs="Times New Roman"/>
          <w:color w:val="1F1F1F"/>
        </w:rPr>
        <w:t xml:space="preserve">) (Lee &amp; Wilkinson, 2019). The continuous weight matrix </w:t>
      </w:r>
      <w:r w:rsidR="00C2314F" w:rsidRPr="00F00CA0">
        <w:rPr>
          <w:rFonts w:ascii="Times New Roman" w:hAnsi="Times New Roman" w:cs="Times New Roman"/>
          <w:position w:val="-6"/>
        </w:rPr>
        <w:object w:dxaOrig="279" w:dyaOrig="279">
          <v:shape id="_x0000_i1056" type="#_x0000_t75" style="width:15pt;height:15pt" o:ole="">
            <v:imagedata r:id="rId71" o:title=""/>
          </v:shape>
          <o:OLEObject Type="Embed" ProgID="Equation.DSMT4" ShapeID="_x0000_i1056" DrawAspect="Content" ObjectID="_1846526858" r:id="rId72"/>
        </w:object>
      </w:r>
      <w:r w:rsidR="00C2314F" w:rsidRPr="00F00CA0">
        <w:rPr>
          <w:rFonts w:ascii="Times New Roman" w:eastAsia="Times New Roman" w:hAnsi="Times New Roman" w:cs="Times New Roman"/>
          <w:color w:val="1F1F1F"/>
        </w:rPr>
        <w:t xml:space="preserve"> captures export magnitudes in thousands of US dollars ($USD$). Baseline network communities are visualized using the </w:t>
      </w:r>
      <w:proofErr w:type="spellStart"/>
      <w:r w:rsidR="00C2314F" w:rsidRPr="00F00CA0">
        <w:rPr>
          <w:rFonts w:ascii="Times New Roman" w:eastAsia="Times New Roman" w:hAnsi="Times New Roman" w:cs="Times New Roman"/>
          <w:color w:val="1F1F1F"/>
        </w:rPr>
        <w:t>Infomap</w:t>
      </w:r>
      <w:proofErr w:type="spellEnd"/>
      <w:r w:rsidR="00C2314F" w:rsidRPr="00F00CA0">
        <w:rPr>
          <w:rFonts w:ascii="Times New Roman" w:eastAsia="Times New Roman" w:hAnsi="Times New Roman" w:cs="Times New Roman"/>
          <w:color w:val="1F1F1F"/>
        </w:rPr>
        <w:t xml:space="preserve"> algorithm, which clusters nodes by optimizing random walk paths across trade flows (</w:t>
      </w:r>
      <w:proofErr w:type="spellStart"/>
      <w:r w:rsidR="00C2314F" w:rsidRPr="00F00CA0">
        <w:rPr>
          <w:rFonts w:ascii="Times New Roman" w:eastAsia="Times New Roman" w:hAnsi="Times New Roman" w:cs="Times New Roman"/>
          <w:color w:val="1F1F1F"/>
        </w:rPr>
        <w:t>Rosvall</w:t>
      </w:r>
      <w:proofErr w:type="spellEnd"/>
      <w:r w:rsidR="00C2314F" w:rsidRPr="00F00CA0">
        <w:rPr>
          <w:rFonts w:ascii="Times New Roman" w:eastAsia="Times New Roman" w:hAnsi="Times New Roman" w:cs="Times New Roman"/>
          <w:color w:val="1F1F1F"/>
        </w:rPr>
        <w:t xml:space="preserve"> &amp; Bergstrom, 2008).</w:t>
      </w:r>
    </w:p>
    <w:p w:rsidR="00C2314F" w:rsidRPr="00F00CA0" w:rsidRDefault="00C2314F" w:rsidP="00C70D53">
      <w:pPr>
        <w:spacing w:before="100" w:beforeAutospacing="1" w:after="100" w:afterAutospacing="1"/>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3.2.1 Topological Network Properties</w:t>
      </w:r>
    </w:p>
    <w:p w:rsidR="00C2314F" w:rsidRPr="00F56890" w:rsidRDefault="00C2314F" w:rsidP="00C70D53">
      <w:pPr>
        <w:spacing w:before="100" w:beforeAutospacing="1" w:after="100" w:afterAutospacing="1"/>
        <w:ind w:left="-426" w:right="-421"/>
        <w:jc w:val="both"/>
        <w:rPr>
          <w:rFonts w:ascii="Times New Roman" w:eastAsia="Times New Roman" w:hAnsi="Times New Roman" w:cs="Times New Roman"/>
        </w:rPr>
      </w:pPr>
      <w:r w:rsidRPr="00F00CA0">
        <w:rPr>
          <w:rFonts w:ascii="Times New Roman" w:eastAsia="Times New Roman" w:hAnsi="Times New Roman" w:cs="Times New Roman"/>
        </w:rPr>
        <w:t>To map out the structural robustness, selective connectivity, and systemic vulnerabilities of global carbon trade over the timeline (2019–2022), we compute a distinct suite of topological graph descriptors. Rather than analyzing the system as an aggregate undirected trade mass, relationships are mapped as a directed, weighted adjacency matrix to capture directional asymmetries. The global sorting profile is evaluated using the degree assortativity coefficient (</w:t>
      </w:r>
      <w:r w:rsidRPr="00F00CA0">
        <w:rPr>
          <w:rFonts w:ascii="Times New Roman" w:hAnsi="Times New Roman" w:cs="Times New Roman"/>
          <w:position w:val="-4"/>
        </w:rPr>
        <w:object w:dxaOrig="180" w:dyaOrig="200">
          <v:shape id="_x0000_i1057" type="#_x0000_t75" style="width:9pt;height:10.5pt" o:ole="">
            <v:imagedata r:id="rId73" o:title=""/>
          </v:shape>
          <o:OLEObject Type="Embed" ProgID="Equation.DSMT4" ShapeID="_x0000_i1057" DrawAspect="Content" ObjectID="_1846526859" r:id="rId74"/>
        </w:object>
      </w:r>
      <w:r w:rsidRPr="00F00CA0">
        <w:rPr>
          <w:rFonts w:ascii="Times New Roman" w:eastAsia="Times New Roman" w:hAnsi="Times New Roman" w:cs="Times New Roman"/>
        </w:rPr>
        <w:t>), defining whether link distributions exhibit a disassortative profile (</w:t>
      </w:r>
      <w:r w:rsidRPr="00F00CA0">
        <w:rPr>
          <w:rFonts w:ascii="Times New Roman" w:hAnsi="Times New Roman" w:cs="Times New Roman"/>
          <w:position w:val="-6"/>
        </w:rPr>
        <w:object w:dxaOrig="540" w:dyaOrig="279">
          <v:shape id="_x0000_i1058" type="#_x0000_t75" style="width:27pt;height:13.5pt" o:ole="">
            <v:imagedata r:id="rId75" o:title=""/>
          </v:shape>
          <o:OLEObject Type="Embed" ProgID="Equation.DSMT4" ShapeID="_x0000_i1058" DrawAspect="Content" ObjectID="_1846526860" r:id="rId76"/>
        </w:object>
      </w:r>
      <w:r w:rsidRPr="00F00CA0">
        <w:rPr>
          <w:rFonts w:ascii="Times New Roman" w:eastAsia="Times New Roman" w:hAnsi="Times New Roman" w:cs="Times New Roman"/>
        </w:rPr>
        <w:t xml:space="preserve">) where highly active hub nations preferentially pair with poorly connected peripheral states. Local transitivity (global clustering coefficient) maps the configuration density of interconnected trading triangles, tracking structural cohesion. Systemic inequality </w:t>
      </w:r>
      <w:r w:rsidRPr="00F00CA0">
        <w:rPr>
          <w:rFonts w:ascii="Times New Roman" w:eastAsia="Times New Roman" w:hAnsi="Times New Roman" w:cs="Times New Roman"/>
        </w:rPr>
        <w:lastRenderedPageBreak/>
        <w:t>in network access is quantified via the in-degree coefficient of variation (</w:t>
      </w:r>
      <w:r w:rsidRPr="00F00CA0">
        <w:rPr>
          <w:rFonts w:ascii="Times New Roman" w:hAnsi="Times New Roman" w:cs="Times New Roman"/>
          <w:position w:val="-12"/>
        </w:rPr>
        <w:object w:dxaOrig="499" w:dyaOrig="360">
          <v:shape id="_x0000_i1059" type="#_x0000_t75" style="width:25.5pt;height:18pt" o:ole="">
            <v:imagedata r:id="rId77" o:title=""/>
          </v:shape>
          <o:OLEObject Type="Embed" ProgID="Equation.DSMT4" ShapeID="_x0000_i1059" DrawAspect="Content" ObjectID="_1846526861" r:id="rId78"/>
        </w:object>
      </w:r>
      <w:r w:rsidRPr="00F00CA0">
        <w:rPr>
          <w:rFonts w:ascii="Times New Roman" w:eastAsia="Times New Roman" w:hAnsi="Times New Roman" w:cs="Times New Roman"/>
        </w:rPr>
        <w:t>), isolating whether the absorption of carbon pathways is concentrated around a narrow tier of major economies. Finally, structural vulnerability and network resilience are tracked by computing the vertex connectivity (</w:t>
      </w:r>
      <w:r w:rsidRPr="00F00CA0">
        <w:rPr>
          <w:rFonts w:ascii="Times New Roman" w:hAnsi="Times New Roman" w:cs="Times New Roman"/>
          <w:position w:val="-4"/>
        </w:rPr>
        <w:object w:dxaOrig="260" w:dyaOrig="260">
          <v:shape id="_x0000_i1060" type="#_x0000_t75" style="width:13.5pt;height:13.5pt" o:ole="">
            <v:imagedata r:id="rId79" o:title=""/>
          </v:shape>
          <o:OLEObject Type="Embed" ProgID="Equation.DSMT4" ShapeID="_x0000_i1060" DrawAspect="Content" ObjectID="_1846526862" r:id="rId80"/>
        </w:object>
      </w:r>
      <w:r w:rsidRPr="00F00CA0">
        <w:rPr>
          <w:rFonts w:ascii="Times New Roman" w:eastAsia="Times New Roman" w:hAnsi="Times New Roman" w:cs="Times New Roman"/>
        </w:rPr>
        <w:t xml:space="preserve">-connectivity). </w:t>
      </w:r>
      <w:proofErr w:type="gramStart"/>
      <w:r w:rsidRPr="00F00CA0">
        <w:rPr>
          <w:rFonts w:ascii="Times New Roman" w:eastAsia="Times New Roman" w:hAnsi="Times New Roman" w:cs="Times New Roman"/>
        </w:rPr>
        <w:t xml:space="preserve">A vertex connectivity value of </w:t>
      </w:r>
      <w:r w:rsidRPr="00F00CA0">
        <w:rPr>
          <w:rFonts w:ascii="Times New Roman" w:hAnsi="Times New Roman" w:cs="Times New Roman"/>
          <w:position w:val="-6"/>
        </w:rPr>
        <w:object w:dxaOrig="200" w:dyaOrig="279">
          <v:shape id="_x0000_i1061" type="#_x0000_t75" style="width:10.5pt;height:13.5pt" o:ole="">
            <v:imagedata r:id="rId81" o:title=""/>
          </v:shape>
          <o:OLEObject Type="Embed" ProgID="Equation.DSMT4" ShapeID="_x0000_i1061" DrawAspect="Content" ObjectID="_1846526863" r:id="rId82"/>
        </w:object>
      </w:r>
      <w:r w:rsidRPr="00F00CA0">
        <w:rPr>
          <w:rFonts w:ascii="Times New Roman" w:eastAsia="Times New Roman" w:hAnsi="Times New Roman" w:cs="Times New Roman"/>
        </w:rPr>
        <w:t xml:space="preserve"> points to a highly centralized architecture reliant on articulating "cut-nodes," indicating that the removal of critical economic intermediaries would instantly break global network cohesion.</w:t>
      </w:r>
      <w:proofErr w:type="gramEnd"/>
    </w:p>
    <w:p w:rsidR="009D506F" w:rsidRPr="00F00CA0" w:rsidRDefault="009D506F" w:rsidP="00C70D53">
      <w:pPr>
        <w:spacing w:before="100" w:beforeAutospacing="1" w:after="0"/>
        <w:ind w:left="-426" w:right="-421"/>
        <w:jc w:val="both"/>
        <w:rPr>
          <w:rFonts w:ascii="Times New Roman" w:eastAsia="Times New Roman" w:hAnsi="Times New Roman" w:cs="Times New Roman"/>
          <w:color w:val="000000" w:themeColor="text1"/>
        </w:rPr>
      </w:pPr>
      <w:r w:rsidRPr="00F00CA0">
        <w:rPr>
          <w:rFonts w:ascii="Times New Roman" w:eastAsia="Times New Roman" w:hAnsi="Times New Roman" w:cs="Times New Roman"/>
          <w:color w:val="000000" w:themeColor="text1"/>
        </w:rPr>
        <w:t>This study implements a dual-inferential framework combining Exponential Random Graph Models (ERGMs) and Stochastic Block Models (SBMs) to evaluate micro-level tie drivers and macro-level structures simultaneously (</w:t>
      </w:r>
      <w:proofErr w:type="spellStart"/>
      <w:r w:rsidRPr="00F00CA0">
        <w:rPr>
          <w:rFonts w:ascii="Times New Roman" w:eastAsia="Times New Roman" w:hAnsi="Times New Roman" w:cs="Times New Roman"/>
          <w:color w:val="000000" w:themeColor="text1"/>
        </w:rPr>
        <w:t>Kolaczyk</w:t>
      </w:r>
      <w:proofErr w:type="spellEnd"/>
      <w:r w:rsidRPr="00F00CA0">
        <w:rPr>
          <w:rFonts w:ascii="Times New Roman" w:eastAsia="Times New Roman" w:hAnsi="Times New Roman" w:cs="Times New Roman"/>
          <w:color w:val="000000" w:themeColor="text1"/>
        </w:rPr>
        <w:t xml:space="preserve"> &amp; </w:t>
      </w:r>
      <w:proofErr w:type="spellStart"/>
      <w:r w:rsidRPr="00F00CA0">
        <w:rPr>
          <w:rFonts w:ascii="Times New Roman" w:eastAsia="Times New Roman" w:hAnsi="Times New Roman" w:cs="Times New Roman"/>
          <w:color w:val="000000" w:themeColor="text1"/>
        </w:rPr>
        <w:t>Csárdi</w:t>
      </w:r>
      <w:proofErr w:type="spellEnd"/>
      <w:r w:rsidRPr="00F00CA0">
        <w:rPr>
          <w:rFonts w:ascii="Times New Roman" w:eastAsia="Times New Roman" w:hAnsi="Times New Roman" w:cs="Times New Roman"/>
          <w:color w:val="000000" w:themeColor="text1"/>
        </w:rPr>
        <w:t>, 2020).</w:t>
      </w:r>
    </w:p>
    <w:p w:rsidR="009D506F" w:rsidRPr="00F00CA0" w:rsidRDefault="009F6326" w:rsidP="00C70D53">
      <w:pPr>
        <w:spacing w:before="100" w:beforeAutospacing="1" w:after="0"/>
        <w:ind w:left="-426" w:right="-421"/>
        <w:jc w:val="both"/>
        <w:outlineLvl w:val="2"/>
        <w:rPr>
          <w:rFonts w:ascii="Times New Roman" w:eastAsia="Times New Roman" w:hAnsi="Times New Roman" w:cs="Times New Roman"/>
          <w:b/>
          <w:bCs/>
          <w:color w:val="000000" w:themeColor="text1"/>
        </w:rPr>
      </w:pPr>
      <w:r w:rsidRPr="00F00CA0">
        <w:rPr>
          <w:rFonts w:ascii="Times New Roman" w:eastAsia="Times New Roman" w:hAnsi="Times New Roman" w:cs="Times New Roman"/>
          <w:b/>
          <w:bCs/>
          <w:color w:val="000000" w:themeColor="text1"/>
        </w:rPr>
        <w:t xml:space="preserve">3.2.2 </w:t>
      </w:r>
      <w:r w:rsidR="009D506F" w:rsidRPr="00F00CA0">
        <w:rPr>
          <w:rFonts w:ascii="Times New Roman" w:eastAsia="Times New Roman" w:hAnsi="Times New Roman" w:cs="Times New Roman"/>
          <w:b/>
          <w:bCs/>
          <w:color w:val="000000" w:themeColor="text1"/>
        </w:rPr>
        <w:t>Exponential Random Graph Models (ERGMs)</w:t>
      </w:r>
    </w:p>
    <w:p w:rsidR="009D506F" w:rsidRPr="00F00CA0" w:rsidRDefault="009D506F"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ERGMs extend Generalized Linear Models (GLMs) to network topologies, accounting for structural interdependencies like reciprocity and transitivity that violate standard </w:t>
      </w:r>
      <w:r w:rsidR="00486C05" w:rsidRPr="00F00CA0">
        <w:rPr>
          <w:rFonts w:ascii="Times New Roman" w:eastAsia="Times New Roman" w:hAnsi="Times New Roman" w:cs="Times New Roman"/>
          <w:color w:val="1F1F1F"/>
        </w:rPr>
        <w:t>assumptions (</w:t>
      </w:r>
      <w:proofErr w:type="spellStart"/>
      <w:r w:rsidR="00486C05" w:rsidRPr="00F00CA0">
        <w:rPr>
          <w:rFonts w:ascii="Times New Roman" w:eastAsia="Times New Roman" w:hAnsi="Times New Roman" w:cs="Times New Roman"/>
          <w:color w:val="1F1F1F"/>
        </w:rPr>
        <w:t>Amin</w:t>
      </w:r>
      <w:proofErr w:type="spellEnd"/>
      <w:r w:rsidR="00486C05" w:rsidRPr="00F00CA0">
        <w:rPr>
          <w:rFonts w:ascii="Times New Roman" w:eastAsia="Times New Roman" w:hAnsi="Times New Roman" w:cs="Times New Roman"/>
          <w:color w:val="1F1F1F"/>
        </w:rPr>
        <w:t xml:space="preserve"> et al., 2022). The probability of an observed network topology</w:t>
      </w:r>
      <w:r w:rsidRPr="00F00CA0">
        <w:rPr>
          <w:rFonts w:ascii="Times New Roman" w:eastAsia="Times New Roman" w:hAnsi="Times New Roman" w:cs="Times New Roman"/>
          <w:color w:val="1F1F1F"/>
        </w:rPr>
        <w:t xml:space="preserve"> is expressed as:</w:t>
      </w:r>
    </w:p>
    <w:p w:rsidR="009D506F" w:rsidRPr="00F00CA0" w:rsidRDefault="00486C05" w:rsidP="00C70D53">
      <w:pPr>
        <w:spacing w:after="0"/>
        <w:ind w:left="-426" w:right="-421"/>
        <w:jc w:val="center"/>
        <w:rPr>
          <w:rFonts w:ascii="Times New Roman" w:eastAsia="Times New Roman" w:hAnsi="Times New Roman" w:cs="Times New Roman"/>
          <w:color w:val="1F1F1F"/>
        </w:rPr>
      </w:pPr>
      <w:r w:rsidRPr="00F00CA0">
        <w:rPr>
          <w:position w:val="-28"/>
        </w:rPr>
        <w:object w:dxaOrig="3140" w:dyaOrig="680">
          <v:shape id="_x0000_i1062" type="#_x0000_t75" style="width:157.5pt;height:33pt" o:ole="">
            <v:imagedata r:id="rId83" o:title=""/>
          </v:shape>
          <o:OLEObject Type="Embed" ProgID="Equation.DSMT4" ShapeID="_x0000_i1062" DrawAspect="Content" ObjectID="_1846526864" r:id="rId84"/>
        </w:object>
      </w:r>
    </w:p>
    <w:p w:rsidR="009F6326" w:rsidRPr="00F00CA0" w:rsidRDefault="00486C05"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Where</w:t>
      </w:r>
      <w:r w:rsidR="009D506F" w:rsidRPr="00F00CA0">
        <w:rPr>
          <w:rFonts w:ascii="Times New Roman" w:eastAsia="Times New Roman" w:hAnsi="Times New Roman" w:cs="Times New Roman"/>
          <w:color w:val="1F1F1F"/>
        </w:rPr>
        <w:t xml:space="preserve"> </w:t>
      </w:r>
      <w:r w:rsidR="00E703A6" w:rsidRPr="00F00CA0">
        <w:rPr>
          <w:rFonts w:ascii="Times New Roman" w:hAnsi="Times New Roman" w:cs="Times New Roman"/>
          <w:position w:val="-4"/>
        </w:rPr>
        <w:object w:dxaOrig="220" w:dyaOrig="200">
          <v:shape id="_x0000_i1063" type="#_x0000_t75" style="width:10.5pt;height:9pt" o:ole="">
            <v:imagedata r:id="rId85" o:title=""/>
          </v:shape>
          <o:OLEObject Type="Embed" ProgID="Equation.DSMT4" ShapeID="_x0000_i1063" DrawAspect="Content" ObjectID="_1846526865" r:id="rId86"/>
        </w:object>
      </w:r>
      <w:r w:rsidR="009D506F" w:rsidRPr="00F00CA0">
        <w:rPr>
          <w:rFonts w:ascii="Times New Roman" w:eastAsia="Times New Roman" w:hAnsi="Times New Roman" w:cs="Times New Roman"/>
          <w:color w:val="1F1F1F"/>
        </w:rPr>
        <w:t xml:space="preserve"> is a normalizing constant and </w:t>
      </w:r>
      <w:r w:rsidR="00E703A6" w:rsidRPr="00F00CA0">
        <w:rPr>
          <w:rFonts w:ascii="Times New Roman" w:hAnsi="Times New Roman" w:cs="Times New Roman"/>
          <w:position w:val="-12"/>
        </w:rPr>
        <w:object w:dxaOrig="880" w:dyaOrig="360">
          <v:shape id="_x0000_i1064" type="#_x0000_t75" style="width:45pt;height:18pt" o:ole="">
            <v:imagedata r:id="rId87" o:title=""/>
          </v:shape>
          <o:OLEObject Type="Embed" ProgID="Equation.DSMT4" ShapeID="_x0000_i1064" DrawAspect="Content" ObjectID="_1846526866" r:id="rId88"/>
        </w:object>
      </w:r>
      <w:r w:rsidR="009D506F" w:rsidRPr="00F00CA0">
        <w:rPr>
          <w:rFonts w:ascii="Times New Roman" w:eastAsia="Times New Roman" w:hAnsi="Times New Roman" w:cs="Times New Roman"/>
          <w:color w:val="1F1F1F"/>
        </w:rPr>
        <w:t xml:space="preserve"> is a vector of network statistics cross-referenced with the nodal attribute </w:t>
      </w:r>
      <w:proofErr w:type="gramStart"/>
      <w:r w:rsidR="009D506F" w:rsidRPr="00F00CA0">
        <w:rPr>
          <w:rFonts w:ascii="Times New Roman" w:eastAsia="Times New Roman" w:hAnsi="Times New Roman" w:cs="Times New Roman"/>
          <w:color w:val="1F1F1F"/>
        </w:rPr>
        <w:t xml:space="preserve">matrix </w:t>
      </w:r>
      <w:proofErr w:type="gramEnd"/>
      <w:r w:rsidR="00E703A6" w:rsidRPr="00F00CA0">
        <w:rPr>
          <w:rFonts w:ascii="Times New Roman" w:hAnsi="Times New Roman" w:cs="Times New Roman"/>
          <w:position w:val="-4"/>
        </w:rPr>
        <w:object w:dxaOrig="240" w:dyaOrig="260">
          <v:shape id="_x0000_i1065" type="#_x0000_t75" style="width:12pt;height:13.5pt" o:ole="">
            <v:imagedata r:id="rId89" o:title=""/>
          </v:shape>
          <o:OLEObject Type="Embed" ProgID="Equation.DSMT4" ShapeID="_x0000_i1065" DrawAspect="Content" ObjectID="_1846526867" r:id="rId90"/>
        </w:object>
      </w:r>
      <w:r w:rsidR="009D506F" w:rsidRPr="00F00CA0">
        <w:rPr>
          <w:rFonts w:ascii="Times New Roman" w:eastAsia="Times New Roman" w:hAnsi="Times New Roman" w:cs="Times New Roman"/>
          <w:color w:val="1F1F1F"/>
        </w:rPr>
        <w:t xml:space="preserve">. The parameter vector </w:t>
      </w:r>
      <w:r w:rsidR="00E703A6" w:rsidRPr="00F00CA0">
        <w:rPr>
          <w:rFonts w:ascii="Times New Roman" w:hAnsi="Times New Roman" w:cs="Times New Roman"/>
          <w:position w:val="-12"/>
        </w:rPr>
        <w:object w:dxaOrig="260" w:dyaOrig="360">
          <v:shape id="_x0000_i1066" type="#_x0000_t75" style="width:13.5pt;height:18pt" o:ole="">
            <v:imagedata r:id="rId91" o:title=""/>
          </v:shape>
          <o:OLEObject Type="Embed" ProgID="Equation.DSMT4" ShapeID="_x0000_i1066" DrawAspect="Content" ObjectID="_1846526868" r:id="rId92"/>
        </w:object>
      </w:r>
      <w:r w:rsidR="009D506F" w:rsidRPr="00F00CA0">
        <w:rPr>
          <w:rFonts w:ascii="Times New Roman" w:eastAsia="Times New Roman" w:hAnsi="Times New Roman" w:cs="Times New Roman"/>
          <w:color w:val="1F1F1F"/>
        </w:rPr>
        <w:t xml:space="preserve"> is estimated via Markov Chain Monte Carlo Maximum Likelihood Estimation (MCMC-MLE) using the </w:t>
      </w:r>
      <w:proofErr w:type="spellStart"/>
      <w:r w:rsidR="009D506F" w:rsidRPr="00F00CA0">
        <w:rPr>
          <w:rFonts w:ascii="Times New Roman" w:eastAsia="Times New Roman" w:hAnsi="Times New Roman" w:cs="Times New Roman"/>
          <w:color w:val="1F1F1F"/>
        </w:rPr>
        <w:t>statnet</w:t>
      </w:r>
      <w:proofErr w:type="spellEnd"/>
      <w:r w:rsidR="009D506F" w:rsidRPr="00F00CA0">
        <w:rPr>
          <w:rFonts w:ascii="Times New Roman" w:eastAsia="Times New Roman" w:hAnsi="Times New Roman" w:cs="Times New Roman"/>
          <w:color w:val="1F1F1F"/>
        </w:rPr>
        <w:t xml:space="preserve"> package in R (</w:t>
      </w:r>
      <w:proofErr w:type="spellStart"/>
      <w:r w:rsidR="009D506F" w:rsidRPr="00F00CA0">
        <w:rPr>
          <w:rFonts w:ascii="Times New Roman" w:eastAsia="Times New Roman" w:hAnsi="Times New Roman" w:cs="Times New Roman"/>
          <w:color w:val="1F1F1F"/>
        </w:rPr>
        <w:t>Handcock</w:t>
      </w:r>
      <w:proofErr w:type="spellEnd"/>
      <w:r w:rsidR="009D506F" w:rsidRPr="00F00CA0">
        <w:rPr>
          <w:rFonts w:ascii="Times New Roman" w:eastAsia="Times New Roman" w:hAnsi="Times New Roman" w:cs="Times New Roman"/>
          <w:color w:val="1F1F1F"/>
        </w:rPr>
        <w:t xml:space="preserve"> et al., 2018). </w:t>
      </w:r>
      <w:r w:rsidRPr="00F00CA0">
        <w:rPr>
          <w:rFonts w:ascii="Times New Roman" w:eastAsia="Times New Roman" w:hAnsi="Times New Roman" w:cs="Times New Roman"/>
          <w:color w:val="1F1F1F"/>
        </w:rPr>
        <w:t xml:space="preserve">Two primary terms are specified of the methods used in this study are; </w:t>
      </w:r>
      <w:r w:rsidR="009D506F" w:rsidRPr="00F00CA0">
        <w:rPr>
          <w:rFonts w:ascii="Times New Roman" w:eastAsia="Times New Roman" w:hAnsi="Times New Roman" w:cs="Times New Roman"/>
          <w:bCs/>
          <w:color w:val="1F1F1F"/>
          <w:bdr w:val="none" w:sz="0" w:space="0" w:color="auto" w:frame="1"/>
        </w:rPr>
        <w:t>Node Covariates</w:t>
      </w:r>
      <w:r w:rsidRPr="00F00CA0">
        <w:rPr>
          <w:rFonts w:ascii="Times New Roman" w:eastAsia="Times New Roman" w:hAnsi="Times New Roman" w:cs="Times New Roman"/>
          <w:bCs/>
          <w:color w:val="1F1F1F"/>
          <w:bdr w:val="none" w:sz="0" w:space="0" w:color="auto" w:frame="1"/>
        </w:rPr>
        <w:t xml:space="preserve"> t</w:t>
      </w:r>
      <w:r w:rsidR="009D506F" w:rsidRPr="00F00CA0">
        <w:rPr>
          <w:rFonts w:ascii="Times New Roman" w:eastAsia="Times New Roman" w:hAnsi="Times New Roman" w:cs="Times New Roman"/>
          <w:color w:val="1F1F1F"/>
        </w:rPr>
        <w:t xml:space="preserve">ests how continuous national metrics (e.g., </w:t>
      </w:r>
      <w:r w:rsidR="00E703A6" w:rsidRPr="00F00CA0">
        <w:rPr>
          <w:rFonts w:ascii="Times New Roman" w:hAnsi="Times New Roman" w:cs="Times New Roman"/>
          <w:position w:val="-12"/>
        </w:rPr>
        <w:object w:dxaOrig="460" w:dyaOrig="360">
          <v:shape id="_x0000_i1067" type="#_x0000_t75" style="width:22.5pt;height:18pt" o:ole="">
            <v:imagedata r:id="rId93" o:title=""/>
          </v:shape>
          <o:OLEObject Type="Embed" ProgID="Equation.DSMT4" ShapeID="_x0000_i1067" DrawAspect="Content" ObjectID="_1846526869" r:id="rId94"/>
        </w:object>
      </w:r>
      <w:r w:rsidR="009D506F" w:rsidRPr="00F00CA0">
        <w:rPr>
          <w:rFonts w:ascii="Times New Roman" w:eastAsia="Times New Roman" w:hAnsi="Times New Roman" w:cs="Times New Roman"/>
          <w:color w:val="1F1F1F"/>
        </w:rPr>
        <w:t xml:space="preserve"> emissions per capita) scale the baseline probability of forming trade links.</w:t>
      </w:r>
      <w:r w:rsidRPr="00F00CA0">
        <w:rPr>
          <w:rFonts w:ascii="Times New Roman" w:eastAsia="Times New Roman" w:hAnsi="Times New Roman" w:cs="Times New Roman"/>
          <w:bCs/>
          <w:color w:val="1F1F1F"/>
          <w:bdr w:val="none" w:sz="0" w:space="0" w:color="auto" w:frame="1"/>
        </w:rPr>
        <w:t xml:space="preserve"> Node </w:t>
      </w:r>
      <w:proofErr w:type="gramStart"/>
      <w:r w:rsidRPr="00F00CA0">
        <w:rPr>
          <w:rFonts w:ascii="Times New Roman" w:eastAsia="Times New Roman" w:hAnsi="Times New Roman" w:cs="Times New Roman"/>
          <w:bCs/>
          <w:color w:val="1F1F1F"/>
          <w:bdr w:val="none" w:sz="0" w:space="0" w:color="auto" w:frame="1"/>
        </w:rPr>
        <w:t>Homophily</w:t>
      </w:r>
      <w:proofErr w:type="gramEnd"/>
      <w:r w:rsidRPr="00F00CA0">
        <w:rPr>
          <w:rFonts w:ascii="Times New Roman" w:eastAsia="Times New Roman" w:hAnsi="Times New Roman" w:cs="Times New Roman"/>
          <w:color w:val="1F1F1F"/>
        </w:rPr>
        <w:t xml:space="preserve"> m</w:t>
      </w:r>
      <w:r w:rsidR="009D506F" w:rsidRPr="00F00CA0">
        <w:rPr>
          <w:rFonts w:ascii="Times New Roman" w:eastAsia="Times New Roman" w:hAnsi="Times New Roman" w:cs="Times New Roman"/>
          <w:color w:val="1F1F1F"/>
        </w:rPr>
        <w:t>easures whether states sharing similar developmental or institutional traits trade preferentially with one another.</w:t>
      </w:r>
    </w:p>
    <w:p w:rsidR="00685001" w:rsidRPr="00F00CA0" w:rsidRDefault="00685001"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While the SBM identifies latent structural blocks, we employ Exponential Random Graph Models (ERGMs) to evaluate the dyadic effects of exogenous macroeconomic and environmental attributes (WDI indicators) on the probability of carbon trade tie formation, assuming dyadic independence conditional on the covariates.</w:t>
      </w:r>
    </w:p>
    <w:p w:rsidR="00685001" w:rsidRPr="00F00CA0" w:rsidRDefault="00685001"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probability distribution of the network matrix </w:t>
      </w:r>
      <w:r w:rsidRPr="00F00CA0">
        <w:rPr>
          <w:position w:val="-10"/>
        </w:rPr>
        <w:object w:dxaOrig="220" w:dyaOrig="260">
          <v:shape id="_x0000_i1068" type="#_x0000_t75" style="width:10.5pt;height:13.5pt" o:ole="">
            <v:imagedata r:id="rId95" o:title=""/>
          </v:shape>
          <o:OLEObject Type="Embed" ProgID="Equation.DSMT4" ShapeID="_x0000_i1068" DrawAspect="Content" ObjectID="_1846526870" r:id="rId96"/>
        </w:object>
      </w:r>
      <w:r w:rsidRPr="00F00CA0">
        <w:rPr>
          <w:rFonts w:ascii="Times New Roman" w:eastAsia="Times New Roman" w:hAnsi="Times New Roman" w:cs="Times New Roman"/>
          <w:color w:val="1F1F1F"/>
        </w:rPr>
        <w:t xml:space="preserve"> is expressed as:</w:t>
      </w:r>
    </w:p>
    <w:p w:rsidR="00685001" w:rsidRPr="00F00CA0" w:rsidRDefault="00685001" w:rsidP="00C70D53">
      <w:pPr>
        <w:spacing w:after="0"/>
        <w:ind w:left="-426" w:right="-421"/>
        <w:jc w:val="center"/>
        <w:rPr>
          <w:rFonts w:ascii="Times New Roman" w:eastAsia="Times New Roman" w:hAnsi="Times New Roman" w:cs="Times New Roman"/>
          <w:color w:val="1F1F1F"/>
        </w:rPr>
      </w:pPr>
      <w:r w:rsidRPr="00F00CA0">
        <w:rPr>
          <w:position w:val="-28"/>
        </w:rPr>
        <w:object w:dxaOrig="4800" w:dyaOrig="1040">
          <v:shape id="_x0000_i1069" type="#_x0000_t75" style="width:240pt;height:52.5pt" o:ole="">
            <v:imagedata r:id="rId97" o:title=""/>
          </v:shape>
          <o:OLEObject Type="Embed" ProgID="Equation.DSMT4" ShapeID="_x0000_i1069" DrawAspect="Content" ObjectID="_1846526871" r:id="rId98"/>
        </w:object>
      </w:r>
    </w:p>
    <w:p w:rsidR="00685001" w:rsidRPr="00F00CA0" w:rsidRDefault="00685001"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Where, </w:t>
      </w:r>
      <w:r w:rsidRPr="00F00CA0">
        <w:rPr>
          <w:position w:val="-14"/>
        </w:rPr>
        <w:object w:dxaOrig="859" w:dyaOrig="380">
          <v:shape id="_x0000_i1070" type="#_x0000_t75" style="width:43.5pt;height:19.5pt" o:ole="">
            <v:imagedata r:id="rId99" o:title=""/>
          </v:shape>
          <o:OLEObject Type="Embed" ProgID="Equation.DSMT4" ShapeID="_x0000_i1070" DrawAspect="Content" ObjectID="_1846526872" r:id="rId100"/>
        </w:object>
      </w:r>
      <w:r w:rsidRPr="00F00CA0">
        <w:rPr>
          <w:rFonts w:ascii="Times New Roman" w:eastAsia="Times New Roman" w:hAnsi="Times New Roman" w:cs="Times New Roman"/>
          <w:color w:val="1F1F1F"/>
        </w:rPr>
        <w:t xml:space="preserve"> is the baseline network density </w:t>
      </w:r>
      <w:proofErr w:type="gramStart"/>
      <w:r w:rsidRPr="00F00CA0">
        <w:rPr>
          <w:rFonts w:ascii="Times New Roman" w:eastAsia="Times New Roman" w:hAnsi="Times New Roman" w:cs="Times New Roman"/>
          <w:color w:val="1F1F1F"/>
        </w:rPr>
        <w:t>statistic.</w:t>
      </w:r>
      <w:proofErr w:type="gramEnd"/>
      <w:r w:rsidRPr="00F00CA0">
        <w:rPr>
          <w:rFonts w:ascii="Times New Roman" w:eastAsia="Times New Roman" w:hAnsi="Times New Roman" w:cs="Times New Roman"/>
          <w:color w:val="1F1F1F"/>
        </w:rPr>
        <w:t xml:space="preserve"> </w:t>
      </w:r>
      <w:r w:rsidRPr="00F00CA0">
        <w:rPr>
          <w:position w:val="-12"/>
        </w:rPr>
        <w:object w:dxaOrig="940" w:dyaOrig="360">
          <v:shape id="_x0000_i1071" type="#_x0000_t75" style="width:46.5pt;height:18pt" o:ole="">
            <v:imagedata r:id="rId101" o:title=""/>
          </v:shape>
          <o:OLEObject Type="Embed" ProgID="Equation.DSMT4" ShapeID="_x0000_i1071" DrawAspect="Content" ObjectID="_1846526873" r:id="rId102"/>
        </w:object>
      </w:r>
      <w:r w:rsidR="00520AB5" w:rsidRPr="00F00CA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represents</w:t>
      </w:r>
      <w:proofErr w:type="gramEnd"/>
      <w:r w:rsidRPr="00F00CA0">
        <w:rPr>
          <w:rFonts w:ascii="Times New Roman" w:eastAsia="Times New Roman" w:hAnsi="Times New Roman" w:cs="Times New Roman"/>
          <w:color w:val="1F1F1F"/>
        </w:rPr>
        <w:t xml:space="preserve"> the vector of network statistics mapping the nodal covariates </w:t>
      </w:r>
      <w:r w:rsidRPr="00F00CA0">
        <w:rPr>
          <w:position w:val="-4"/>
        </w:rPr>
        <w:object w:dxaOrig="279" w:dyaOrig="260">
          <v:shape id="_x0000_i1072" type="#_x0000_t75" style="width:13.5pt;height:13.5pt" o:ole="">
            <v:imagedata r:id="rId103" o:title=""/>
          </v:shape>
          <o:OLEObject Type="Embed" ProgID="Equation.DSMT4" ShapeID="_x0000_i1072" DrawAspect="Content" ObjectID="_1846526874" r:id="rId104"/>
        </w:object>
      </w:r>
      <w:r w:rsidRPr="00F00CA0">
        <w:rPr>
          <w:rFonts w:ascii="Times New Roman" w:eastAsia="Times New Roman" w:hAnsi="Times New Roman" w:cs="Times New Roman"/>
          <w:color w:val="1F1F1F"/>
        </w:rPr>
        <w:t xml:space="preserve"> derived from the WDI datasets.</w:t>
      </w:r>
      <w:r w:rsidRPr="00F00CA0">
        <w:rPr>
          <w:position w:val="-12"/>
        </w:rPr>
        <w:object w:dxaOrig="300" w:dyaOrig="360">
          <v:shape id="_x0000_i1073" type="#_x0000_t75" style="width:15pt;height:18pt" o:ole="">
            <v:imagedata r:id="rId105" o:title=""/>
          </v:shape>
          <o:OLEObject Type="Embed" ProgID="Equation.DSMT4" ShapeID="_x0000_i1073" DrawAspect="Content" ObjectID="_1846526875" r:id="rId106"/>
        </w:object>
      </w:r>
      <w:r w:rsidRPr="00F00CA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and</w:t>
      </w:r>
      <w:proofErr w:type="gramEnd"/>
      <w:r w:rsidRPr="00F00CA0">
        <w:rPr>
          <w:rFonts w:ascii="Times New Roman" w:eastAsia="Times New Roman" w:hAnsi="Times New Roman" w:cs="Times New Roman"/>
          <w:color w:val="1F1F1F"/>
        </w:rPr>
        <w:t xml:space="preserve"> </w:t>
      </w:r>
      <w:r w:rsidRPr="00F00CA0">
        <w:rPr>
          <w:position w:val="-12"/>
        </w:rPr>
        <w:object w:dxaOrig="320" w:dyaOrig="360">
          <v:shape id="_x0000_i1074" type="#_x0000_t75" style="width:16.5pt;height:18pt" o:ole="">
            <v:imagedata r:id="rId107" o:title=""/>
          </v:shape>
          <o:OLEObject Type="Embed" ProgID="Equation.DSMT4" ShapeID="_x0000_i1074" DrawAspect="Content" ObjectID="_1846526876" r:id="rId108"/>
        </w:object>
      </w:r>
      <w:r w:rsidRPr="00F00CA0">
        <w:rPr>
          <w:rFonts w:ascii="Times New Roman" w:eastAsia="Times New Roman" w:hAnsi="Times New Roman" w:cs="Times New Roman"/>
          <w:color w:val="1F1F1F"/>
        </w:rPr>
        <w:t xml:space="preserve"> are the estimated coefficients rep</w:t>
      </w:r>
      <w:r w:rsidR="00520AB5" w:rsidRPr="00F00CA0">
        <w:rPr>
          <w:rFonts w:ascii="Times New Roman" w:eastAsia="Times New Roman" w:hAnsi="Times New Roman" w:cs="Times New Roman"/>
          <w:color w:val="1F1F1F"/>
        </w:rPr>
        <w:t xml:space="preserve">resenting the change in the </w:t>
      </w:r>
      <w:r w:rsidRPr="00F00CA0">
        <w:rPr>
          <w:rFonts w:ascii="Times New Roman" w:eastAsia="Times New Roman" w:hAnsi="Times New Roman" w:cs="Times New Roman"/>
          <w:color w:val="1F1F1F"/>
        </w:rPr>
        <w:t>odds of a tie path per unit change in the corresponding network statistic</w:t>
      </w:r>
      <w:r w:rsidR="00520AB5" w:rsidRPr="00F00CA0">
        <w:rPr>
          <w:rFonts w:ascii="Times New Roman" w:eastAsia="Times New Roman" w:hAnsi="Times New Roman" w:cs="Times New Roman"/>
          <w:color w:val="1F1F1F"/>
        </w:rPr>
        <w:t xml:space="preserve"> and </w:t>
      </w:r>
      <w:r w:rsidRPr="00F00CA0">
        <w:rPr>
          <w:position w:val="-10"/>
        </w:rPr>
        <w:object w:dxaOrig="520" w:dyaOrig="320">
          <v:shape id="_x0000_i1075" type="#_x0000_t75" style="width:25.5pt;height:16.5pt" o:ole="">
            <v:imagedata r:id="rId109" o:title=""/>
          </v:shape>
          <o:OLEObject Type="Embed" ProgID="Equation.DSMT4" ShapeID="_x0000_i1075" DrawAspect="Content" ObjectID="_1846526877" r:id="rId110"/>
        </w:object>
      </w:r>
      <w:r w:rsidRPr="00F00CA0">
        <w:rPr>
          <w:rFonts w:ascii="Times New Roman" w:eastAsia="Times New Roman" w:hAnsi="Times New Roman" w:cs="Times New Roman"/>
          <w:color w:val="1F1F1F"/>
        </w:rPr>
        <w:t xml:space="preserve"> is the normalizing constant calculated via Maximum Likelihood Estimation (MLE).</w:t>
      </w:r>
    </w:p>
    <w:p w:rsidR="00685001" w:rsidRPr="00F00CA0" w:rsidRDefault="00685001"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model is strictly constrained to baseline density and continuous nodal attribute effects, </w:t>
      </w:r>
      <w:r w:rsidRPr="00F00CA0">
        <w:rPr>
          <w:rFonts w:ascii="Times New Roman" w:eastAsia="Times New Roman" w:hAnsi="Times New Roman" w:cs="Times New Roman"/>
          <w:bCs/>
          <w:color w:val="1F1F1F"/>
          <w:bdr w:val="none" w:sz="0" w:space="0" w:color="auto" w:frame="1"/>
        </w:rPr>
        <w:t>Edges</w:t>
      </w:r>
      <w:r w:rsidRPr="00F00CA0">
        <w:rPr>
          <w:rFonts w:ascii="Times New Roman" w:eastAsia="Times New Roman" w:hAnsi="Times New Roman" w:cs="Times New Roman"/>
          <w:b/>
          <w:bCs/>
          <w:color w:val="1F1F1F"/>
          <w:bdr w:val="none" w:sz="0" w:space="0" w:color="auto" w:frame="1"/>
        </w:rPr>
        <w:t xml:space="preserve"> </w:t>
      </w:r>
      <w:r w:rsidRPr="00F00CA0">
        <w:rPr>
          <w:rFonts w:ascii="Times New Roman" w:eastAsia="Times New Roman" w:hAnsi="Times New Roman" w:cs="Times New Roman"/>
          <w:color w:val="1F1F1F"/>
        </w:rPr>
        <w:t>captures the underlying propensity of nations to form carbon trade ties across the network, defined as:</w:t>
      </w:r>
    </w:p>
    <w:p w:rsidR="00685001" w:rsidRPr="00F00CA0" w:rsidRDefault="00685001" w:rsidP="00C70D53">
      <w:pPr>
        <w:spacing w:before="240" w:after="0"/>
        <w:ind w:left="-426" w:right="-421"/>
        <w:jc w:val="center"/>
      </w:pPr>
      <w:r w:rsidRPr="00F00CA0">
        <w:rPr>
          <w:position w:val="-30"/>
        </w:rPr>
        <w:object w:dxaOrig="1640" w:dyaOrig="560">
          <v:shape id="_x0000_i1076" type="#_x0000_t75" style="width:82.5pt;height:28.5pt" o:ole="">
            <v:imagedata r:id="rId111" o:title=""/>
          </v:shape>
          <o:OLEObject Type="Embed" ProgID="Equation.DSMT4" ShapeID="_x0000_i1076" DrawAspect="Content" ObjectID="_1846526878" r:id="rId112"/>
        </w:object>
      </w:r>
    </w:p>
    <w:p w:rsidR="00685001" w:rsidRPr="00F00CA0" w:rsidRDefault="00685001" w:rsidP="00C70D53">
      <w:pPr>
        <w:pStyle w:val="NormalWeb"/>
        <w:spacing w:before="0" w:beforeAutospacing="0" w:line="276" w:lineRule="auto"/>
        <w:ind w:left="-426" w:right="-421"/>
        <w:jc w:val="both"/>
        <w:rPr>
          <w:sz w:val="22"/>
          <w:szCs w:val="22"/>
        </w:rPr>
      </w:pPr>
      <w:r w:rsidRPr="00F00CA0">
        <w:rPr>
          <w:bCs/>
          <w:sz w:val="22"/>
          <w:szCs w:val="22"/>
        </w:rPr>
        <w:t>Nodal Absolute Difference (</w:t>
      </w:r>
      <w:proofErr w:type="spellStart"/>
      <w:r w:rsidRPr="00F00CA0">
        <w:rPr>
          <w:rStyle w:val="HTMLCode"/>
          <w:rFonts w:ascii="Times New Roman" w:hAnsi="Times New Roman" w:cs="Times New Roman"/>
          <w:bCs/>
          <w:sz w:val="22"/>
          <w:szCs w:val="22"/>
        </w:rPr>
        <w:t>absdiff</w:t>
      </w:r>
      <w:proofErr w:type="spellEnd"/>
      <w:r w:rsidRPr="00F00CA0">
        <w:rPr>
          <w:bCs/>
          <w:sz w:val="22"/>
          <w:szCs w:val="22"/>
        </w:rPr>
        <w:t>)</w:t>
      </w:r>
      <w:r w:rsidRPr="00F00CA0">
        <w:rPr>
          <w:sz w:val="22"/>
          <w:szCs w:val="22"/>
        </w:rPr>
        <w:t xml:space="preserve"> evaluates </w:t>
      </w:r>
      <w:r w:rsidR="009F6326" w:rsidRPr="00F00CA0">
        <w:rPr>
          <w:sz w:val="22"/>
          <w:szCs w:val="22"/>
        </w:rPr>
        <w:t>world</w:t>
      </w:r>
      <w:r w:rsidRPr="00F00CA0">
        <w:rPr>
          <w:sz w:val="22"/>
          <w:szCs w:val="22"/>
        </w:rPr>
        <w:t xml:space="preserve"> development homophily using </w:t>
      </w:r>
      <w:r w:rsidR="008643FB" w:rsidRPr="00F00CA0">
        <w:rPr>
          <w:sz w:val="22"/>
          <w:szCs w:val="22"/>
        </w:rPr>
        <w:t>WDIs</w:t>
      </w:r>
      <w:r w:rsidRPr="00F00CA0">
        <w:rPr>
          <w:sz w:val="22"/>
          <w:szCs w:val="22"/>
        </w:rPr>
        <w:t>. It tests if a narrowing gap between a pair of nations alters link probability:</w:t>
      </w:r>
    </w:p>
    <w:p w:rsidR="00685001" w:rsidRPr="00F00CA0" w:rsidRDefault="00850FA5" w:rsidP="00C70D53">
      <w:pPr>
        <w:spacing w:after="0"/>
        <w:ind w:left="-426" w:right="-421"/>
        <w:jc w:val="center"/>
      </w:pPr>
      <w:r w:rsidRPr="00F00CA0">
        <w:rPr>
          <w:position w:val="-30"/>
        </w:rPr>
        <w:object w:dxaOrig="4140" w:dyaOrig="580">
          <v:shape id="_x0000_i1077" type="#_x0000_t75" style="width:207pt;height:28.5pt" o:ole="">
            <v:imagedata r:id="rId113" o:title=""/>
          </v:shape>
          <o:OLEObject Type="Embed" ProgID="Equation.DSMT4" ShapeID="_x0000_i1077" DrawAspect="Content" ObjectID="_1846526879" r:id="rId114"/>
        </w:object>
      </w:r>
    </w:p>
    <w:p w:rsidR="00685001" w:rsidRPr="00F00CA0" w:rsidRDefault="00685001" w:rsidP="00C70D53">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bCs/>
        </w:rPr>
        <w:t>Nodal Activity Covariates (</w:t>
      </w:r>
      <w:proofErr w:type="spellStart"/>
      <w:r w:rsidRPr="00F00CA0">
        <w:rPr>
          <w:rFonts w:ascii="Times New Roman" w:eastAsia="Times New Roman" w:hAnsi="Times New Roman" w:cs="Times New Roman"/>
          <w:bCs/>
        </w:rPr>
        <w:t>nodecov</w:t>
      </w:r>
      <w:proofErr w:type="spellEnd"/>
      <w:r w:rsidRPr="00F00CA0">
        <w:rPr>
          <w:rFonts w:ascii="Times New Roman" w:eastAsia="Times New Roman" w:hAnsi="Times New Roman" w:cs="Times New Roman"/>
          <w:bCs/>
        </w:rPr>
        <w:t>)</w:t>
      </w:r>
      <w:r w:rsidR="009F6326" w:rsidRPr="00F00CA0">
        <w:rPr>
          <w:rFonts w:ascii="Times New Roman" w:eastAsia="Times New Roman" w:hAnsi="Times New Roman" w:cs="Times New Roman"/>
          <w:bCs/>
        </w:rPr>
        <w:t xml:space="preserve"> e</w:t>
      </w:r>
      <w:r w:rsidRPr="00F00CA0">
        <w:rPr>
          <w:rFonts w:ascii="Times New Roman" w:eastAsia="Times New Roman" w:hAnsi="Times New Roman" w:cs="Times New Roman"/>
        </w:rPr>
        <w:t>valuates whether the absolute scale of a nation's attributes alters its overall propensity to engage in (either send or receive) carbon trade ties. This structural function is applied to environmental footprints (Total Greenhouse Gases,</w:t>
      </w:r>
      <w:r w:rsidRPr="00F00CA0">
        <w:t xml:space="preserve"> </w:t>
      </w:r>
      <w:r w:rsidRPr="00F00CA0">
        <w:rPr>
          <w:rFonts w:ascii="Times New Roman" w:hAnsi="Times New Roman" w:cs="Times New Roman"/>
        </w:rPr>
        <w:t>GHG</w:t>
      </w:r>
      <w:r w:rsidRPr="00F00CA0">
        <w:rPr>
          <w:rFonts w:ascii="Times New Roman" w:eastAsia="Times New Roman" w:hAnsi="Times New Roman" w:cs="Times New Roman"/>
        </w:rPr>
        <w:t>), baseline global economic integration (Merchandise Trade as a % of GDP), and domestic green infrastructure (Renewable Energy Consumption as a % of total energy), etc.:</w:t>
      </w:r>
    </w:p>
    <w:p w:rsidR="00685001" w:rsidRPr="00F00CA0" w:rsidRDefault="00685001" w:rsidP="00C70D53">
      <w:pPr>
        <w:spacing w:beforeAutospacing="1" w:after="0"/>
        <w:ind w:left="-426" w:right="-421"/>
        <w:jc w:val="center"/>
        <w:rPr>
          <w:rFonts w:ascii="Times New Roman" w:eastAsia="Times New Roman" w:hAnsi="Times New Roman" w:cs="Times New Roman"/>
          <w:color w:val="1F1F1F"/>
        </w:rPr>
      </w:pPr>
      <w:r w:rsidRPr="00F00CA0">
        <w:rPr>
          <w:position w:val="-30"/>
        </w:rPr>
        <w:object w:dxaOrig="3960" w:dyaOrig="560">
          <v:shape id="_x0000_i1078" type="#_x0000_t75" style="width:198pt;height:28.5pt" o:ole="">
            <v:imagedata r:id="rId115" o:title=""/>
          </v:shape>
          <o:OLEObject Type="Embed" ProgID="Equation.DSMT4" ShapeID="_x0000_i1078" DrawAspect="Content" ObjectID="_1846526880" r:id="rId116"/>
        </w:object>
      </w:r>
    </w:p>
    <w:p w:rsidR="00685001" w:rsidRPr="00F00CA0" w:rsidRDefault="00685001" w:rsidP="00C70D53">
      <w:pPr>
        <w:spacing w:before="100" w:beforeAutospacing="1"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By using only edges, </w:t>
      </w:r>
      <w:proofErr w:type="spellStart"/>
      <w:r w:rsidRPr="00F00CA0">
        <w:rPr>
          <w:rFonts w:ascii="Times New Roman" w:eastAsia="Times New Roman" w:hAnsi="Times New Roman" w:cs="Times New Roman"/>
          <w:color w:val="1F1F1F"/>
        </w:rPr>
        <w:t>nodecov</w:t>
      </w:r>
      <w:proofErr w:type="spellEnd"/>
      <w:r w:rsidRPr="00F00CA0">
        <w:rPr>
          <w:rFonts w:ascii="Times New Roman" w:eastAsia="Times New Roman" w:hAnsi="Times New Roman" w:cs="Times New Roman"/>
          <w:color w:val="1F1F1F"/>
        </w:rPr>
        <w:t xml:space="preserve">, and </w:t>
      </w:r>
      <w:proofErr w:type="spellStart"/>
      <w:r w:rsidRPr="00F00CA0">
        <w:rPr>
          <w:rFonts w:ascii="Times New Roman" w:eastAsia="Times New Roman" w:hAnsi="Times New Roman" w:cs="Times New Roman"/>
          <w:color w:val="1F1F1F"/>
        </w:rPr>
        <w:t>absdiff</w:t>
      </w:r>
      <w:proofErr w:type="spellEnd"/>
      <w:r w:rsidRPr="00F00CA0">
        <w:rPr>
          <w:rFonts w:ascii="Times New Roman" w:eastAsia="Times New Roman" w:hAnsi="Times New Roman" w:cs="Times New Roman"/>
          <w:color w:val="1F1F1F"/>
        </w:rPr>
        <w:t xml:space="preserve">, your model is mathematically immune to </w:t>
      </w:r>
      <w:r w:rsidRPr="00F00CA0">
        <w:rPr>
          <w:rFonts w:ascii="Times New Roman" w:eastAsia="Times New Roman" w:hAnsi="Times New Roman" w:cs="Times New Roman"/>
          <w:bCs/>
          <w:color w:val="1F1F1F"/>
          <w:bdr w:val="none" w:sz="0" w:space="0" w:color="auto" w:frame="1"/>
        </w:rPr>
        <w:t>model degeneration</w:t>
      </w:r>
      <w:r w:rsidRPr="00F00CA0">
        <w:rPr>
          <w:rFonts w:ascii="Times New Roman" w:eastAsia="Times New Roman" w:hAnsi="Times New Roman" w:cs="Times New Roman"/>
          <w:color w:val="1F1F1F"/>
        </w:rPr>
        <w:t xml:space="preserve"> (a common problem where </w:t>
      </w:r>
      <w:proofErr w:type="spellStart"/>
      <w:r w:rsidRPr="00F00CA0">
        <w:rPr>
          <w:rFonts w:ascii="Times New Roman" w:eastAsia="Times New Roman" w:hAnsi="Times New Roman" w:cs="Times New Roman"/>
          <w:color w:val="1F1F1F"/>
        </w:rPr>
        <w:t>gwesp</w:t>
      </w:r>
      <w:proofErr w:type="spellEnd"/>
      <w:r w:rsidRPr="00F00CA0">
        <w:rPr>
          <w:rFonts w:ascii="Times New Roman" w:eastAsia="Times New Roman" w:hAnsi="Times New Roman" w:cs="Times New Roman"/>
          <w:color w:val="1F1F1F"/>
        </w:rPr>
        <w:t xml:space="preserve"> or mutual cause the MCMC algorithm to blow up). Your model will estimate incredibly fast, and the coefficients can be interpreted directly.</w:t>
      </w:r>
    </w:p>
    <w:p w:rsidR="009D506F" w:rsidRPr="00F00CA0" w:rsidRDefault="009D506F" w:rsidP="00C70D53">
      <w:pPr>
        <w:spacing w:after="0"/>
        <w:ind w:right="-421"/>
        <w:rPr>
          <w:rFonts w:ascii="Times New Roman" w:eastAsia="Times New Roman" w:hAnsi="Times New Roman" w:cs="Times New Roman"/>
          <w:color w:val="1F1F1F"/>
        </w:rPr>
      </w:pPr>
    </w:p>
    <w:p w:rsidR="0062054D" w:rsidRPr="00F00CA0" w:rsidRDefault="009F6326" w:rsidP="00C70D53">
      <w:pPr>
        <w:spacing w:before="100" w:beforeAutospacing="1" w:after="100" w:afterAutospacing="1"/>
        <w:ind w:left="-426" w:right="-421"/>
        <w:outlineLvl w:val="1"/>
        <w:rPr>
          <w:rFonts w:ascii="Times New Roman" w:eastAsia="Times New Roman" w:hAnsi="Times New Roman" w:cs="Times New Roman"/>
          <w:b/>
          <w:bCs/>
        </w:rPr>
      </w:pPr>
      <w:r w:rsidRPr="00F00CA0">
        <w:rPr>
          <w:rFonts w:ascii="Times New Roman" w:eastAsia="Times New Roman" w:hAnsi="Times New Roman" w:cs="Times New Roman"/>
          <w:b/>
          <w:bCs/>
        </w:rPr>
        <w:t>3.2.3</w:t>
      </w:r>
      <w:r w:rsidR="0062054D" w:rsidRPr="00F00CA0">
        <w:rPr>
          <w:rFonts w:ascii="Times New Roman" w:eastAsia="Times New Roman" w:hAnsi="Times New Roman" w:cs="Times New Roman"/>
          <w:b/>
          <w:bCs/>
        </w:rPr>
        <w:t xml:space="preserve"> Stochastic Block Models (SBMs)</w:t>
      </w:r>
    </w:p>
    <w:p w:rsidR="00DE6984" w:rsidRPr="00F00CA0" w:rsidRDefault="0062054D" w:rsidP="00C70D53">
      <w:pPr>
        <w:spacing w:after="0"/>
        <w:ind w:left="-426" w:right="-421"/>
        <w:jc w:val="both"/>
        <w:rPr>
          <w:rFonts w:ascii="Times New Roman" w:eastAsia="Times New Roman" w:hAnsi="Times New Roman" w:cs="Times New Roman"/>
        </w:rPr>
      </w:pPr>
      <w:r w:rsidRPr="00F00CA0">
        <w:rPr>
          <w:rFonts w:ascii="Times New Roman" w:eastAsia="Times New Roman" w:hAnsi="Times New Roman" w:cs="Times New Roman"/>
        </w:rPr>
        <w:t xml:space="preserve">To map the global hierarchical architecture and identify structural roles within the market, we implement a Stochastic Block Model (SBM) for each annual network snapshot. The SBM assumes that the </w:t>
      </w:r>
      <w:r w:rsidRPr="00F00CA0">
        <w:rPr>
          <w:rFonts w:ascii="Times New Roman" w:hAnsi="Times New Roman" w:cs="Times New Roman"/>
          <w:position w:val="-6"/>
        </w:rPr>
        <w:object w:dxaOrig="200" w:dyaOrig="220">
          <v:shape id="_x0000_i1079" type="#_x0000_t75" style="width:10.5pt;height:10.5pt" o:ole="">
            <v:imagedata r:id="rId117" o:title=""/>
          </v:shape>
          <o:OLEObject Type="Embed" ProgID="Equation.DSMT4" ShapeID="_x0000_i1079" DrawAspect="Content" ObjectID="_1846526881" r:id="rId118"/>
        </w:object>
      </w:r>
      <w:r w:rsidRPr="00F00CA0">
        <w:rPr>
          <w:rFonts w:ascii="Times New Roman" w:eastAsia="Times New Roman" w:hAnsi="Times New Roman" w:cs="Times New Roman"/>
        </w:rPr>
        <w:t xml:space="preserve"> nations can be partitioned into </w:t>
      </w:r>
      <w:r w:rsidRPr="00F00CA0">
        <w:rPr>
          <w:rFonts w:ascii="Times New Roman" w:hAnsi="Times New Roman" w:cs="Times New Roman"/>
          <w:position w:val="-10"/>
        </w:rPr>
        <w:object w:dxaOrig="240" w:dyaOrig="320">
          <v:shape id="_x0000_i1080" type="#_x0000_t75" style="width:12pt;height:16.5pt" o:ole="">
            <v:imagedata r:id="rId119" o:title=""/>
          </v:shape>
          <o:OLEObject Type="Embed" ProgID="Equation.DSMT4" ShapeID="_x0000_i1080" DrawAspect="Content" ObjectID="_1846526882" r:id="rId120"/>
        </w:object>
      </w:r>
      <w:r w:rsidRPr="00F00CA0">
        <w:rPr>
          <w:rFonts w:ascii="Times New Roman" w:eastAsia="Times New Roman" w:hAnsi="Times New Roman" w:cs="Times New Roman"/>
        </w:rPr>
        <w:t xml:space="preserve"> latent, unobserved structural classes, where the probability of a link forming between country </w:t>
      </w:r>
      <w:r w:rsidRPr="00F00CA0">
        <w:rPr>
          <w:rFonts w:ascii="Times New Roman" w:hAnsi="Times New Roman" w:cs="Times New Roman"/>
          <w:position w:val="-6"/>
        </w:rPr>
        <w:object w:dxaOrig="139" w:dyaOrig="260">
          <v:shape id="_x0000_i1081" type="#_x0000_t75" style="width:7.5pt;height:13.5pt" o:ole="">
            <v:imagedata r:id="rId121" o:title=""/>
          </v:shape>
          <o:OLEObject Type="Embed" ProgID="Equation.DSMT4" ShapeID="_x0000_i1081" DrawAspect="Content" ObjectID="_1846526883" r:id="rId122"/>
        </w:object>
      </w:r>
      <w:r w:rsidRPr="00F00CA0">
        <w:rPr>
          <w:rFonts w:ascii="Times New Roman" w:eastAsia="Times New Roman" w:hAnsi="Times New Roman" w:cs="Times New Roman"/>
        </w:rPr>
        <w:t xml:space="preserve"> and country </w:t>
      </w:r>
      <w:r w:rsidRPr="00F00CA0">
        <w:rPr>
          <w:rFonts w:ascii="Times New Roman" w:hAnsi="Times New Roman" w:cs="Times New Roman"/>
          <w:position w:val="-10"/>
        </w:rPr>
        <w:object w:dxaOrig="200" w:dyaOrig="300">
          <v:shape id="_x0000_i1082" type="#_x0000_t75" style="width:10.5pt;height:15pt" o:ole="">
            <v:imagedata r:id="rId123" o:title=""/>
          </v:shape>
          <o:OLEObject Type="Embed" ProgID="Equation.DSMT4" ShapeID="_x0000_i1082" DrawAspect="Content" ObjectID="_1846526884" r:id="rId124"/>
        </w:object>
      </w:r>
      <w:r w:rsidRPr="00F00CA0">
        <w:rPr>
          <w:rFonts w:ascii="Times New Roman" w:eastAsia="Times New Roman" w:hAnsi="Times New Roman" w:cs="Times New Roman"/>
        </w:rPr>
        <w:t xml:space="preserve"> depends exclusively on their group assignments. </w:t>
      </w:r>
      <w:r w:rsidR="00DE6984" w:rsidRPr="00F00CA0">
        <w:rPr>
          <w:rFonts w:ascii="Times New Roman" w:eastAsia="Times New Roman" w:hAnsi="Times New Roman" w:cs="Times New Roman"/>
          <w:color w:val="1F1F1F"/>
        </w:rPr>
        <w:t xml:space="preserve">Let </w:t>
      </w:r>
      <w:r w:rsidR="00DE6984" w:rsidRPr="00F00CA0">
        <w:rPr>
          <w:rFonts w:ascii="Times New Roman" w:hAnsi="Times New Roman" w:cs="Times New Roman"/>
          <w:position w:val="-12"/>
        </w:rPr>
        <w:object w:dxaOrig="260" w:dyaOrig="360">
          <v:shape id="_x0000_i1083" type="#_x0000_t75" style="width:13.5pt;height:18pt" o:ole="">
            <v:imagedata r:id="rId125" o:title=""/>
          </v:shape>
          <o:OLEObject Type="Embed" ProgID="Equation.DSMT4" ShapeID="_x0000_i1083" DrawAspect="Content" ObjectID="_1846526885" r:id="rId126"/>
        </w:object>
      </w:r>
      <w:r w:rsidR="00DE6984" w:rsidRPr="00F00CA0">
        <w:rPr>
          <w:rFonts w:ascii="Times New Roman" w:eastAsia="Times New Roman" w:hAnsi="Times New Roman" w:cs="Times New Roman"/>
          <w:color w:val="1F1F1F"/>
        </w:rPr>
        <w:t xml:space="preserve"> represent the </w:t>
      </w:r>
      <w:r w:rsidR="00DE6984" w:rsidRPr="00F00CA0">
        <w:rPr>
          <w:rFonts w:ascii="Times New Roman" w:hAnsi="Times New Roman" w:cs="Times New Roman"/>
          <w:position w:val="-10"/>
        </w:rPr>
        <w:object w:dxaOrig="240" w:dyaOrig="320">
          <v:shape id="_x0000_i1084" type="#_x0000_t75" style="width:12pt;height:16.5pt" o:ole="">
            <v:imagedata r:id="rId127" o:title=""/>
          </v:shape>
          <o:OLEObject Type="Embed" ProgID="Equation.DSMT4" ShapeID="_x0000_i1084" DrawAspect="Content" ObjectID="_1846526886" r:id="rId128"/>
        </w:object>
      </w:r>
      <w:r w:rsidR="00DE6984" w:rsidRPr="00F00CA0">
        <w:rPr>
          <w:rFonts w:ascii="Times New Roman" w:eastAsia="Times New Roman" w:hAnsi="Times New Roman" w:cs="Times New Roman"/>
          <w:color w:val="1F1F1F"/>
        </w:rPr>
        <w:t>-dimensional indicator vector for node</w:t>
      </w:r>
      <w:r w:rsidR="00DE6984" w:rsidRPr="00F00CA0">
        <w:rPr>
          <w:rFonts w:ascii="Times New Roman" w:hAnsi="Times New Roman" w:cs="Times New Roman"/>
          <w:position w:val="-6"/>
        </w:rPr>
        <w:object w:dxaOrig="139" w:dyaOrig="260">
          <v:shape id="_x0000_i1085" type="#_x0000_t75" style="width:7.5pt;height:13.5pt" o:ole="">
            <v:imagedata r:id="rId129" o:title=""/>
          </v:shape>
          <o:OLEObject Type="Embed" ProgID="Equation.DSMT4" ShapeID="_x0000_i1085" DrawAspect="Content" ObjectID="_1846526887" r:id="rId130"/>
        </w:object>
      </w:r>
      <w:r w:rsidR="00DE6984" w:rsidRPr="00F00CA0">
        <w:rPr>
          <w:rFonts w:ascii="Times New Roman" w:eastAsia="Times New Roman" w:hAnsi="Times New Roman" w:cs="Times New Roman"/>
          <w:color w:val="1F1F1F"/>
        </w:rPr>
        <w:t xml:space="preserve">, such that </w:t>
      </w:r>
      <w:r w:rsidR="00DE6984" w:rsidRPr="00F00CA0">
        <w:rPr>
          <w:rFonts w:ascii="Times New Roman" w:hAnsi="Times New Roman" w:cs="Times New Roman"/>
          <w:position w:val="-14"/>
        </w:rPr>
        <w:object w:dxaOrig="680" w:dyaOrig="380">
          <v:shape id="_x0000_i1086" type="#_x0000_t75" style="width:34.5pt;height:19.5pt" o:ole="">
            <v:imagedata r:id="rId131" o:title=""/>
          </v:shape>
          <o:OLEObject Type="Embed" ProgID="Equation.DSMT4" ShapeID="_x0000_i1086" DrawAspect="Content" ObjectID="_1846526888" r:id="rId132"/>
        </w:object>
      </w:r>
      <w:r w:rsidR="00DE6984" w:rsidRPr="00F00CA0">
        <w:rPr>
          <w:rFonts w:ascii="Times New Roman" w:eastAsia="Times New Roman" w:hAnsi="Times New Roman" w:cs="Times New Roman"/>
          <w:color w:val="1F1F1F"/>
        </w:rPr>
        <w:t xml:space="preserve"> if node </w:t>
      </w:r>
      <w:r w:rsidR="00DE6984" w:rsidRPr="00F00CA0">
        <w:rPr>
          <w:rFonts w:ascii="Times New Roman" w:hAnsi="Times New Roman" w:cs="Times New Roman"/>
          <w:position w:val="-6"/>
        </w:rPr>
        <w:object w:dxaOrig="139" w:dyaOrig="260">
          <v:shape id="_x0000_i1087" type="#_x0000_t75" style="width:7.5pt;height:13.5pt" o:ole="">
            <v:imagedata r:id="rId133" o:title=""/>
          </v:shape>
          <o:OLEObject Type="Embed" ProgID="Equation.DSMT4" ShapeID="_x0000_i1087" DrawAspect="Content" ObjectID="_1846526889" r:id="rId134"/>
        </w:object>
      </w:r>
      <w:r w:rsidR="00DE6984" w:rsidRPr="00F00CA0">
        <w:rPr>
          <w:rFonts w:ascii="Times New Roman" w:eastAsia="Times New Roman" w:hAnsi="Times New Roman" w:cs="Times New Roman"/>
          <w:color w:val="1F1F1F"/>
        </w:rPr>
        <w:t xml:space="preserve"> belongs to latent </w:t>
      </w:r>
      <w:proofErr w:type="gramStart"/>
      <w:r w:rsidR="00DE6984" w:rsidRPr="00F00CA0">
        <w:rPr>
          <w:rFonts w:ascii="Times New Roman" w:eastAsia="Times New Roman" w:hAnsi="Times New Roman" w:cs="Times New Roman"/>
          <w:color w:val="1F1F1F"/>
        </w:rPr>
        <w:t xml:space="preserve">community </w:t>
      </w:r>
      <w:proofErr w:type="gramEnd"/>
      <w:r w:rsidR="00DE6984" w:rsidRPr="00F00CA0">
        <w:rPr>
          <w:rFonts w:ascii="Times New Roman" w:hAnsi="Times New Roman" w:cs="Times New Roman"/>
          <w:position w:val="-10"/>
        </w:rPr>
        <w:object w:dxaOrig="200" w:dyaOrig="260">
          <v:shape id="_x0000_i1088" type="#_x0000_t75" style="width:10.5pt;height:13.5pt" o:ole="">
            <v:imagedata r:id="rId135" o:title=""/>
          </v:shape>
          <o:OLEObject Type="Embed" ProgID="Equation.DSMT4" ShapeID="_x0000_i1088" DrawAspect="Content" ObjectID="_1846526890" r:id="rId136"/>
        </w:object>
      </w:r>
      <w:r w:rsidR="00DE6984" w:rsidRPr="00F00CA0">
        <w:rPr>
          <w:rFonts w:ascii="Times New Roman" w:eastAsia="Times New Roman" w:hAnsi="Times New Roman" w:cs="Times New Roman"/>
          <w:color w:val="1F1F1F"/>
        </w:rPr>
        <w:t xml:space="preserve">, and </w:t>
      </w:r>
      <w:r w:rsidR="00DE6984" w:rsidRPr="00F00CA0">
        <w:rPr>
          <w:rFonts w:ascii="Times New Roman" w:hAnsi="Times New Roman" w:cs="Times New Roman"/>
          <w:position w:val="-6"/>
        </w:rPr>
        <w:object w:dxaOrig="200" w:dyaOrig="279">
          <v:shape id="_x0000_i1089" type="#_x0000_t75" style="width:10.5pt;height:13.5pt" o:ole="">
            <v:imagedata r:id="rId137" o:title=""/>
          </v:shape>
          <o:OLEObject Type="Embed" ProgID="Equation.DSMT4" ShapeID="_x0000_i1089" DrawAspect="Content" ObjectID="_1846526891" r:id="rId138"/>
        </w:object>
      </w:r>
      <w:r w:rsidR="00DE6984" w:rsidRPr="00F00CA0">
        <w:rPr>
          <w:rFonts w:ascii="Times New Roman" w:eastAsia="Times New Roman" w:hAnsi="Times New Roman" w:cs="Times New Roman"/>
          <w:color w:val="1F1F1F"/>
        </w:rPr>
        <w:t xml:space="preserve"> otherwise. Conditional on the latent group </w:t>
      </w:r>
      <w:proofErr w:type="gramStart"/>
      <w:r w:rsidR="00DE6984" w:rsidRPr="00F00CA0">
        <w:rPr>
          <w:rFonts w:ascii="Times New Roman" w:eastAsia="Times New Roman" w:hAnsi="Times New Roman" w:cs="Times New Roman"/>
          <w:color w:val="1F1F1F"/>
        </w:rPr>
        <w:t>memberships</w:t>
      </w:r>
      <w:r w:rsidRPr="00F00CA0">
        <w:rPr>
          <w:rFonts w:ascii="Times New Roman" w:hAnsi="Times New Roman" w:cs="Times New Roman"/>
        </w:rPr>
        <w:t xml:space="preserve"> </w:t>
      </w:r>
      <w:proofErr w:type="gramEnd"/>
      <w:r w:rsidR="00DE6984" w:rsidRPr="00F00CA0">
        <w:rPr>
          <w:rFonts w:ascii="Times New Roman" w:hAnsi="Times New Roman" w:cs="Times New Roman"/>
          <w:position w:val="-4"/>
        </w:rPr>
        <w:object w:dxaOrig="240" w:dyaOrig="260">
          <v:shape id="_x0000_i1090" type="#_x0000_t75" style="width:12pt;height:13.5pt" o:ole="">
            <v:imagedata r:id="rId139" o:title=""/>
          </v:shape>
          <o:OLEObject Type="Embed" ProgID="Equation.DSMT4" ShapeID="_x0000_i1090" DrawAspect="Content" ObjectID="_1846526892" r:id="rId140"/>
        </w:object>
      </w:r>
      <w:r w:rsidR="00DE6984" w:rsidRPr="00F00CA0">
        <w:rPr>
          <w:rFonts w:ascii="Times New Roman" w:eastAsia="Times New Roman" w:hAnsi="Times New Roman" w:cs="Times New Roman"/>
          <w:color w:val="1F1F1F"/>
        </w:rPr>
        <w:t xml:space="preserve">, the directed edge variables </w:t>
      </w:r>
      <w:r w:rsidR="00DE6984" w:rsidRPr="00F00CA0">
        <w:rPr>
          <w:rFonts w:ascii="Times New Roman" w:hAnsi="Times New Roman" w:cs="Times New Roman"/>
          <w:position w:val="-14"/>
        </w:rPr>
        <w:object w:dxaOrig="260" w:dyaOrig="380">
          <v:shape id="_x0000_i1091" type="#_x0000_t75" style="width:13.5pt;height:19.5pt" o:ole="">
            <v:imagedata r:id="rId141" o:title=""/>
          </v:shape>
          <o:OLEObject Type="Embed" ProgID="Equation.DSMT4" ShapeID="_x0000_i1091" DrawAspect="Content" ObjectID="_1846526893" r:id="rId142"/>
        </w:object>
      </w:r>
      <w:r w:rsidR="00DE6984" w:rsidRPr="00F00CA0">
        <w:rPr>
          <w:rFonts w:ascii="Times New Roman" w:eastAsia="Times New Roman" w:hAnsi="Times New Roman" w:cs="Times New Roman"/>
          <w:color w:val="1F1F1F"/>
        </w:rPr>
        <w:t xml:space="preserve"> are modeled as independent Bernoulli random variables:</w:t>
      </w:r>
    </w:p>
    <w:p w:rsidR="00DE6984" w:rsidRPr="00F00CA0" w:rsidRDefault="00DE6984" w:rsidP="00C70D53">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14"/>
        </w:rPr>
        <w:object w:dxaOrig="3460" w:dyaOrig="380">
          <v:shape id="_x0000_i1092" type="#_x0000_t75" style="width:172.5pt;height:19.5pt" o:ole="">
            <v:imagedata r:id="rId143" o:title=""/>
          </v:shape>
          <o:OLEObject Type="Embed" ProgID="Equation.DSMT4" ShapeID="_x0000_i1092" DrawAspect="Content" ObjectID="_1846526894" r:id="rId144"/>
        </w:object>
      </w:r>
    </w:p>
    <w:p w:rsidR="00DE6984" w:rsidRPr="00F00CA0" w:rsidRDefault="00DE6984" w:rsidP="00C70D53">
      <w:pPr>
        <w:spacing w:after="0"/>
        <w:ind w:left="-426" w:right="-421"/>
        <w:jc w:val="both"/>
        <w:rPr>
          <w:rFonts w:ascii="Times New Roman" w:eastAsia="Times New Roman" w:hAnsi="Times New Roman" w:cs="Times New Roman"/>
          <w:color w:val="1F1F1F"/>
        </w:rPr>
      </w:pPr>
    </w:p>
    <w:p w:rsidR="00DE6984" w:rsidRDefault="00DE6984"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Where </w:t>
      </w:r>
      <w:r w:rsidRPr="00F00CA0">
        <w:rPr>
          <w:rFonts w:ascii="Times New Roman" w:hAnsi="Times New Roman" w:cs="Times New Roman"/>
          <w:position w:val="-4"/>
        </w:rPr>
        <w:object w:dxaOrig="260" w:dyaOrig="240">
          <v:shape id="_x0000_i1093" type="#_x0000_t75" style="width:13.5pt;height:12pt" o:ole="">
            <v:imagedata r:id="rId145" o:title=""/>
          </v:shape>
          <o:OLEObject Type="Embed" ProgID="Equation.DSMT4" ShapeID="_x0000_i1093" DrawAspect="Content" ObjectID="_1846526895" r:id="rId146"/>
        </w:object>
      </w:r>
      <w:r w:rsidRPr="00F00CA0">
        <w:rPr>
          <w:rFonts w:ascii="Times New Roman" w:eastAsia="Times New Roman" w:hAnsi="Times New Roman" w:cs="Times New Roman"/>
          <w:color w:val="1F1F1F"/>
        </w:rPr>
        <w:t xml:space="preserve"> is a </w:t>
      </w:r>
      <w:r w:rsidRPr="00F00CA0">
        <w:rPr>
          <w:rFonts w:ascii="Times New Roman" w:hAnsi="Times New Roman" w:cs="Times New Roman"/>
          <w:position w:val="-10"/>
        </w:rPr>
        <w:object w:dxaOrig="600" w:dyaOrig="320">
          <v:shape id="_x0000_i1094" type="#_x0000_t75" style="width:30pt;height:16.5pt" o:ole="">
            <v:imagedata r:id="rId147" o:title=""/>
          </v:shape>
          <o:OLEObject Type="Embed" ProgID="Equation.DSMT4" ShapeID="_x0000_i1094" DrawAspect="Content" ObjectID="_1846526896" r:id="rId148"/>
        </w:object>
      </w:r>
      <w:r w:rsidRPr="00F00CA0">
        <w:rPr>
          <w:rFonts w:ascii="Times New Roman" w:eastAsia="Times New Roman" w:hAnsi="Times New Roman" w:cs="Times New Roman"/>
          <w:color w:val="1F1F1F"/>
        </w:rPr>
        <w:t xml:space="preserve"> connectivity matrix in which each entry </w:t>
      </w:r>
      <w:r w:rsidRPr="00F00CA0">
        <w:rPr>
          <w:rFonts w:ascii="Times New Roman" w:hAnsi="Times New Roman" w:cs="Times New Roman"/>
          <w:position w:val="-14"/>
        </w:rPr>
        <w:object w:dxaOrig="1080" w:dyaOrig="380">
          <v:shape id="_x0000_i1095" type="#_x0000_t75" style="width:54pt;height:19.5pt" o:ole="">
            <v:imagedata r:id="rId149" o:title=""/>
          </v:shape>
          <o:OLEObject Type="Embed" ProgID="Equation.DSMT4" ShapeID="_x0000_i1095" DrawAspect="Content" ObjectID="_1846526897" r:id="rId150"/>
        </w:object>
      </w:r>
      <w:r w:rsidRPr="00F00CA0">
        <w:rPr>
          <w:rFonts w:ascii="Times New Roman" w:eastAsia="Times New Roman" w:hAnsi="Times New Roman" w:cs="Times New Roman"/>
          <w:color w:val="1F1F1F"/>
        </w:rPr>
        <w:t xml:space="preserve"> represents the probability of a directed export pathway originating from a node in block </w:t>
      </w:r>
      <w:r w:rsidRPr="00F00CA0">
        <w:rPr>
          <w:rFonts w:ascii="Times New Roman" w:hAnsi="Times New Roman" w:cs="Times New Roman"/>
          <w:position w:val="-10"/>
        </w:rPr>
        <w:object w:dxaOrig="200" w:dyaOrig="260">
          <v:shape id="_x0000_i1096" type="#_x0000_t75" style="width:10.5pt;height:13.5pt" o:ole="">
            <v:imagedata r:id="rId151" o:title=""/>
          </v:shape>
          <o:OLEObject Type="Embed" ProgID="Equation.DSMT4" ShapeID="_x0000_i1096" DrawAspect="Content" ObjectID="_1846526898" r:id="rId152"/>
        </w:object>
      </w:r>
      <w:r w:rsidRPr="00F00CA0">
        <w:rPr>
          <w:rFonts w:ascii="Times New Roman" w:eastAsia="Times New Roman" w:hAnsi="Times New Roman" w:cs="Times New Roman"/>
          <w:color w:val="1F1F1F"/>
        </w:rPr>
        <w:t xml:space="preserve"> and terminating at a node in </w:t>
      </w:r>
      <w:proofErr w:type="gramStart"/>
      <w:r w:rsidRPr="00F00CA0">
        <w:rPr>
          <w:rFonts w:ascii="Times New Roman" w:eastAsia="Times New Roman" w:hAnsi="Times New Roman" w:cs="Times New Roman"/>
          <w:color w:val="1F1F1F"/>
        </w:rPr>
        <w:t xml:space="preserve">block </w:t>
      </w:r>
      <w:proofErr w:type="gramEnd"/>
      <w:r w:rsidRPr="00F00CA0">
        <w:rPr>
          <w:rFonts w:ascii="Times New Roman" w:hAnsi="Times New Roman" w:cs="Times New Roman"/>
          <w:position w:val="-4"/>
        </w:rPr>
        <w:object w:dxaOrig="180" w:dyaOrig="200">
          <v:shape id="_x0000_i1097" type="#_x0000_t75" style="width:9pt;height:10.5pt" o:ole="">
            <v:imagedata r:id="rId153" o:title=""/>
          </v:shape>
          <o:OLEObject Type="Embed" ProgID="Equation.DSMT4" ShapeID="_x0000_i1097" DrawAspect="Content" ObjectID="_1846526899" r:id="rId154"/>
        </w:object>
      </w:r>
      <w:r w:rsidRPr="00F00CA0">
        <w:rPr>
          <w:rFonts w:ascii="Times New Roman" w:eastAsia="Times New Roman" w:hAnsi="Times New Roman" w:cs="Times New Roman"/>
          <w:color w:val="1F1F1F"/>
        </w:rPr>
        <w:t>. The complete conditional log-likelihood function for the directed network is formalized as:</w:t>
      </w:r>
    </w:p>
    <w:p w:rsidR="00F56890" w:rsidRPr="00F00CA0" w:rsidRDefault="00F56890" w:rsidP="00C70D53">
      <w:pPr>
        <w:spacing w:after="0"/>
        <w:ind w:left="-426" w:right="-421"/>
        <w:jc w:val="both"/>
        <w:rPr>
          <w:rFonts w:ascii="Times New Roman" w:eastAsia="Times New Roman" w:hAnsi="Times New Roman" w:cs="Times New Roman"/>
          <w:color w:val="1F1F1F"/>
        </w:rPr>
      </w:pPr>
    </w:p>
    <w:p w:rsidR="00DE6984" w:rsidRPr="00F00CA0" w:rsidRDefault="00DE6984" w:rsidP="00C70D53">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30"/>
        </w:rPr>
        <w:object w:dxaOrig="5980" w:dyaOrig="580">
          <v:shape id="_x0000_i1098" type="#_x0000_t75" style="width:299.25pt;height:28.5pt" o:ole="">
            <v:imagedata r:id="rId155" o:title=""/>
          </v:shape>
          <o:OLEObject Type="Embed" ProgID="Equation.DSMT4" ShapeID="_x0000_i1098" DrawAspect="Content" ObjectID="_1846526900" r:id="rId156"/>
        </w:object>
      </w:r>
    </w:p>
    <w:p w:rsidR="00DE6984" w:rsidRPr="00F00CA0" w:rsidRDefault="00DE6984" w:rsidP="00C70D53">
      <w:pPr>
        <w:spacing w:after="0"/>
        <w:ind w:left="-426" w:right="-421"/>
        <w:jc w:val="both"/>
        <w:rPr>
          <w:rFonts w:ascii="Times New Roman" w:eastAsia="Times New Roman" w:hAnsi="Times New Roman" w:cs="Times New Roman"/>
          <w:color w:val="1F1F1F"/>
        </w:rPr>
      </w:pPr>
    </w:p>
    <w:p w:rsidR="009F6326" w:rsidRPr="00F00CA0" w:rsidRDefault="009F6326" w:rsidP="00C70D53">
      <w:pPr>
        <w:spacing w:after="0"/>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lastRenderedPageBreak/>
        <w:t xml:space="preserve">Because </w:t>
      </w:r>
      <w:r w:rsidRPr="00F00CA0">
        <w:rPr>
          <w:rFonts w:ascii="Times New Roman" w:hAnsi="Times New Roman" w:cs="Times New Roman"/>
          <w:position w:val="-4"/>
        </w:rPr>
        <w:object w:dxaOrig="240" w:dyaOrig="260">
          <v:shape id="_x0000_i1099" type="#_x0000_t75" style="width:12pt;height:13.5pt" o:ole="">
            <v:imagedata r:id="rId157" o:title=""/>
          </v:shape>
          <o:OLEObject Type="Embed" ProgID="Equation.DSMT4" ShapeID="_x0000_i1099" DrawAspect="Content" ObjectID="_1846526901" r:id="rId158"/>
        </w:object>
      </w:r>
      <w:r w:rsidRPr="00F00CA0">
        <w:rPr>
          <w:rFonts w:ascii="Times New Roman" w:eastAsia="Times New Roman" w:hAnsi="Times New Roman" w:cs="Times New Roman"/>
          <w:color w:val="1F1F1F"/>
        </w:rPr>
        <w:t xml:space="preserve"> and </w:t>
      </w:r>
      <w:r w:rsidRPr="00F00CA0">
        <w:rPr>
          <w:rFonts w:ascii="Times New Roman" w:hAnsi="Times New Roman" w:cs="Times New Roman"/>
          <w:position w:val="-6"/>
        </w:rPr>
        <w:object w:dxaOrig="240" w:dyaOrig="279">
          <v:shape id="_x0000_i1100" type="#_x0000_t75" style="width:12pt;height:15pt" o:ole="">
            <v:imagedata r:id="rId159" o:title=""/>
          </v:shape>
          <o:OLEObject Type="Embed" ProgID="Equation.DSMT4" ShapeID="_x0000_i1100" DrawAspect="Content" ObjectID="_1846526902" r:id="rId160"/>
        </w:object>
      </w:r>
      <w:r w:rsidRPr="00F00CA0">
        <w:rPr>
          <w:rFonts w:ascii="Times New Roman" w:eastAsia="Times New Roman" w:hAnsi="Times New Roman" w:cs="Times New Roman"/>
          <w:color w:val="1F1F1F"/>
        </w:rPr>
        <w:t xml:space="preserve"> are unobserved, parameters are estimated by implementing the </w:t>
      </w:r>
      <w:proofErr w:type="spellStart"/>
      <w:r w:rsidRPr="00F00CA0">
        <w:rPr>
          <w:rFonts w:ascii="Times New Roman" w:eastAsia="Times New Roman" w:hAnsi="Times New Roman" w:cs="Times New Roman"/>
          <w:color w:val="1F1F1F"/>
        </w:rPr>
        <w:t>Variational</w:t>
      </w:r>
      <w:proofErr w:type="spellEnd"/>
      <w:r w:rsidRPr="00F00CA0">
        <w:rPr>
          <w:rFonts w:ascii="Times New Roman" w:eastAsia="Times New Roman" w:hAnsi="Times New Roman" w:cs="Times New Roman"/>
          <w:color w:val="1F1F1F"/>
        </w:rPr>
        <w:t xml:space="preserve"> Expectation-Maximization (VEM) algorithm, which scales efficiently by optimizing the Evidence Lower Bound (ELBO) to isolate latent source blocks, intermediate processing hubs, and carbon consumption sinks (</w:t>
      </w:r>
      <w:proofErr w:type="spellStart"/>
      <w:r w:rsidRPr="00F00CA0">
        <w:rPr>
          <w:rFonts w:ascii="Times New Roman" w:eastAsia="Times New Roman" w:hAnsi="Times New Roman" w:cs="Times New Roman"/>
          <w:color w:val="1F1F1F"/>
        </w:rPr>
        <w:t>Blei</w:t>
      </w:r>
      <w:proofErr w:type="spellEnd"/>
      <w:r w:rsidRPr="00F00CA0">
        <w:rPr>
          <w:rFonts w:ascii="Times New Roman" w:eastAsia="Times New Roman" w:hAnsi="Times New Roman" w:cs="Times New Roman"/>
          <w:color w:val="1F1F1F"/>
        </w:rPr>
        <w:t xml:space="preserve"> et al., 2017).</w:t>
      </w:r>
    </w:p>
    <w:p w:rsidR="009F6326" w:rsidRPr="00F00CA0" w:rsidRDefault="009F6326" w:rsidP="00C70D53">
      <w:pPr>
        <w:spacing w:after="0"/>
        <w:ind w:left="-426" w:right="-421"/>
        <w:jc w:val="both"/>
        <w:rPr>
          <w:rFonts w:ascii="Times New Roman" w:eastAsia="Times New Roman" w:hAnsi="Times New Roman" w:cs="Times New Roman"/>
          <w:color w:val="1F1F1F"/>
        </w:rPr>
      </w:pPr>
    </w:p>
    <w:p w:rsidR="00DE6984" w:rsidRPr="00F00CA0" w:rsidRDefault="00DE6984" w:rsidP="00C70D53">
      <w:pPr>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Because node block assignments </w:t>
      </w:r>
      <w:r w:rsidRPr="00F00CA0">
        <w:rPr>
          <w:rFonts w:ascii="Times New Roman" w:hAnsi="Times New Roman" w:cs="Times New Roman"/>
          <w:position w:val="-4"/>
        </w:rPr>
        <w:object w:dxaOrig="240" w:dyaOrig="260">
          <v:shape id="_x0000_i1101" type="#_x0000_t75" style="width:12pt;height:13.5pt" o:ole="">
            <v:imagedata r:id="rId161" o:title=""/>
          </v:shape>
          <o:OLEObject Type="Embed" ProgID="Equation.DSMT4" ShapeID="_x0000_i1101" DrawAspect="Content" ObjectID="_1846526903" r:id="rId162"/>
        </w:object>
      </w:r>
      <w:r w:rsidRPr="00F00CA0">
        <w:rPr>
          <w:rFonts w:ascii="Times New Roman" w:eastAsia="Times New Roman" w:hAnsi="Times New Roman" w:cs="Times New Roman"/>
          <w:color w:val="1F1F1F"/>
        </w:rPr>
        <w:t xml:space="preserve"> and parameters </w:t>
      </w:r>
      <w:r w:rsidRPr="00F00CA0">
        <w:rPr>
          <w:rFonts w:ascii="Times New Roman" w:hAnsi="Times New Roman" w:cs="Times New Roman"/>
          <w:position w:val="-4"/>
        </w:rPr>
        <w:object w:dxaOrig="260" w:dyaOrig="240">
          <v:shape id="_x0000_i1102" type="#_x0000_t75" style="width:13.5pt;height:12pt" o:ole="">
            <v:imagedata r:id="rId163" o:title=""/>
          </v:shape>
          <o:OLEObject Type="Embed" ProgID="Equation.DSMT4" ShapeID="_x0000_i1102" DrawAspect="Content" ObjectID="_1846526904" r:id="rId164"/>
        </w:object>
      </w:r>
      <w:r w:rsidRPr="00F00CA0">
        <w:rPr>
          <w:rFonts w:ascii="Times New Roman" w:eastAsia="Times New Roman" w:hAnsi="Times New Roman" w:cs="Times New Roman"/>
          <w:color w:val="1F1F1F"/>
        </w:rPr>
        <w:t xml:space="preserve"> are unobserved, model estimation is performed via a </w:t>
      </w:r>
      <w:proofErr w:type="spellStart"/>
      <w:r w:rsidRPr="00F00CA0">
        <w:rPr>
          <w:rFonts w:ascii="Times New Roman" w:eastAsia="Times New Roman" w:hAnsi="Times New Roman" w:cs="Times New Roman"/>
          <w:color w:val="1F1F1F"/>
        </w:rPr>
        <w:t>Variational</w:t>
      </w:r>
      <w:proofErr w:type="spellEnd"/>
      <w:r w:rsidRPr="00F00CA0">
        <w:rPr>
          <w:rFonts w:ascii="Times New Roman" w:eastAsia="Times New Roman" w:hAnsi="Times New Roman" w:cs="Times New Roman"/>
          <w:color w:val="1F1F1F"/>
        </w:rPr>
        <w:t xml:space="preserve"> Expectation-Maximization (V-EM) optimization loop that maximizes the Evidence Lower Bound (ELBO). The optimal number of block partitions </w:t>
      </w:r>
      <w:r w:rsidRPr="00F00CA0">
        <w:rPr>
          <w:rFonts w:ascii="Times New Roman" w:hAnsi="Times New Roman" w:cs="Times New Roman"/>
          <w:position w:val="-10"/>
        </w:rPr>
        <w:object w:dxaOrig="240" w:dyaOrig="320">
          <v:shape id="_x0000_i1103" type="#_x0000_t75" style="width:12pt;height:16.5pt" o:ole="">
            <v:imagedata r:id="rId165" o:title=""/>
          </v:shape>
          <o:OLEObject Type="Embed" ProgID="Equation.DSMT4" ShapeID="_x0000_i1103" DrawAspect="Content" ObjectID="_1846526905" r:id="rId166"/>
        </w:object>
      </w:r>
      <w:r w:rsidRPr="00F00CA0">
        <w:rPr>
          <w:rFonts w:ascii="Times New Roman" w:eastAsia="Times New Roman" w:hAnsi="Times New Roman" w:cs="Times New Roman"/>
          <w:color w:val="1F1F1F"/>
        </w:rPr>
        <w:t xml:space="preserve"> is determined using the Integrated Classification Likelihood (ICL) criterion, which penalizes the classification deviance based on class complexity:</w:t>
      </w:r>
    </w:p>
    <w:p w:rsidR="00DE6984" w:rsidRPr="00F00CA0" w:rsidRDefault="00DE6984" w:rsidP="00C70D53">
      <w:pPr>
        <w:spacing w:after="0"/>
        <w:ind w:left="-426" w:right="-421"/>
        <w:jc w:val="center"/>
        <w:rPr>
          <w:rFonts w:ascii="Times New Roman" w:eastAsia="Times New Roman" w:hAnsi="Times New Roman" w:cs="Times New Roman"/>
          <w:color w:val="1F1F1F"/>
        </w:rPr>
      </w:pPr>
      <w:r w:rsidRPr="00F00CA0">
        <w:rPr>
          <w:rFonts w:ascii="Times New Roman" w:hAnsi="Times New Roman" w:cs="Times New Roman"/>
          <w:position w:val="-24"/>
        </w:rPr>
        <w:object w:dxaOrig="6140" w:dyaOrig="620">
          <v:shape id="_x0000_i1104" type="#_x0000_t75" style="width:307.5pt;height:31.5pt" o:ole="">
            <v:imagedata r:id="rId167" o:title=""/>
          </v:shape>
          <o:OLEObject Type="Embed" ProgID="Equation.DSMT4" ShapeID="_x0000_i1104" DrawAspect="Content" ObjectID="_1846526906" r:id="rId168"/>
        </w:object>
      </w:r>
    </w:p>
    <w:p w:rsidR="00490B88" w:rsidRPr="00F00CA0" w:rsidRDefault="00DE6984" w:rsidP="00C70D53">
      <w:pPr>
        <w:ind w:left="-426" w:right="-421"/>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Maximizing the ICL guarantees an optimal trade-off between </w:t>
      </w:r>
      <w:proofErr w:type="gramStart"/>
      <w:r w:rsidRPr="00F00CA0">
        <w:rPr>
          <w:rFonts w:ascii="Times New Roman" w:eastAsia="Times New Roman" w:hAnsi="Times New Roman" w:cs="Times New Roman"/>
          <w:color w:val="1F1F1F"/>
        </w:rPr>
        <w:t>model</w:t>
      </w:r>
      <w:proofErr w:type="gramEnd"/>
      <w:r w:rsidRPr="00F00CA0">
        <w:rPr>
          <w:rFonts w:ascii="Times New Roman" w:eastAsia="Times New Roman" w:hAnsi="Times New Roman" w:cs="Times New Roman"/>
          <w:color w:val="1F1F1F"/>
        </w:rPr>
        <w:t xml:space="preserve"> fit and block parsimony, isolating the true latent community architecture of the global carbon trade network.</w:t>
      </w:r>
      <w:r w:rsidR="009F6326" w:rsidRPr="00F00CA0">
        <w:rPr>
          <w:rFonts w:ascii="Times New Roman" w:eastAsia="Times New Roman" w:hAnsi="Times New Roman" w:cs="Times New Roman"/>
          <w:color w:val="1F1F1F"/>
        </w:rPr>
        <w:t xml:space="preserve"> In the results, point out that the </w:t>
      </w:r>
      <w:r w:rsidR="009F6326" w:rsidRPr="00F00CA0">
        <w:rPr>
          <w:rFonts w:ascii="Times New Roman" w:eastAsia="Times New Roman" w:hAnsi="Times New Roman" w:cs="Times New Roman"/>
          <w:bCs/>
          <w:color w:val="1F1F1F"/>
          <w:bdr w:val="none" w:sz="0" w:space="0" w:color="auto" w:frame="1"/>
        </w:rPr>
        <w:t>SBM/ICL</w:t>
      </w:r>
      <w:r w:rsidR="009F6326" w:rsidRPr="00F00CA0">
        <w:rPr>
          <w:rFonts w:ascii="Times New Roman" w:eastAsia="Times New Roman" w:hAnsi="Times New Roman" w:cs="Times New Roman"/>
          <w:color w:val="1F1F1F"/>
        </w:rPr>
        <w:t xml:space="preserve"> phase maps out </w:t>
      </w:r>
      <w:r w:rsidR="009F6326" w:rsidRPr="00F00CA0">
        <w:rPr>
          <w:rFonts w:ascii="Times New Roman" w:eastAsia="Times New Roman" w:hAnsi="Times New Roman" w:cs="Times New Roman"/>
          <w:i/>
          <w:iCs/>
          <w:color w:val="1F1F1F"/>
          <w:bdr w:val="none" w:sz="0" w:space="0" w:color="auto" w:frame="1"/>
        </w:rPr>
        <w:t>who</w:t>
      </w:r>
      <w:r w:rsidR="009F6326" w:rsidRPr="00F00CA0">
        <w:rPr>
          <w:rFonts w:ascii="Times New Roman" w:eastAsia="Times New Roman" w:hAnsi="Times New Roman" w:cs="Times New Roman"/>
          <w:color w:val="1F1F1F"/>
        </w:rPr>
        <w:t xml:space="preserve"> sits where in the global hierarchy, while the </w:t>
      </w:r>
      <w:r w:rsidR="009F6326" w:rsidRPr="00F00CA0">
        <w:rPr>
          <w:rFonts w:ascii="Times New Roman" w:eastAsia="Times New Roman" w:hAnsi="Times New Roman" w:cs="Times New Roman"/>
          <w:bCs/>
          <w:color w:val="1F1F1F"/>
          <w:bdr w:val="none" w:sz="0" w:space="0" w:color="auto" w:frame="1"/>
        </w:rPr>
        <w:t>ERGM</w:t>
      </w:r>
      <w:r w:rsidR="009F6326" w:rsidRPr="00F00CA0">
        <w:rPr>
          <w:rFonts w:ascii="Times New Roman" w:eastAsia="Times New Roman" w:hAnsi="Times New Roman" w:cs="Times New Roman"/>
          <w:color w:val="1F1F1F"/>
        </w:rPr>
        <w:t xml:space="preserve"> coefficients mathematically explain </w:t>
      </w:r>
      <w:r w:rsidR="009F6326" w:rsidRPr="00F00CA0">
        <w:rPr>
          <w:rFonts w:ascii="Times New Roman" w:eastAsia="Times New Roman" w:hAnsi="Times New Roman" w:cs="Times New Roman"/>
          <w:i/>
          <w:iCs/>
          <w:color w:val="1F1F1F"/>
          <w:bdr w:val="none" w:sz="0" w:space="0" w:color="auto" w:frame="1"/>
        </w:rPr>
        <w:t>why</w:t>
      </w:r>
      <w:r w:rsidR="009F6326" w:rsidRPr="00F00CA0">
        <w:rPr>
          <w:rFonts w:ascii="Times New Roman" w:eastAsia="Times New Roman" w:hAnsi="Times New Roman" w:cs="Times New Roman"/>
          <w:color w:val="1F1F1F"/>
        </w:rPr>
        <w:t xml:space="preserve"> they form links based on those WDI dimensions.</w:t>
      </w:r>
    </w:p>
    <w:p w:rsidR="0079700C" w:rsidRPr="00F00CA0" w:rsidRDefault="00B56367" w:rsidP="00C70D53">
      <w:pPr>
        <w:spacing w:after="0"/>
        <w:ind w:left="-426" w:right="-421"/>
        <w:jc w:val="both"/>
        <w:rPr>
          <w:rFonts w:ascii="Times New Roman" w:eastAsia="Times New Roman" w:hAnsi="Times New Roman" w:cs="Times New Roman"/>
          <w:b/>
          <w:color w:val="1F1F1F"/>
        </w:rPr>
      </w:pPr>
      <w:r w:rsidRPr="00F00CA0">
        <w:rPr>
          <w:rFonts w:ascii="Times New Roman" w:eastAsia="Times New Roman" w:hAnsi="Times New Roman" w:cs="Times New Roman"/>
          <w:b/>
          <w:color w:val="1F1F1F"/>
        </w:rPr>
        <w:t xml:space="preserve">4. </w:t>
      </w:r>
      <w:r w:rsidR="00E37A84" w:rsidRPr="00F00CA0">
        <w:rPr>
          <w:rFonts w:ascii="Times New Roman" w:eastAsia="Times New Roman" w:hAnsi="Times New Roman" w:cs="Times New Roman"/>
          <w:b/>
          <w:color w:val="1F1F1F"/>
        </w:rPr>
        <w:t xml:space="preserve">Results and Discussion: </w:t>
      </w:r>
    </w:p>
    <w:p w:rsidR="001038A1" w:rsidRDefault="0079700C" w:rsidP="00C70D53">
      <w:pPr>
        <w:spacing w:after="0"/>
        <w:ind w:left="-426" w:right="-421"/>
        <w:jc w:val="both"/>
        <w:rPr>
          <w:rFonts w:ascii="Times New Roman" w:eastAsia="Times New Roman" w:hAnsi="Times New Roman" w:cs="Times New Roman"/>
          <w:color w:val="1F1F1F"/>
        </w:rPr>
      </w:pPr>
      <w:r w:rsidRPr="00F00CA0">
        <w:rPr>
          <w:rFonts w:ascii="Times New Roman" w:hAnsi="Times New Roman" w:cs="Times New Roman"/>
        </w:rPr>
        <w:t>In this section, we present our key findings, including a comprehensive characterization of</w:t>
      </w:r>
      <w:r w:rsidRPr="00F00CA0">
        <w:rPr>
          <w:rFonts w:ascii="Times New Roman" w:eastAsia="Times New Roman" w:hAnsi="Times New Roman" w:cs="Times New Roman"/>
          <w:color w:val="1F1F1F"/>
        </w:rPr>
        <w:t xml:space="preserve"> </w:t>
      </w:r>
      <w:r w:rsidRPr="00F00CA0">
        <w:rPr>
          <w:rFonts w:ascii="Times New Roman" w:hAnsi="Times New Roman" w:cs="Times New Roman"/>
        </w:rPr>
        <w:t>world carbon trade networks for 2019, 2020, 2021 and 2022 using structural descriptive analysis,</w:t>
      </w:r>
      <w:r w:rsidRPr="00F00CA0">
        <w:rPr>
          <w:rFonts w:ascii="Times New Roman" w:eastAsia="Times New Roman" w:hAnsi="Times New Roman" w:cs="Times New Roman"/>
          <w:color w:val="1F1F1F"/>
        </w:rPr>
        <w:t xml:space="preserve"> </w:t>
      </w:r>
      <w:r w:rsidRPr="00F00CA0">
        <w:rPr>
          <w:rFonts w:ascii="Times New Roman" w:hAnsi="Times New Roman" w:cs="Times New Roman"/>
        </w:rPr>
        <w:t>as well as full modeling analysis using ERGMs and SBMs.</w:t>
      </w:r>
    </w:p>
    <w:p w:rsidR="001038A1" w:rsidRDefault="001038A1" w:rsidP="00C70D53">
      <w:pPr>
        <w:spacing w:after="0"/>
        <w:ind w:left="-426" w:right="-421"/>
        <w:jc w:val="both"/>
        <w:rPr>
          <w:rFonts w:ascii="Times New Roman" w:eastAsia="Times New Roman" w:hAnsi="Times New Roman" w:cs="Times New Roman"/>
          <w:color w:val="1F1F1F"/>
        </w:rPr>
      </w:pPr>
    </w:p>
    <w:p w:rsidR="00B56367" w:rsidRPr="00EE679A" w:rsidRDefault="00B56367" w:rsidP="00C70D53">
      <w:pPr>
        <w:spacing w:after="0"/>
        <w:ind w:left="-426" w:right="-421"/>
        <w:jc w:val="both"/>
        <w:rPr>
          <w:rFonts w:ascii="Times New Roman" w:eastAsia="Times New Roman" w:hAnsi="Times New Roman" w:cs="Times New Roman"/>
          <w:color w:val="1F1F1F"/>
        </w:rPr>
      </w:pPr>
      <w:r w:rsidRPr="00EE679A">
        <w:rPr>
          <w:rFonts w:ascii="Times New Roman" w:eastAsia="Times New Roman" w:hAnsi="Times New Roman" w:cs="Times New Roman"/>
          <w:b/>
          <w:bCs/>
          <w:color w:val="1F1F1F"/>
        </w:rPr>
        <w:t>4.1 Network Connectivity</w:t>
      </w:r>
    </w:p>
    <w:p w:rsidR="00103ECD" w:rsidRPr="00EE679A" w:rsidRDefault="00103ECD" w:rsidP="00C70D53">
      <w:pPr>
        <w:pStyle w:val="NormalWeb"/>
        <w:spacing w:before="0" w:beforeAutospacing="0" w:after="0" w:afterAutospacing="0" w:line="276" w:lineRule="auto"/>
        <w:ind w:left="-426" w:right="-421"/>
        <w:jc w:val="both"/>
        <w:rPr>
          <w:color w:val="1F1F1F"/>
          <w:sz w:val="22"/>
          <w:szCs w:val="22"/>
        </w:rPr>
      </w:pPr>
      <w:r w:rsidRPr="00EE679A">
        <w:rPr>
          <w:color w:val="1F1F1F"/>
          <w:sz w:val="22"/>
          <w:szCs w:val="22"/>
        </w:rPr>
        <w:t>Based on the diagnostic matrix</w:t>
      </w:r>
      <w:r w:rsidR="00EE679A">
        <w:rPr>
          <w:color w:val="1F1F1F"/>
          <w:sz w:val="22"/>
          <w:szCs w:val="22"/>
        </w:rPr>
        <w:t xml:space="preserve">, </w:t>
      </w:r>
      <w:r w:rsidRPr="00EE679A">
        <w:rPr>
          <w:color w:val="1F1F1F"/>
          <w:sz w:val="22"/>
          <w:szCs w:val="22"/>
        </w:rPr>
        <w:t xml:space="preserve">the full structural breakdown </w:t>
      </w:r>
      <w:r w:rsidR="00EE679A">
        <w:rPr>
          <w:color w:val="1F1F1F"/>
          <w:sz w:val="22"/>
          <w:szCs w:val="22"/>
        </w:rPr>
        <w:t xml:space="preserve">of </w:t>
      </w:r>
      <w:r w:rsidRPr="00EE679A">
        <w:rPr>
          <w:color w:val="1F1F1F"/>
          <w:sz w:val="22"/>
          <w:szCs w:val="22"/>
        </w:rPr>
        <w:t xml:space="preserve">network across the </w:t>
      </w:r>
      <w:r w:rsidR="00EE679A">
        <w:rPr>
          <w:color w:val="1F1F1F"/>
          <w:sz w:val="22"/>
          <w:szCs w:val="22"/>
        </w:rPr>
        <w:t>four</w:t>
      </w:r>
      <w:r w:rsidRPr="00EE679A">
        <w:rPr>
          <w:color w:val="1F1F1F"/>
          <w:sz w:val="22"/>
          <w:szCs w:val="22"/>
        </w:rPr>
        <w:t>-year timeline</w:t>
      </w:r>
      <w:r w:rsidR="00EE679A">
        <w:rPr>
          <w:color w:val="1F1F1F"/>
          <w:sz w:val="22"/>
          <w:szCs w:val="22"/>
        </w:rPr>
        <w:t xml:space="preserve"> has been represented below</w:t>
      </w:r>
      <w:r w:rsidRPr="00EE679A">
        <w:rPr>
          <w:color w:val="1F1F1F"/>
          <w:sz w:val="22"/>
          <w:szCs w:val="22"/>
        </w:rPr>
        <w:t>.</w:t>
      </w:r>
      <w:r w:rsidR="00EE679A">
        <w:rPr>
          <w:color w:val="1F1F1F"/>
        </w:rPr>
        <w:t xml:space="preserve"> </w:t>
      </w:r>
      <w:r w:rsidR="00EE679A" w:rsidRPr="00F00CA0">
        <w:rPr>
          <w:color w:val="1F1F1F"/>
          <w:sz w:val="22"/>
          <w:szCs w:val="22"/>
        </w:rPr>
        <w:t>The longitudinal topological evaluation of the global carbon trade network from 2019 to 2022 reveals a sparse, directed, weighted, and structurally disassortative architecture whose core global connectivity remained fully resilient des</w:t>
      </w:r>
      <w:r w:rsidR="00EE679A">
        <w:rPr>
          <w:color w:val="1F1F1F"/>
          <w:sz w:val="22"/>
          <w:szCs w:val="22"/>
        </w:rPr>
        <w:t>pite exogenous economic shocks.</w:t>
      </w:r>
    </w:p>
    <w:tbl>
      <w:tblPr>
        <w:tblW w:w="9428" w:type="dxa"/>
        <w:jc w:val="center"/>
        <w:tblInd w:w="-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51"/>
        <w:gridCol w:w="1492"/>
        <w:gridCol w:w="1485"/>
        <w:gridCol w:w="1559"/>
        <w:gridCol w:w="1841"/>
      </w:tblGrid>
      <w:tr w:rsidR="00E37A84" w:rsidRPr="00EE679A" w:rsidTr="005B627C">
        <w:trPr>
          <w:trHeight w:val="300"/>
          <w:jc w:val="center"/>
        </w:trPr>
        <w:tc>
          <w:tcPr>
            <w:tcW w:w="9428" w:type="dxa"/>
            <w:gridSpan w:val="5"/>
            <w:shd w:val="clear" w:color="auto" w:fill="auto"/>
            <w:noWrap/>
            <w:vAlign w:val="center"/>
            <w:hideMark/>
          </w:tcPr>
          <w:p w:rsidR="00E37A84" w:rsidRPr="00EE679A" w:rsidRDefault="00E37A84" w:rsidP="00C70D53">
            <w:pPr>
              <w:spacing w:after="0"/>
              <w:ind w:left="-426" w:right="-42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 xml:space="preserve">Table 2: </w:t>
            </w:r>
            <w:r w:rsidR="00103ECD" w:rsidRPr="00EE679A">
              <w:rPr>
                <w:rFonts w:ascii="Times New Roman" w:eastAsia="Times New Roman" w:hAnsi="Times New Roman" w:cs="Times New Roman"/>
                <w:b/>
                <w:bCs/>
                <w:color w:val="1F1F1F"/>
                <w:sz w:val="20"/>
                <w:szCs w:val="20"/>
              </w:rPr>
              <w:t>Topological</w:t>
            </w:r>
            <w:r w:rsidRPr="00EE679A">
              <w:rPr>
                <w:rFonts w:ascii="Times New Roman" w:eastAsia="Times New Roman" w:hAnsi="Times New Roman" w:cs="Times New Roman"/>
                <w:b/>
                <w:bCs/>
                <w:color w:val="1F1F1F"/>
                <w:sz w:val="20"/>
                <w:szCs w:val="20"/>
              </w:rPr>
              <w:t xml:space="preserve"> Network Properties Metrics Table</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Row names</w:t>
            </w:r>
          </w:p>
        </w:tc>
        <w:tc>
          <w:tcPr>
            <w:tcW w:w="1492"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2019</w:t>
            </w:r>
          </w:p>
        </w:tc>
        <w:tc>
          <w:tcPr>
            <w:tcW w:w="1485"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2020</w:t>
            </w:r>
          </w:p>
        </w:tc>
        <w:tc>
          <w:tcPr>
            <w:tcW w:w="1559"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2021</w:t>
            </w:r>
          </w:p>
        </w:tc>
        <w:tc>
          <w:tcPr>
            <w:tcW w:w="184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2022</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Number of nodes</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162</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154</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164</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160</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Number of edges</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1665</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1561</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1687</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1623</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Directed graph</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Weighted graph</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TRUE</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Average out-degree</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10.27778</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10.13636</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10.28659</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10.14375</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Average in-degree</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10.27778</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10.13636</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10.28659</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10.14375</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Median degree</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6</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 xml:space="preserve">Out-degree </w:t>
            </w:r>
            <w:proofErr w:type="spellStart"/>
            <w:r w:rsidRPr="00EE679A">
              <w:rPr>
                <w:rFonts w:ascii="Times New Roman" w:eastAsia="Times New Roman" w:hAnsi="Times New Roman" w:cs="Times New Roman"/>
                <w:b/>
                <w:bCs/>
                <w:color w:val="1F1F1F"/>
                <w:sz w:val="20"/>
                <w:szCs w:val="20"/>
              </w:rPr>
              <w:t>sd</w:t>
            </w:r>
            <w:proofErr w:type="spellEnd"/>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19.55602</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18.99435</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19.44846</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19.12417</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 xml:space="preserve">In-degree </w:t>
            </w:r>
            <w:proofErr w:type="spellStart"/>
            <w:r w:rsidRPr="00EE679A">
              <w:rPr>
                <w:rFonts w:ascii="Times New Roman" w:eastAsia="Times New Roman" w:hAnsi="Times New Roman" w:cs="Times New Roman"/>
                <w:b/>
                <w:bCs/>
                <w:color w:val="1F1F1F"/>
                <w:sz w:val="20"/>
                <w:szCs w:val="20"/>
              </w:rPr>
              <w:t>sd</w:t>
            </w:r>
            <w:proofErr w:type="spellEnd"/>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9.337861</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9.382272</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9.89315</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9.466157</w:t>
            </w:r>
          </w:p>
        </w:tc>
      </w:tr>
      <w:tr w:rsidR="00E37A84" w:rsidRPr="00EE679A" w:rsidTr="005B627C">
        <w:trPr>
          <w:trHeight w:val="288"/>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 xml:space="preserve">In-degree </w:t>
            </w:r>
            <w:proofErr w:type="spellStart"/>
            <w:r w:rsidRPr="00EE679A">
              <w:rPr>
                <w:rFonts w:ascii="Times New Roman" w:eastAsia="Times New Roman" w:hAnsi="Times New Roman" w:cs="Times New Roman"/>
                <w:b/>
                <w:bCs/>
                <w:color w:val="1F1F1F"/>
                <w:sz w:val="20"/>
                <w:szCs w:val="20"/>
              </w:rPr>
              <w:t>coef</w:t>
            </w:r>
            <w:proofErr w:type="spellEnd"/>
            <w:r w:rsidRPr="00EE679A">
              <w:rPr>
                <w:rFonts w:ascii="Times New Roman" w:eastAsia="Times New Roman" w:hAnsi="Times New Roman" w:cs="Times New Roman"/>
                <w:b/>
                <w:bCs/>
                <w:color w:val="1F1F1F"/>
                <w:sz w:val="20"/>
                <w:szCs w:val="20"/>
              </w:rPr>
              <w:t>. of variation</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1.902748</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1.873882</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1.890662</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1.885316</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Density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0.06383713</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0.06625074</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0.06310789</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0.0679717</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Correlation</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0.8329639</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0.8241037</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0.8292619</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0.8489287</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Average weight</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2721.32</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2241.285</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3076.031</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3710.084</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Global transitivity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0.4190517</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0.4270659</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0.4360475</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0.4220433</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Edge reciprocity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0.4456456</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0.4420243</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0.4516894</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0.4571781</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lastRenderedPageBreak/>
              <w:t>Dyad reciprocity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0.2867079</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0.2837171</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0.2917305</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0.2963259</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K-connectivity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Components</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Assortativity</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-0.1674547</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-0.1965751</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-0.1966729</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-0.1918119</w:t>
            </w:r>
          </w:p>
        </w:tc>
      </w:tr>
      <w:tr w:rsidR="00E37A84" w:rsidRPr="00EE679A" w:rsidTr="005B627C">
        <w:trPr>
          <w:trHeight w:val="300"/>
          <w:jc w:val="center"/>
        </w:trPr>
        <w:tc>
          <w:tcPr>
            <w:tcW w:w="3051" w:type="dxa"/>
            <w:shd w:val="clear" w:color="auto" w:fill="auto"/>
            <w:vAlign w:val="center"/>
            <w:hideMark/>
          </w:tcPr>
          <w:p w:rsidR="00E37A84" w:rsidRPr="00EE679A" w:rsidRDefault="00E37A84" w:rsidP="00C70D53">
            <w:pPr>
              <w:spacing w:after="0"/>
              <w:ind w:left="-426" w:right="-421" w:firstLineChars="100" w:firstLine="201"/>
              <w:jc w:val="center"/>
              <w:rPr>
                <w:rFonts w:ascii="Times New Roman" w:eastAsia="Times New Roman" w:hAnsi="Times New Roman" w:cs="Times New Roman"/>
                <w:b/>
                <w:bCs/>
                <w:color w:val="1F1F1F"/>
                <w:sz w:val="20"/>
                <w:szCs w:val="20"/>
              </w:rPr>
            </w:pPr>
            <w:r w:rsidRPr="00EE679A">
              <w:rPr>
                <w:rFonts w:ascii="Times New Roman" w:eastAsia="Times New Roman" w:hAnsi="Times New Roman" w:cs="Times New Roman"/>
                <w:b/>
                <w:bCs/>
                <w:color w:val="1F1F1F"/>
                <w:sz w:val="20"/>
                <w:szCs w:val="20"/>
              </w:rPr>
              <w:t>Number of cliques</w:t>
            </w:r>
          </w:p>
        </w:tc>
        <w:tc>
          <w:tcPr>
            <w:tcW w:w="1492"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w:t>
            </w:r>
          </w:p>
        </w:tc>
        <w:tc>
          <w:tcPr>
            <w:tcW w:w="1485"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w:t>
            </w:r>
          </w:p>
        </w:tc>
        <w:tc>
          <w:tcPr>
            <w:tcW w:w="1559"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18</w:t>
            </w:r>
          </w:p>
        </w:tc>
        <w:tc>
          <w:tcPr>
            <w:tcW w:w="1841" w:type="dxa"/>
            <w:shd w:val="clear" w:color="auto" w:fill="auto"/>
            <w:vAlign w:val="center"/>
            <w:hideMark/>
          </w:tcPr>
          <w:p w:rsidR="00E37A84" w:rsidRPr="00EE679A" w:rsidRDefault="00E37A84" w:rsidP="00C70D53">
            <w:pPr>
              <w:spacing w:after="0"/>
              <w:ind w:left="-426" w:right="-421" w:firstLineChars="100" w:firstLine="200"/>
              <w:jc w:val="center"/>
              <w:rPr>
                <w:rFonts w:ascii="Times New Roman" w:eastAsia="Times New Roman" w:hAnsi="Times New Roman" w:cs="Times New Roman"/>
                <w:color w:val="1F1F1F"/>
                <w:sz w:val="20"/>
                <w:szCs w:val="20"/>
              </w:rPr>
            </w:pPr>
            <w:r w:rsidRPr="00EE679A">
              <w:rPr>
                <w:rFonts w:ascii="Times New Roman" w:eastAsia="Times New Roman" w:hAnsi="Times New Roman" w:cs="Times New Roman"/>
                <w:color w:val="1F1F1F"/>
                <w:sz w:val="20"/>
                <w:szCs w:val="20"/>
              </w:rPr>
              <w:t>19</w:t>
            </w:r>
          </w:p>
        </w:tc>
      </w:tr>
    </w:tbl>
    <w:p w:rsidR="00F56890" w:rsidRPr="00F56890" w:rsidRDefault="00F56890" w:rsidP="00C70D53">
      <w:pPr>
        <w:ind w:left="-426" w:right="-421"/>
        <w:jc w:val="center"/>
        <w:rPr>
          <w:rFonts w:ascii="Times New Roman" w:eastAsia="Times New Roman" w:hAnsi="Times New Roman" w:cs="Times New Roman"/>
          <w:i/>
        </w:rPr>
      </w:pPr>
      <w:r w:rsidRPr="00F56890">
        <w:rPr>
          <w:rFonts w:ascii="Times New Roman" w:hAnsi="Times New Roman" w:cs="Times New Roman"/>
          <w:i/>
        </w:rPr>
        <w:t xml:space="preserve">Source: Prepared by the author based on </w:t>
      </w:r>
      <w:r>
        <w:rPr>
          <w:rFonts w:ascii="Times New Roman" w:hAnsi="Times New Roman" w:cs="Times New Roman"/>
          <w:i/>
        </w:rPr>
        <w:t>WITS repository</w:t>
      </w:r>
      <w:r w:rsidRPr="00F56890">
        <w:rPr>
          <w:rFonts w:ascii="Times New Roman" w:hAnsi="Times New Roman" w:cs="Times New Roman"/>
          <w:i/>
        </w:rPr>
        <w:t xml:space="preserve"> </w:t>
      </w:r>
      <w:r>
        <w:rPr>
          <w:rFonts w:ascii="Times New Roman" w:hAnsi="Times New Roman" w:cs="Times New Roman"/>
          <w:i/>
        </w:rPr>
        <w:t>data and R</w:t>
      </w:r>
      <w:r w:rsidRPr="00F56890">
        <w:rPr>
          <w:rFonts w:ascii="Times New Roman" w:hAnsi="Times New Roman" w:cs="Times New Roman"/>
          <w:i/>
        </w:rPr>
        <w:t>.</w:t>
      </w:r>
    </w:p>
    <w:p w:rsidR="00D02861" w:rsidRPr="00EE679A" w:rsidRDefault="00D02861" w:rsidP="00C70D53">
      <w:pPr>
        <w:pStyle w:val="NormalWeb"/>
        <w:spacing w:before="0" w:beforeAutospacing="0" w:after="0" w:afterAutospacing="0" w:line="276" w:lineRule="auto"/>
        <w:ind w:left="-426" w:right="-421"/>
        <w:jc w:val="both"/>
        <w:rPr>
          <w:color w:val="1F1F1F"/>
          <w:sz w:val="22"/>
          <w:szCs w:val="22"/>
        </w:rPr>
      </w:pPr>
      <w:r w:rsidRPr="005B627C">
        <w:rPr>
          <w:sz w:val="22"/>
          <w:szCs w:val="22"/>
        </w:rPr>
        <w:t>The number of nodes represents the total number of participating countries or economies involved in international carbon trading during a given year.</w:t>
      </w:r>
      <w:r w:rsidR="00753175">
        <w:rPr>
          <w:b/>
          <w:bCs/>
        </w:rPr>
        <w:t xml:space="preserve"> </w:t>
      </w:r>
      <w:r w:rsidRPr="005B627C">
        <w:rPr>
          <w:sz w:val="22"/>
          <w:szCs w:val="22"/>
        </w:rPr>
        <w:t xml:space="preserve">The network contains between </w:t>
      </w:r>
      <w:r w:rsidRPr="00753175">
        <w:rPr>
          <w:bCs/>
          <w:sz w:val="22"/>
          <w:szCs w:val="22"/>
        </w:rPr>
        <w:t>154 and 164 countries</w:t>
      </w:r>
      <w:r w:rsidRPr="005B627C">
        <w:rPr>
          <w:sz w:val="22"/>
          <w:szCs w:val="22"/>
        </w:rPr>
        <w:t xml:space="preserve">, indicating broad international participation in carbon trading. The decline in </w:t>
      </w:r>
      <w:r w:rsidRPr="00753175">
        <w:rPr>
          <w:bCs/>
          <w:sz w:val="22"/>
          <w:szCs w:val="22"/>
        </w:rPr>
        <w:t>2020</w:t>
      </w:r>
      <w:r w:rsidRPr="005B627C">
        <w:rPr>
          <w:sz w:val="22"/>
          <w:szCs w:val="22"/>
        </w:rPr>
        <w:t xml:space="preserve"> likely reflects disruptions caused by the COVID-19 pandemic, which reduced international trade and affected carbon market activities. Participation recovered in </w:t>
      </w:r>
      <w:r w:rsidRPr="00753175">
        <w:rPr>
          <w:bCs/>
          <w:sz w:val="22"/>
          <w:szCs w:val="22"/>
        </w:rPr>
        <w:t>2021</w:t>
      </w:r>
      <w:r w:rsidRPr="005B627C">
        <w:rPr>
          <w:sz w:val="22"/>
          <w:szCs w:val="22"/>
        </w:rPr>
        <w:t xml:space="preserve"> as economies reopened, before stabilizing slightly lower in </w:t>
      </w:r>
      <w:r w:rsidRPr="00753175">
        <w:rPr>
          <w:bCs/>
          <w:sz w:val="22"/>
          <w:szCs w:val="22"/>
        </w:rPr>
        <w:t>2022</w:t>
      </w:r>
      <w:r w:rsidRPr="005B627C">
        <w:rPr>
          <w:sz w:val="22"/>
          <w:szCs w:val="22"/>
        </w:rPr>
        <w:t>. Overall, the network maintained a large and relatively stable membership, suggesting resilience of global carbon trading despite external shocks.</w:t>
      </w:r>
      <w:r w:rsidR="00EE679A">
        <w:t xml:space="preserve"> </w:t>
      </w:r>
      <w:r w:rsidRPr="00753175">
        <w:rPr>
          <w:sz w:val="22"/>
          <w:szCs w:val="22"/>
        </w:rPr>
        <w:t>Edges represent trading relationships between countries.</w:t>
      </w:r>
      <w:r w:rsidR="00753175" w:rsidRPr="00753175">
        <w:t xml:space="preserve"> </w:t>
      </w:r>
      <w:r w:rsidRPr="00753175">
        <w:rPr>
          <w:sz w:val="22"/>
          <w:szCs w:val="22"/>
        </w:rPr>
        <w:t xml:space="preserve">The number of trade connections remained consistently above </w:t>
      </w:r>
      <w:r w:rsidR="00753175">
        <w:rPr>
          <w:bCs/>
        </w:rPr>
        <w:t>1,6</w:t>
      </w:r>
      <w:r w:rsidRPr="00753175">
        <w:rPr>
          <w:bCs/>
          <w:sz w:val="22"/>
          <w:szCs w:val="22"/>
        </w:rPr>
        <w:t>00</w:t>
      </w:r>
      <w:r w:rsidRPr="00753175">
        <w:rPr>
          <w:sz w:val="22"/>
          <w:szCs w:val="22"/>
        </w:rPr>
        <w:t>, demonstrating a highly interconnected international market. Similar to node participation, the decline in 2020 reflects reduced international economic activity</w:t>
      </w:r>
      <w:r w:rsidR="00753175">
        <w:t xml:space="preserve"> accounting less than 1600 edges</w:t>
      </w:r>
      <w:r w:rsidRPr="00753175">
        <w:rPr>
          <w:sz w:val="22"/>
          <w:szCs w:val="22"/>
        </w:rPr>
        <w:t>. The recovery in 2021 indicates restoration of trade partnerships, while the slight decline in 2022 suggests consolidation rather than contraction of the network.</w:t>
      </w:r>
      <w:r w:rsidR="00EE679A">
        <w:rPr>
          <w:sz w:val="22"/>
          <w:szCs w:val="22"/>
        </w:rPr>
        <w:t xml:space="preserve"> </w:t>
      </w:r>
      <w:r w:rsidR="00753175" w:rsidRPr="00753175">
        <w:rPr>
          <w:bCs/>
        </w:rPr>
        <w:t xml:space="preserve">A </w:t>
      </w:r>
      <w:r w:rsidRPr="00753175">
        <w:rPr>
          <w:sz w:val="22"/>
          <w:szCs w:val="22"/>
        </w:rPr>
        <w:t>d</w:t>
      </w:r>
      <w:r w:rsidRPr="005B627C">
        <w:rPr>
          <w:sz w:val="22"/>
          <w:szCs w:val="22"/>
        </w:rPr>
        <w:t>irected graph means every connection has a direction, indicating exports from one country to imports by another.</w:t>
      </w:r>
      <w:r w:rsidR="00753175">
        <w:rPr>
          <w:b/>
          <w:bCs/>
        </w:rPr>
        <w:t xml:space="preserve"> </w:t>
      </w:r>
      <w:r w:rsidRPr="005B627C">
        <w:rPr>
          <w:sz w:val="22"/>
          <w:szCs w:val="22"/>
        </w:rPr>
        <w:t>The ICTN is inherently directional because carbon-embodied goods move from exporting countries to importing countries. Consequently, countries have different export and import relationships, making directionality essential for accurately representing international carbon flows.</w:t>
      </w:r>
      <w:r w:rsidR="00EE679A">
        <w:rPr>
          <w:b/>
          <w:bCs/>
        </w:rPr>
        <w:t xml:space="preserve"> </w:t>
      </w:r>
      <w:r w:rsidRPr="005B627C">
        <w:rPr>
          <w:sz w:val="22"/>
          <w:szCs w:val="22"/>
        </w:rPr>
        <w:t>Weights measure the volume or magnitude of carbon traded along each connection.</w:t>
      </w:r>
      <w:r w:rsidR="00B11509">
        <w:t xml:space="preserve"> </w:t>
      </w:r>
      <w:r w:rsidRPr="005B627C">
        <w:rPr>
          <w:sz w:val="22"/>
          <w:szCs w:val="22"/>
        </w:rPr>
        <w:t>Since trade relationships differ substantially in size, using weighted edges captures the unequal distribution of embodied carbon flows. Major trading partners exchange significantly larger carbon volumes than minor partners, making weighted analysis more realistic than treating every connection equally.</w:t>
      </w:r>
      <w:r w:rsidR="00EE679A">
        <w:rPr>
          <w:b/>
          <w:bCs/>
        </w:rPr>
        <w:t xml:space="preserve"> </w:t>
      </w:r>
      <w:r w:rsidRPr="005B627C">
        <w:rPr>
          <w:sz w:val="22"/>
          <w:szCs w:val="22"/>
        </w:rPr>
        <w:t xml:space="preserve">Each exporting country traded with </w:t>
      </w:r>
      <w:r w:rsidRPr="00B11509">
        <w:rPr>
          <w:sz w:val="22"/>
          <w:szCs w:val="22"/>
        </w:rPr>
        <w:t xml:space="preserve">approximately </w:t>
      </w:r>
      <w:r w:rsidRPr="00B11509">
        <w:rPr>
          <w:bCs/>
          <w:sz w:val="22"/>
          <w:szCs w:val="22"/>
        </w:rPr>
        <w:t>10 importing countries</w:t>
      </w:r>
      <w:r w:rsidRPr="005B627C">
        <w:rPr>
          <w:sz w:val="22"/>
          <w:szCs w:val="22"/>
        </w:rPr>
        <w:t xml:space="preserve"> on average throughout the study period. The consistency indicates that export diversification remained relatively stable despite temporary pandemic disruptions.</w:t>
      </w:r>
      <w:r w:rsidR="00B11509">
        <w:rPr>
          <w:b/>
          <w:bCs/>
        </w:rPr>
        <w:t xml:space="preserve"> </w:t>
      </w:r>
      <w:r w:rsidRPr="005B627C">
        <w:rPr>
          <w:sz w:val="22"/>
          <w:szCs w:val="22"/>
        </w:rPr>
        <w:t xml:space="preserve">Similarly, each importing country sourced carbon-intensive goods from about </w:t>
      </w:r>
      <w:r w:rsidRPr="00B11509">
        <w:rPr>
          <w:bCs/>
          <w:sz w:val="22"/>
          <w:szCs w:val="22"/>
        </w:rPr>
        <w:t>10 exporting countries</w:t>
      </w:r>
      <w:r w:rsidRPr="005B627C">
        <w:rPr>
          <w:sz w:val="22"/>
          <w:szCs w:val="22"/>
        </w:rPr>
        <w:t>. The equality between average in-degree and out-degree is expected in directed networks because every edge contributes once to an exporter and once to an importer. This balance suggests relatively even connectivity throughout the network.</w:t>
      </w:r>
    </w:p>
    <w:p w:rsidR="00D02861" w:rsidRPr="005B627C" w:rsidRDefault="00D02861" w:rsidP="00C70D53">
      <w:pPr>
        <w:spacing w:before="100" w:beforeAutospacing="1" w:after="100" w:afterAutospacing="1"/>
        <w:ind w:left="-426" w:right="-421"/>
        <w:jc w:val="both"/>
        <w:rPr>
          <w:rFonts w:ascii="Times New Roman" w:eastAsia="Times New Roman" w:hAnsi="Times New Roman" w:cs="Times New Roman"/>
        </w:rPr>
      </w:pPr>
      <w:r w:rsidRPr="005B627C">
        <w:rPr>
          <w:rFonts w:ascii="Times New Roman" w:eastAsia="Times New Roman" w:hAnsi="Times New Roman" w:cs="Times New Roman"/>
        </w:rPr>
        <w:t xml:space="preserve">The median degree remained constant </w:t>
      </w:r>
      <w:r w:rsidRPr="00B11509">
        <w:rPr>
          <w:rFonts w:ascii="Times New Roman" w:eastAsia="Times New Roman" w:hAnsi="Times New Roman" w:cs="Times New Roman"/>
        </w:rPr>
        <w:t xml:space="preserve">at </w:t>
      </w:r>
      <w:r w:rsidRPr="00B11509">
        <w:rPr>
          <w:rFonts w:ascii="Times New Roman" w:eastAsia="Times New Roman" w:hAnsi="Times New Roman" w:cs="Times New Roman"/>
          <w:bCs/>
        </w:rPr>
        <w:t>6</w:t>
      </w:r>
      <w:r w:rsidRPr="00B11509">
        <w:rPr>
          <w:rFonts w:ascii="Times New Roman" w:eastAsia="Times New Roman" w:hAnsi="Times New Roman" w:cs="Times New Roman"/>
        </w:rPr>
        <w:t>,</w:t>
      </w:r>
      <w:r w:rsidRPr="005B627C">
        <w:rPr>
          <w:rFonts w:ascii="Times New Roman" w:eastAsia="Times New Roman" w:hAnsi="Times New Roman" w:cs="Times New Roman"/>
        </w:rPr>
        <w:t xml:space="preserve"> indicating that half of all countries maintained six or fewer trading partners. Since the average degree (~10) exceeds the median, the degree distribution is positively skewed, implying that a small number of highly connected countries dominate the network.</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The high standard deviation indicates considerable variation among exporters. While most countries export carbon-intensive goods to relatively few partners, a small number of major exporters maintain extensive international trade relationships. Such heterogeneity reflects the dominance of leading manufacturing and exporting economies.</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Import relationships also vary substantially across countries, although the variability is much smaller than for exporters. This suggests that export concentration is greater than import concentration, meaning dominant exporting countries serve many destinations while importing countries tend to diversify their suppliers more evenly.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The coefficient of variation remains close </w:t>
      </w:r>
      <w:r w:rsidRPr="00B11509">
        <w:rPr>
          <w:rFonts w:ascii="Times New Roman" w:eastAsia="Times New Roman" w:hAnsi="Times New Roman" w:cs="Times New Roman"/>
        </w:rPr>
        <w:t xml:space="preserve">to </w:t>
      </w:r>
      <w:r w:rsidRPr="00B11509">
        <w:rPr>
          <w:rFonts w:ascii="Times New Roman" w:eastAsia="Times New Roman" w:hAnsi="Times New Roman" w:cs="Times New Roman"/>
          <w:bCs/>
        </w:rPr>
        <w:t>1.9</w:t>
      </w:r>
      <w:r w:rsidRPr="00B11509">
        <w:rPr>
          <w:rFonts w:ascii="Times New Roman" w:eastAsia="Times New Roman" w:hAnsi="Times New Roman" w:cs="Times New Roman"/>
        </w:rPr>
        <w:t>,</w:t>
      </w:r>
      <w:r w:rsidRPr="005B627C">
        <w:rPr>
          <w:rFonts w:ascii="Times New Roman" w:eastAsia="Times New Roman" w:hAnsi="Times New Roman" w:cs="Times New Roman"/>
        </w:rPr>
        <w:t xml:space="preserve"> indicating consistently high relative variability in import connectivity. The stable values suggest that the inequality in countries' import connections remained largely unchanged throughout the study period.</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Network density ranges </w:t>
      </w:r>
      <w:r w:rsidRPr="00B11509">
        <w:rPr>
          <w:rFonts w:ascii="Times New Roman" w:eastAsia="Times New Roman" w:hAnsi="Times New Roman" w:cs="Times New Roman"/>
        </w:rPr>
        <w:t xml:space="preserve">between </w:t>
      </w:r>
      <w:r w:rsidRPr="00B11509">
        <w:rPr>
          <w:rFonts w:ascii="Times New Roman" w:eastAsia="Times New Roman" w:hAnsi="Times New Roman" w:cs="Times New Roman"/>
          <w:bCs/>
        </w:rPr>
        <w:t>6.3% and 6.8%</w:t>
      </w:r>
      <w:r w:rsidRPr="00B11509">
        <w:rPr>
          <w:rFonts w:ascii="Times New Roman" w:eastAsia="Times New Roman" w:hAnsi="Times New Roman" w:cs="Times New Roman"/>
        </w:rPr>
        <w:t>,</w:t>
      </w:r>
      <w:r w:rsidRPr="005B627C">
        <w:rPr>
          <w:rFonts w:ascii="Times New Roman" w:eastAsia="Times New Roman" w:hAnsi="Times New Roman" w:cs="Times New Roman"/>
        </w:rPr>
        <w:t xml:space="preserve"> meaning only a small fraction of all possible trade relationships actually exist. Despite its low density, the network remains well connected because countries establish </w:t>
      </w:r>
      <w:r w:rsidRPr="005B627C">
        <w:rPr>
          <w:rFonts w:ascii="Times New Roman" w:eastAsia="Times New Roman" w:hAnsi="Times New Roman" w:cs="Times New Roman"/>
        </w:rPr>
        <w:lastRenderedPageBreak/>
        <w:t>trade links selectively with economically significant partners rather than with every country.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The strong positive correlation (above </w:t>
      </w:r>
      <w:r w:rsidRPr="00B11509">
        <w:rPr>
          <w:rFonts w:ascii="Times New Roman" w:eastAsia="Times New Roman" w:hAnsi="Times New Roman" w:cs="Times New Roman"/>
          <w:bCs/>
        </w:rPr>
        <w:t>0.82</w:t>
      </w:r>
      <w:r w:rsidRPr="005B627C">
        <w:rPr>
          <w:rFonts w:ascii="Times New Roman" w:eastAsia="Times New Roman" w:hAnsi="Times New Roman" w:cs="Times New Roman"/>
        </w:rPr>
        <w:t>) indicates that countries with many export connections also tend to have many import connections. This reflects the dual role of major economies, which simultaneously act as significant exporters and importers within global value chains.</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Average trade weight declined during the pandemic but increased sharply afterward, reaching its highest level in 2022. This trend indicates that although the number of trade relationships remained relatively stable, </w:t>
      </w:r>
      <w:r w:rsidRPr="00B11509">
        <w:rPr>
          <w:rFonts w:ascii="Times New Roman" w:eastAsia="Times New Roman" w:hAnsi="Times New Roman" w:cs="Times New Roman"/>
        </w:rPr>
        <w:t xml:space="preserve">the </w:t>
      </w:r>
      <w:r w:rsidRPr="00B11509">
        <w:rPr>
          <w:rFonts w:ascii="Times New Roman" w:eastAsia="Times New Roman" w:hAnsi="Times New Roman" w:cs="Times New Roman"/>
          <w:bCs/>
        </w:rPr>
        <w:t>volume of carbon embodied in each trade relationship increased considerably</w:t>
      </w:r>
      <w:r w:rsidRPr="005B627C">
        <w:rPr>
          <w:rFonts w:ascii="Times New Roman" w:eastAsia="Times New Roman" w:hAnsi="Times New Roman" w:cs="Times New Roman"/>
        </w:rPr>
        <w:t>, reflecting stronger post-pandemic economic recovery and expanding international trade.</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Global transitivity measures the tendency for countries to form interconnected trading triangles. Values </w:t>
      </w:r>
      <w:r w:rsidRPr="00B11509">
        <w:rPr>
          <w:rFonts w:ascii="Times New Roman" w:eastAsia="Times New Roman" w:hAnsi="Times New Roman" w:cs="Times New Roman"/>
        </w:rPr>
        <w:t xml:space="preserve">around </w:t>
      </w:r>
      <w:r w:rsidRPr="00B11509">
        <w:rPr>
          <w:rFonts w:ascii="Times New Roman" w:eastAsia="Times New Roman" w:hAnsi="Times New Roman" w:cs="Times New Roman"/>
          <w:bCs/>
        </w:rPr>
        <w:t>0.42</w:t>
      </w:r>
      <w:r w:rsidRPr="005B627C">
        <w:rPr>
          <w:rFonts w:ascii="Times New Roman" w:eastAsia="Times New Roman" w:hAnsi="Times New Roman" w:cs="Times New Roman"/>
        </w:rPr>
        <w:t xml:space="preserve"> indicate moderate clustering, suggesting that countries frequently trade within regional or established economic blocs. The slight increase in 2021 may reflect strengthened regional cooperation during post-pandemic recovery.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 xml:space="preserve">Approximately </w:t>
      </w:r>
      <w:r w:rsidRPr="00B11509">
        <w:rPr>
          <w:rFonts w:ascii="Times New Roman" w:eastAsia="Times New Roman" w:hAnsi="Times New Roman" w:cs="Times New Roman"/>
          <w:bCs/>
        </w:rPr>
        <w:t>45%</w:t>
      </w:r>
      <w:r w:rsidRPr="005B627C">
        <w:rPr>
          <w:rFonts w:ascii="Times New Roman" w:eastAsia="Times New Roman" w:hAnsi="Times New Roman" w:cs="Times New Roman"/>
        </w:rPr>
        <w:t xml:space="preserve"> of trade relationships are reciprocal, meaning countries both export to and import from one another. The gradual increase suggests growing mutual dependence among trading partners and increasingly integrated international supply chains.</w:t>
      </w:r>
    </w:p>
    <w:p w:rsidR="00D02861" w:rsidRDefault="006D128A" w:rsidP="00C70D53">
      <w:pPr>
        <w:spacing w:after="0"/>
        <w:ind w:left="-426" w:right="-421"/>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2777490</wp:posOffset>
            </wp:positionV>
            <wp:extent cx="3326130" cy="3188335"/>
            <wp:effectExtent l="19050" t="0" r="7620" b="0"/>
            <wp:wrapTopAndBottom/>
            <wp:docPr id="9" name="Picture 8" descr="networkcarb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carbon.jpg"/>
                    <pic:cNvPicPr/>
                  </pic:nvPicPr>
                  <pic:blipFill>
                    <a:blip r:embed="rId169" cstate="print"/>
                    <a:srcRect t="4260"/>
                    <a:stretch>
                      <a:fillRect/>
                    </a:stretch>
                  </pic:blipFill>
                  <pic:spPr>
                    <a:xfrm>
                      <a:off x="0" y="0"/>
                      <a:ext cx="3326130" cy="3188335"/>
                    </a:xfrm>
                    <a:prstGeom prst="rect">
                      <a:avLst/>
                    </a:prstGeom>
                  </pic:spPr>
                </pic:pic>
              </a:graphicData>
            </a:graphic>
          </wp:anchor>
        </w:drawing>
      </w:r>
      <w:r w:rsidR="00D02861" w:rsidRPr="005B627C">
        <w:rPr>
          <w:rFonts w:ascii="Times New Roman" w:eastAsia="Times New Roman" w:hAnsi="Times New Roman" w:cs="Times New Roman"/>
        </w:rPr>
        <w:t xml:space="preserve">Dyad reciprocity measures the proportion of country pairs engaged in mutual trade. Values </w:t>
      </w:r>
      <w:r w:rsidR="00D02861" w:rsidRPr="00B11509">
        <w:rPr>
          <w:rFonts w:ascii="Times New Roman" w:eastAsia="Times New Roman" w:hAnsi="Times New Roman" w:cs="Times New Roman"/>
        </w:rPr>
        <w:t xml:space="preserve">close to </w:t>
      </w:r>
      <w:r w:rsidR="00D02861" w:rsidRPr="00B11509">
        <w:rPr>
          <w:rFonts w:ascii="Times New Roman" w:eastAsia="Times New Roman" w:hAnsi="Times New Roman" w:cs="Times New Roman"/>
          <w:bCs/>
        </w:rPr>
        <w:t>0.29</w:t>
      </w:r>
      <w:r w:rsidR="00D02861" w:rsidRPr="005B627C">
        <w:rPr>
          <w:rFonts w:ascii="Times New Roman" w:eastAsia="Times New Roman" w:hAnsi="Times New Roman" w:cs="Times New Roman"/>
        </w:rPr>
        <w:t xml:space="preserve"> indicate that nearly one-third of bilateral relationships involve two-way exchanges. The upward trend suggests strengthening bilateral economic integration over time.</w:t>
      </w:r>
      <w:r w:rsidR="00B11509">
        <w:rPr>
          <w:rFonts w:ascii="Times New Roman" w:eastAsia="Times New Roman" w:hAnsi="Times New Roman" w:cs="Times New Roman"/>
        </w:rPr>
        <w:t xml:space="preserve"> </w:t>
      </w:r>
      <w:r w:rsidR="00B11509" w:rsidRPr="00B11509">
        <w:rPr>
          <w:rFonts w:ascii="Times New Roman" w:eastAsia="Times New Roman" w:hAnsi="Times New Roman" w:cs="Times New Roman"/>
          <w:bCs/>
          <w:kern w:val="36"/>
        </w:rPr>
        <w:t>A</w:t>
      </w:r>
      <w:r w:rsidR="00B11509">
        <w:rPr>
          <w:rFonts w:ascii="Times New Roman" w:eastAsia="Times New Roman" w:hAnsi="Times New Roman" w:cs="Times New Roman"/>
          <w:b/>
          <w:bCs/>
          <w:kern w:val="36"/>
        </w:rPr>
        <w:t xml:space="preserve"> </w:t>
      </w:r>
      <w:r w:rsidR="00D02861" w:rsidRPr="005B627C">
        <w:rPr>
          <w:rFonts w:ascii="Times New Roman" w:eastAsia="Times New Roman" w:hAnsi="Times New Roman" w:cs="Times New Roman"/>
        </w:rPr>
        <w:t xml:space="preserve">k-connectivity value </w:t>
      </w:r>
      <w:r w:rsidR="00D02861" w:rsidRPr="00B11509">
        <w:rPr>
          <w:rFonts w:ascii="Times New Roman" w:eastAsia="Times New Roman" w:hAnsi="Times New Roman" w:cs="Times New Roman"/>
        </w:rPr>
        <w:t xml:space="preserve">of </w:t>
      </w:r>
      <w:r w:rsidR="00D02861" w:rsidRPr="00B11509">
        <w:rPr>
          <w:rFonts w:ascii="Times New Roman" w:eastAsia="Times New Roman" w:hAnsi="Times New Roman" w:cs="Times New Roman"/>
          <w:bCs/>
        </w:rPr>
        <w:t>0</w:t>
      </w:r>
      <w:r w:rsidR="00D02861" w:rsidRPr="005B627C">
        <w:rPr>
          <w:rFonts w:ascii="Times New Roman" w:eastAsia="Times New Roman" w:hAnsi="Times New Roman" w:cs="Times New Roman"/>
        </w:rPr>
        <w:t xml:space="preserve"> indicates that the network does not satisfy higher-order vertex connectivity. Although the network is connected, certain key countries act as critical bridges. Removing these strategic hubs could fragment portions of the network, highlighting structural vulnerability despite overall connectivity.</w:t>
      </w:r>
      <w:r w:rsidR="00EE679A">
        <w:rPr>
          <w:rFonts w:ascii="Times New Roman" w:eastAsia="Times New Roman" w:hAnsi="Times New Roman" w:cs="Times New Roman"/>
        </w:rPr>
        <w:t xml:space="preserve"> </w:t>
      </w:r>
      <w:r w:rsidR="00D02861" w:rsidRPr="005B627C">
        <w:rPr>
          <w:rFonts w:ascii="Times New Roman" w:eastAsia="Times New Roman" w:hAnsi="Times New Roman" w:cs="Times New Roman"/>
        </w:rPr>
        <w:t xml:space="preserve">The network consistently consists </w:t>
      </w:r>
      <w:r w:rsidR="00D02861" w:rsidRPr="00B11509">
        <w:rPr>
          <w:rFonts w:ascii="Times New Roman" w:eastAsia="Times New Roman" w:hAnsi="Times New Roman" w:cs="Times New Roman"/>
        </w:rPr>
        <w:t xml:space="preserve">of </w:t>
      </w:r>
      <w:r w:rsidR="00D02861" w:rsidRPr="00B11509">
        <w:rPr>
          <w:rFonts w:ascii="Times New Roman" w:eastAsia="Times New Roman" w:hAnsi="Times New Roman" w:cs="Times New Roman"/>
          <w:bCs/>
        </w:rPr>
        <w:t>one connected component</w:t>
      </w:r>
      <w:r w:rsidR="00D02861" w:rsidRPr="00B11509">
        <w:rPr>
          <w:rFonts w:ascii="Times New Roman" w:eastAsia="Times New Roman" w:hAnsi="Times New Roman" w:cs="Times New Roman"/>
        </w:rPr>
        <w:t>,</w:t>
      </w:r>
      <w:r w:rsidR="00D02861" w:rsidRPr="005B627C">
        <w:rPr>
          <w:rFonts w:ascii="Times New Roman" w:eastAsia="Times New Roman" w:hAnsi="Times New Roman" w:cs="Times New Roman"/>
        </w:rPr>
        <w:t xml:space="preserve"> meaning every participating country is reachable through direct or indirect trade relationships. This demonstrates complete global integration of the international carbon trade network throughout the study period.</w:t>
      </w:r>
      <w:r w:rsidR="00B11509">
        <w:rPr>
          <w:rFonts w:ascii="Times New Roman" w:eastAsia="Times New Roman" w:hAnsi="Times New Roman" w:cs="Times New Roman"/>
          <w:b/>
          <w:bCs/>
          <w:kern w:val="36"/>
        </w:rPr>
        <w:t xml:space="preserve"> </w:t>
      </w:r>
      <w:r w:rsidR="00D02861" w:rsidRPr="005B627C">
        <w:rPr>
          <w:rFonts w:ascii="Times New Roman" w:eastAsia="Times New Roman" w:hAnsi="Times New Roman" w:cs="Times New Roman"/>
        </w:rPr>
        <w:t xml:space="preserve">Negative assortativity indicates a </w:t>
      </w:r>
      <w:r w:rsidR="00D02861" w:rsidRPr="00B11509">
        <w:rPr>
          <w:rFonts w:ascii="Times New Roman" w:eastAsia="Times New Roman" w:hAnsi="Times New Roman" w:cs="Times New Roman"/>
          <w:bCs/>
        </w:rPr>
        <w:t>disassortative network</w:t>
      </w:r>
      <w:r w:rsidR="00D02861" w:rsidRPr="005B627C">
        <w:rPr>
          <w:rFonts w:ascii="Times New Roman" w:eastAsia="Times New Roman" w:hAnsi="Times New Roman" w:cs="Times New Roman"/>
        </w:rPr>
        <w:t>, where highly connected countries preferentially trade with less connected countries. This structure is typical of global trade systems, where major economies serve as hubs connecting numerous smaller economies. Such a hub-and-spoke topology enhances efficiency but increases dependence on central trading nations.</w:t>
      </w:r>
      <w:r w:rsidR="00EE679A">
        <w:rPr>
          <w:rFonts w:ascii="Times New Roman" w:eastAsia="Times New Roman" w:hAnsi="Times New Roman" w:cs="Times New Roman"/>
          <w:b/>
          <w:bCs/>
          <w:kern w:val="36"/>
        </w:rPr>
        <w:t xml:space="preserve"> </w:t>
      </w:r>
      <w:r w:rsidR="00D02861" w:rsidRPr="005B627C">
        <w:rPr>
          <w:rFonts w:ascii="Times New Roman" w:eastAsia="Times New Roman" w:hAnsi="Times New Roman" w:cs="Times New Roman"/>
        </w:rPr>
        <w:t xml:space="preserve">The network </w:t>
      </w:r>
      <w:r w:rsidR="00D02861" w:rsidRPr="00B11509">
        <w:rPr>
          <w:rFonts w:ascii="Times New Roman" w:eastAsia="Times New Roman" w:hAnsi="Times New Roman" w:cs="Times New Roman"/>
        </w:rPr>
        <w:t xml:space="preserve">contains </w:t>
      </w:r>
      <w:r w:rsidR="00D02861" w:rsidRPr="00B11509">
        <w:rPr>
          <w:rFonts w:ascii="Times New Roman" w:eastAsia="Times New Roman" w:hAnsi="Times New Roman" w:cs="Times New Roman"/>
          <w:bCs/>
        </w:rPr>
        <w:t>18–19 cliques</w:t>
      </w:r>
      <w:r w:rsidR="00D02861" w:rsidRPr="005B627C">
        <w:rPr>
          <w:rFonts w:ascii="Times New Roman" w:eastAsia="Times New Roman" w:hAnsi="Times New Roman" w:cs="Times New Roman"/>
        </w:rPr>
        <w:t>, indicating multiple groups of countries with fully interconnected trade relationships. These cliques likely correspond to regional trading blocs, economic alliances, or tightly integrated supply chains. The stability of clique numbers suggests persistent regional cooperation throughout the study period.</w:t>
      </w:r>
    </w:p>
    <w:p w:rsidR="006D128A" w:rsidRPr="006D128A" w:rsidRDefault="006D128A" w:rsidP="00C70D53">
      <w:pPr>
        <w:spacing w:after="0"/>
        <w:ind w:left="-426" w:right="-421"/>
        <w:jc w:val="center"/>
        <w:rPr>
          <w:rFonts w:ascii="Times New Roman" w:eastAsia="Times New Roman" w:hAnsi="Times New Roman" w:cs="Times New Roman"/>
          <w:sz w:val="20"/>
          <w:szCs w:val="20"/>
        </w:rPr>
      </w:pPr>
      <w:r w:rsidRPr="006D128A">
        <w:rPr>
          <w:rFonts w:ascii="Times New Roman" w:eastAsia="Times New Roman" w:hAnsi="Times New Roman" w:cs="Times New Roman"/>
          <w:sz w:val="20"/>
          <w:szCs w:val="20"/>
        </w:rPr>
        <w:lastRenderedPageBreak/>
        <w:t xml:space="preserve">Source: </w:t>
      </w:r>
      <w:r w:rsidRPr="006D128A">
        <w:rPr>
          <w:rFonts w:ascii="Times New Roman" w:hAnsi="Times New Roman" w:cs="Times New Roman"/>
          <w:i/>
          <w:sz w:val="20"/>
          <w:szCs w:val="20"/>
        </w:rPr>
        <w:t>Prepared by the author based on WITS repository data and R</w:t>
      </w:r>
    </w:p>
    <w:p w:rsidR="00AA767F" w:rsidRPr="00EE679A" w:rsidRDefault="006D128A" w:rsidP="00C70D53">
      <w:pPr>
        <w:spacing w:after="0"/>
        <w:ind w:left="-426" w:right="-421"/>
        <w:jc w:val="center"/>
        <w:rPr>
          <w:rFonts w:ascii="Times New Roman" w:eastAsia="Times New Roman" w:hAnsi="Times New Roman" w:cs="Times New Roman"/>
        </w:rPr>
      </w:pPr>
      <w:r>
        <w:rPr>
          <w:rFonts w:ascii="Times New Roman" w:eastAsia="Times New Roman" w:hAnsi="Times New Roman" w:cs="Times New Roman"/>
        </w:rPr>
        <w:t>Figure 2: International Carbon Trade Network for an average of 4 years</w:t>
      </w:r>
    </w:p>
    <w:p w:rsidR="00EE679A" w:rsidRPr="00F00CA0" w:rsidRDefault="00D02861" w:rsidP="00C70D53">
      <w:pPr>
        <w:spacing w:before="100" w:beforeAutospacing="1" w:after="100" w:afterAutospacing="1"/>
        <w:ind w:left="-426" w:right="-421"/>
        <w:jc w:val="both"/>
        <w:rPr>
          <w:rFonts w:ascii="Times New Roman" w:eastAsia="Times New Roman" w:hAnsi="Times New Roman" w:cs="Times New Roman"/>
        </w:rPr>
      </w:pPr>
      <w:r w:rsidRPr="005B627C">
        <w:rPr>
          <w:rFonts w:ascii="Times New Roman" w:eastAsia="Times New Roman" w:hAnsi="Times New Roman" w:cs="Times New Roman"/>
        </w:rPr>
        <w:t xml:space="preserve">Overall, these findings portray the ICTN as </w:t>
      </w:r>
      <w:r w:rsidRPr="00EE679A">
        <w:rPr>
          <w:rFonts w:ascii="Times New Roman" w:eastAsia="Times New Roman" w:hAnsi="Times New Roman" w:cs="Times New Roman"/>
        </w:rPr>
        <w:t xml:space="preserve">a </w:t>
      </w:r>
      <w:r w:rsidRPr="00EE679A">
        <w:rPr>
          <w:rFonts w:ascii="Times New Roman" w:eastAsia="Times New Roman" w:hAnsi="Times New Roman" w:cs="Times New Roman"/>
          <w:bCs/>
        </w:rPr>
        <w:t>globally integrated, scale-free, and hub-dominated network</w:t>
      </w:r>
      <w:r w:rsidRPr="005B627C">
        <w:rPr>
          <w:rFonts w:ascii="Times New Roman" w:eastAsia="Times New Roman" w:hAnsi="Times New Roman" w:cs="Times New Roman"/>
        </w:rPr>
        <w:t xml:space="preserve"> with stable structural characteristics </w:t>
      </w:r>
      <w:r w:rsidR="00EE679A" w:rsidRPr="00F00CA0">
        <w:rPr>
          <w:rFonts w:ascii="Times New Roman" w:eastAsia="Times New Roman" w:hAnsi="Times New Roman" w:cs="Times New Roman"/>
        </w:rPr>
        <w:t>from 2019 to 2022</w:t>
      </w:r>
      <w:r w:rsidR="00AA767F">
        <w:rPr>
          <w:rFonts w:ascii="Times New Roman" w:eastAsia="Times New Roman" w:hAnsi="Times New Roman" w:cs="Times New Roman"/>
        </w:rPr>
        <w:t xml:space="preserve"> (Figure 2)</w:t>
      </w:r>
      <w:r w:rsidRPr="005B627C">
        <w:rPr>
          <w:rFonts w:ascii="Times New Roman" w:eastAsia="Times New Roman" w:hAnsi="Times New Roman" w:cs="Times New Roman"/>
        </w:rPr>
        <w:t xml:space="preserve">. </w:t>
      </w:r>
      <w:r w:rsidR="00EE679A" w:rsidRPr="00F00CA0">
        <w:rPr>
          <w:rFonts w:ascii="Times New Roman" w:eastAsia="Times New Roman" w:hAnsi="Times New Roman" w:cs="Times New Roman"/>
        </w:rPr>
        <w:t>The relatively constant numbers of nodes, edges, and average degree indicate that participation and connectivity remained robust despite temporary market disruptions in 2020. The increase in average trade weight after 2020 reflects a strong recovery in global carbon trading activity.</w:t>
      </w:r>
      <w:r w:rsidR="00EE679A">
        <w:rPr>
          <w:rFonts w:ascii="Times New Roman" w:eastAsia="Times New Roman" w:hAnsi="Times New Roman" w:cs="Times New Roman"/>
        </w:rPr>
        <w:t xml:space="preserve"> </w:t>
      </w:r>
      <w:r w:rsidRPr="005B627C">
        <w:rPr>
          <w:rFonts w:ascii="Times New Roman" w:eastAsia="Times New Roman" w:hAnsi="Times New Roman" w:cs="Times New Roman"/>
        </w:rPr>
        <w:t>While the network demonstrates resilience through sustained connectivity and post-pandemic recovery, its dependence on a limited number of highly connected economies suggests potential vulnerability to disruptions affecting these central trading hubs. This structure is consistent with the organization of global production networks, where economically powerful countries coordinate and channel a substantial share of international carbon-embodied trade.</w:t>
      </w:r>
      <w:r w:rsidR="00EE679A">
        <w:rPr>
          <w:rFonts w:ascii="Times New Roman" w:eastAsia="Times New Roman" w:hAnsi="Times New Roman" w:cs="Times New Roman"/>
        </w:rPr>
        <w:t xml:space="preserve"> Further, t</w:t>
      </w:r>
      <w:r w:rsidR="00EE679A" w:rsidRPr="00F00CA0">
        <w:rPr>
          <w:rFonts w:ascii="Times New Roman" w:eastAsia="Times New Roman" w:hAnsi="Times New Roman" w:cs="Times New Roman"/>
        </w:rPr>
        <w:t>he network exhibits characteristics typical</w:t>
      </w:r>
      <w:r w:rsidR="00EE679A">
        <w:rPr>
          <w:rFonts w:ascii="Times New Roman" w:eastAsia="Times New Roman" w:hAnsi="Times New Roman" w:cs="Times New Roman"/>
        </w:rPr>
        <w:t xml:space="preserve"> of international trade systems such as</w:t>
      </w:r>
      <w:r w:rsidR="00EE679A" w:rsidRPr="00F00CA0">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low density</w:t>
      </w:r>
      <w:r w:rsidR="00EE679A" w:rsidRPr="00EE679A">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high degree heterogeneity</w:t>
      </w:r>
      <w:r w:rsidR="00EE679A" w:rsidRPr="00EE679A">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moderate clustering</w:t>
      </w:r>
      <w:r w:rsidR="00EE679A" w:rsidRPr="00EE679A">
        <w:rPr>
          <w:rFonts w:ascii="Times New Roman" w:eastAsia="Times New Roman" w:hAnsi="Times New Roman" w:cs="Times New Roman"/>
        </w:rPr>
        <w:t xml:space="preserve">, </w:t>
      </w:r>
      <w:r w:rsidR="00EE679A" w:rsidRPr="00EE679A">
        <w:rPr>
          <w:rFonts w:ascii="Times New Roman" w:eastAsia="Times New Roman" w:hAnsi="Times New Roman" w:cs="Times New Roman"/>
          <w:bCs/>
        </w:rPr>
        <w:t>strong reciprocity</w:t>
      </w:r>
      <w:r w:rsidR="00EE679A" w:rsidRPr="00EE679A">
        <w:rPr>
          <w:rFonts w:ascii="Times New Roman" w:eastAsia="Times New Roman" w:hAnsi="Times New Roman" w:cs="Times New Roman"/>
        </w:rPr>
        <w:t xml:space="preserve">, and </w:t>
      </w:r>
      <w:r w:rsidR="00EE679A" w:rsidRPr="00EE679A">
        <w:rPr>
          <w:rFonts w:ascii="Times New Roman" w:eastAsia="Times New Roman" w:hAnsi="Times New Roman" w:cs="Times New Roman"/>
          <w:bCs/>
        </w:rPr>
        <w:t>negative assortativity</w:t>
      </w:r>
      <w:r w:rsidR="00EE679A" w:rsidRPr="00EE679A">
        <w:rPr>
          <w:rFonts w:ascii="Times New Roman" w:eastAsia="Times New Roman" w:hAnsi="Times New Roman" w:cs="Times New Roman"/>
        </w:rPr>
        <w:t>.</w:t>
      </w:r>
      <w:r w:rsidR="00EE679A" w:rsidRPr="00F00CA0">
        <w:rPr>
          <w:rFonts w:ascii="Times New Roman" w:eastAsia="Times New Roman" w:hAnsi="Times New Roman" w:cs="Times New Roman"/>
        </w:rPr>
        <w:t xml:space="preserve"> These findings indicate that carbon trading is concentrated around a limited number of influential hub countries that facilitate transactions across a broader set of less-connected participants. Furthermore, the existence of a single connected component and stable clique structure suggests that the global carbon market functions as an integrated system while maintaining regional trading communities.</w:t>
      </w:r>
    </w:p>
    <w:p w:rsidR="0079700C" w:rsidRPr="00C17DCF" w:rsidRDefault="00E370CC" w:rsidP="00C70D53">
      <w:pPr>
        <w:spacing w:after="0"/>
        <w:ind w:left="-426" w:right="-421"/>
        <w:rPr>
          <w:rFonts w:ascii="Times New Roman" w:hAnsi="Times New Roman" w:cs="Times New Roman"/>
          <w:b/>
          <w:lang w:val="en-IN"/>
        </w:rPr>
      </w:pPr>
      <w:r w:rsidRPr="00C17DCF">
        <w:rPr>
          <w:rFonts w:ascii="Times New Roman" w:hAnsi="Times New Roman" w:cs="Times New Roman"/>
          <w:b/>
          <w:lang w:val="en-IN"/>
        </w:rPr>
        <w:t>4.2 Exponential Random Graphs Model (ERGM)</w:t>
      </w:r>
    </w:p>
    <w:p w:rsidR="000B608C" w:rsidRPr="00F00CA0" w:rsidRDefault="00466299" w:rsidP="00C70D53">
      <w:pPr>
        <w:spacing w:after="0"/>
        <w:ind w:left="-426" w:right="-421"/>
        <w:rPr>
          <w:rFonts w:ascii="Times New Roman" w:hAnsi="Times New Roman" w:cs="Times New Roman"/>
          <w:lang w:val="en-IN"/>
        </w:rPr>
      </w:pPr>
      <w:r>
        <w:rPr>
          <w:rFonts w:ascii="Times New Roman" w:hAnsi="Times New Roman" w:cs="Times New Roman"/>
          <w:lang w:val="en-IN"/>
        </w:rPr>
        <w:t>A</w:t>
      </w:r>
      <w:r w:rsidR="00E370CC" w:rsidRPr="00F00CA0">
        <w:rPr>
          <w:rFonts w:ascii="Times New Roman" w:hAnsi="Times New Roman" w:cs="Times New Roman"/>
          <w:lang w:val="en-IN"/>
        </w:rPr>
        <w:t>n integrated analysis of the Exponential Random Graph Model (ERGM) results across the four-year obser</w:t>
      </w:r>
      <w:r>
        <w:rPr>
          <w:rFonts w:ascii="Times New Roman" w:hAnsi="Times New Roman" w:cs="Times New Roman"/>
          <w:lang w:val="en-IN"/>
        </w:rPr>
        <w:t xml:space="preserve">vation period (2019–2022) </w:t>
      </w:r>
      <w:r w:rsidR="00E370CC" w:rsidRPr="00F00CA0">
        <w:rPr>
          <w:rFonts w:ascii="Times New Roman" w:hAnsi="Times New Roman" w:cs="Times New Roman"/>
          <w:lang w:val="en-IN"/>
        </w:rPr>
        <w:t>synthesis brings together the individual yearly empirical estimations into a cohesive academi</w:t>
      </w:r>
      <w:r w:rsidR="00D02861">
        <w:rPr>
          <w:rFonts w:ascii="Times New Roman" w:hAnsi="Times New Roman" w:cs="Times New Roman"/>
          <w:lang w:val="en-IN"/>
        </w:rPr>
        <w:t xml:space="preserve">c discussion suitable for the </w:t>
      </w:r>
      <w:r w:rsidR="00E370CC" w:rsidRPr="00F00CA0">
        <w:rPr>
          <w:rFonts w:ascii="Times New Roman" w:hAnsi="Times New Roman" w:cs="Times New Roman"/>
          <w:lang w:val="en-IN"/>
        </w:rPr>
        <w:t>Resul</w:t>
      </w:r>
      <w:r w:rsidR="00D02861">
        <w:rPr>
          <w:rFonts w:ascii="Times New Roman" w:hAnsi="Times New Roman" w:cs="Times New Roman"/>
          <w:lang w:val="en-IN"/>
        </w:rPr>
        <w:t>ts and Discussion</w:t>
      </w:r>
      <w:r w:rsidR="00E370CC" w:rsidRPr="00F00CA0">
        <w:rPr>
          <w:rFonts w:ascii="Times New Roman" w:hAnsi="Times New Roman" w:cs="Times New Roman"/>
          <w:lang w:val="en-IN"/>
        </w:rPr>
        <w:t xml:space="preserve"> section of your research paper.</w:t>
      </w:r>
    </w:p>
    <w:tbl>
      <w:tblPr>
        <w:tblW w:w="10490" w:type="dxa"/>
        <w:jc w:val="center"/>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99"/>
        <w:gridCol w:w="1418"/>
        <w:gridCol w:w="1559"/>
        <w:gridCol w:w="1418"/>
        <w:gridCol w:w="1559"/>
        <w:gridCol w:w="1418"/>
        <w:gridCol w:w="1419"/>
      </w:tblGrid>
      <w:tr w:rsidR="00D02861" w:rsidRPr="00C70D53" w:rsidTr="00466299">
        <w:trPr>
          <w:trHeight w:val="304"/>
          <w:jc w:val="center"/>
        </w:trPr>
        <w:tc>
          <w:tcPr>
            <w:tcW w:w="10490" w:type="dxa"/>
            <w:gridSpan w:val="7"/>
            <w:shd w:val="clear" w:color="auto" w:fill="auto"/>
            <w:vAlign w:val="center"/>
            <w:hideMark/>
          </w:tcPr>
          <w:p w:rsidR="00D02861" w:rsidRPr="00C70D53" w:rsidRDefault="00D0286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 xml:space="preserve">Table 3: </w:t>
            </w:r>
            <w:r w:rsidR="00976863" w:rsidRPr="00C70D53">
              <w:rPr>
                <w:rFonts w:ascii="Times New Roman" w:eastAsia="Times New Roman" w:hAnsi="Times New Roman" w:cs="Times New Roman"/>
                <w:b/>
                <w:bCs/>
                <w:color w:val="1F1F1F"/>
                <w:sz w:val="18"/>
                <w:szCs w:val="18"/>
              </w:rPr>
              <w:t>Maximum Likelihood Results of ERGM (Estimates and Significance)</w:t>
            </w:r>
          </w:p>
        </w:tc>
      </w:tr>
      <w:tr w:rsidR="00976863" w:rsidRPr="00C70D53" w:rsidTr="00F25482">
        <w:trPr>
          <w:trHeight w:val="540"/>
          <w:jc w:val="center"/>
        </w:trPr>
        <w:tc>
          <w:tcPr>
            <w:tcW w:w="169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Covariate Term</w:t>
            </w:r>
          </w:p>
        </w:tc>
        <w:tc>
          <w:tcPr>
            <w:tcW w:w="1418"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Connected Indicator</w:t>
            </w:r>
          </w:p>
        </w:tc>
        <w:tc>
          <w:tcPr>
            <w:tcW w:w="155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Mapped SDG Goal</w:t>
            </w:r>
          </w:p>
        </w:tc>
        <w:tc>
          <w:tcPr>
            <w:tcW w:w="1418"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2019 Estimate</w:t>
            </w:r>
          </w:p>
        </w:tc>
        <w:tc>
          <w:tcPr>
            <w:tcW w:w="155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2020 Estimate</w:t>
            </w:r>
          </w:p>
        </w:tc>
        <w:tc>
          <w:tcPr>
            <w:tcW w:w="1418"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2021 Estimate</w:t>
            </w:r>
          </w:p>
        </w:tc>
        <w:tc>
          <w:tcPr>
            <w:tcW w:w="141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2022 Estimate</w:t>
            </w:r>
          </w:p>
        </w:tc>
      </w:tr>
      <w:tr w:rsidR="00976863" w:rsidRPr="00C70D53" w:rsidTr="00F25482">
        <w:trPr>
          <w:trHeight w:val="583"/>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edges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 xml:space="preserve">Baseline </w:t>
            </w:r>
            <w:proofErr w:type="spellStart"/>
            <w:r w:rsidRPr="00C70D53">
              <w:rPr>
                <w:rFonts w:ascii="Times New Roman" w:eastAsia="Times New Roman" w:hAnsi="Times New Roman" w:cs="Times New Roman"/>
                <w:color w:val="1F1F1F"/>
                <w:sz w:val="18"/>
                <w:szCs w:val="18"/>
              </w:rPr>
              <w:t>Sparsity</w:t>
            </w:r>
            <w:proofErr w:type="spellEnd"/>
            <w:r w:rsidRPr="00C70D53">
              <w:rPr>
                <w:rFonts w:ascii="Times New Roman" w:eastAsia="Times New Roman" w:hAnsi="Times New Roman" w:cs="Times New Roman"/>
                <w:color w:val="1F1F1F"/>
                <w:sz w:val="18"/>
                <w:szCs w:val="18"/>
              </w:rPr>
              <w:t xml:space="preserve"> Intercept</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-3.118 ***</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-4.218</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-2.992</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-3.125</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540"/>
          <w:jc w:val="center"/>
        </w:trPr>
        <w:tc>
          <w:tcPr>
            <w:tcW w:w="169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Nodal Main Effects (</w:t>
            </w:r>
            <w:proofErr w:type="spellStart"/>
            <w:r w:rsidRPr="00C70D53">
              <w:rPr>
                <w:rFonts w:ascii="Times New Roman" w:eastAsia="Times New Roman" w:hAnsi="Times New Roman" w:cs="Times New Roman"/>
                <w:color w:val="1F1F1F"/>
                <w:sz w:val="18"/>
                <w:szCs w:val="18"/>
              </w:rPr>
              <w:t>nodecov</w:t>
            </w:r>
            <w:proofErr w:type="spellEnd"/>
            <w:r w:rsidRPr="00C70D53">
              <w:rPr>
                <w:rFonts w:ascii="Times New Roman" w:eastAsia="Times New Roman" w:hAnsi="Times New Roman" w:cs="Times New Roman"/>
                <w:b/>
                <w:bCs/>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r>
      <w:tr w:rsidR="00976863" w:rsidRPr="00C70D53" w:rsidTr="00F25482">
        <w:trPr>
          <w:trHeight w:val="528"/>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 (current US$)</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1.28</w:t>
            </w:r>
            <w:r w:rsidR="00976863" w:rsidRPr="00C70D53">
              <w:rPr>
                <w:rFonts w:ascii="Times New Roman" w:eastAsia="Times New Roman" w:hAnsi="Times New Roman" w:cs="Times New Roman"/>
                <w:color w:val="1F1F1F"/>
                <w:sz w:val="18"/>
                <w:szCs w:val="18"/>
              </w:rPr>
              <w:t>e</w:t>
            </w:r>
            <w:r w:rsidRPr="00C70D53">
              <w:rPr>
                <w:rFonts w:ascii="Times New Roman" w:eastAsia="Times New Roman" w:hAnsi="Times New Roman" w:cs="Times New Roman"/>
                <w:color w:val="1F1F1F"/>
                <w:sz w:val="18"/>
                <w:szCs w:val="18"/>
              </w:rPr>
              <w:t>-06</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-6.870</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-06</w:t>
            </w: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1.64</w:t>
            </w:r>
            <w:r w:rsidR="00976863" w:rsidRPr="00C70D53">
              <w:rPr>
                <w:rFonts w:ascii="Times New Roman" w:eastAsia="Times New Roman" w:hAnsi="Times New Roman" w:cs="Times New Roman"/>
                <w:color w:val="1F1F1F"/>
                <w:sz w:val="18"/>
                <w:szCs w:val="18"/>
              </w:rPr>
              <w:t>e</w:t>
            </w:r>
            <w:r w:rsidRPr="00C70D53">
              <w:rPr>
                <w:rFonts w:ascii="Times New Roman" w:eastAsia="Times New Roman" w:hAnsi="Times New Roman" w:cs="Times New Roman"/>
                <w:color w:val="1F1F1F"/>
                <w:sz w:val="18"/>
                <w:szCs w:val="18"/>
              </w:rPr>
              <w:t>-06</w:t>
            </w:r>
          </w:p>
        </w:tc>
        <w:tc>
          <w:tcPr>
            <w:tcW w:w="1419"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1.34e</w:t>
            </w:r>
            <w:r w:rsidR="00770CC1" w:rsidRPr="00C70D53">
              <w:rPr>
                <w:rFonts w:ascii="Times New Roman" w:eastAsia="Times New Roman" w:hAnsi="Times New Roman" w:cs="Times New Roman"/>
                <w:color w:val="1F1F1F"/>
                <w:sz w:val="18"/>
                <w:szCs w:val="18"/>
              </w:rPr>
              <w:t>-06</w:t>
            </w:r>
          </w:p>
        </w:tc>
      </w:tr>
      <w:tr w:rsidR="00976863" w:rsidRPr="00C70D53" w:rsidTr="00F25482">
        <w:trPr>
          <w:trHeight w:val="608"/>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 US$)</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4.88e</w:t>
            </w:r>
            <w:r w:rsidR="00770CC1" w:rsidRPr="00C70D53">
              <w:rPr>
                <w:rFonts w:ascii="Times New Roman" w:eastAsia="Times New Roman" w:hAnsi="Times New Roman" w:cs="Times New Roman"/>
                <w:color w:val="1F1F1F"/>
                <w:sz w:val="18"/>
                <w:szCs w:val="18"/>
              </w:rPr>
              <w:t>-14</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2.609</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-13</w:t>
            </w: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4.09e</w:t>
            </w:r>
            <w:r w:rsidR="00770CC1" w:rsidRPr="00C70D53">
              <w:rPr>
                <w:rFonts w:ascii="Times New Roman" w:eastAsia="Times New Roman" w:hAnsi="Times New Roman" w:cs="Times New Roman"/>
                <w:color w:val="1F1F1F"/>
                <w:sz w:val="18"/>
                <w:szCs w:val="18"/>
              </w:rPr>
              <w:t>-14</w:t>
            </w:r>
          </w:p>
        </w:tc>
        <w:tc>
          <w:tcPr>
            <w:tcW w:w="1419"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5.01e</w:t>
            </w:r>
            <w:r w:rsidR="00770CC1" w:rsidRPr="00C70D53">
              <w:rPr>
                <w:rFonts w:ascii="Times New Roman" w:eastAsia="Times New Roman" w:hAnsi="Times New Roman" w:cs="Times New Roman"/>
                <w:color w:val="1F1F1F"/>
                <w:sz w:val="18"/>
                <w:szCs w:val="18"/>
              </w:rPr>
              <w:t>-14</w:t>
            </w:r>
          </w:p>
        </w:tc>
      </w:tr>
      <w:tr w:rsidR="00976863" w:rsidRPr="00C70D53" w:rsidTr="00F25482">
        <w:trPr>
          <w:trHeight w:val="688"/>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pct GDP</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value added (% of GDP)</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9: Industry, Innovation &amp; Infrastructure</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0.01768</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0.03256 ***</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0.01802 ***</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0.01771</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830"/>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 consumption (%)</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7: Affordable &amp; Clean Energy</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-0.01370***</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-0.004955***</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-0.01383</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-0.01372</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687"/>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greenhouse gases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GHG emissions including LULUCF</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0.000282</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-0.0003341</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0.000291</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0.0002845</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684"/>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lastRenderedPageBreak/>
              <w:t>Total greenhouse gases Pc</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GHG emissions pc excluding LULUCF</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0.01168</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-0.02280 **</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0.01096</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0.01152</w:t>
            </w:r>
          </w:p>
        </w:tc>
      </w:tr>
      <w:tr w:rsidR="00976863" w:rsidRPr="00C70D53" w:rsidTr="00F25482">
        <w:trPr>
          <w:trHeight w:val="555"/>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Carbon dioxide emissions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CO2 emissions per capita</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-0.09834</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0.01369</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-0.09921</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-0.09851</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606"/>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 (% of GDP)</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0.0003044</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0.005156</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0.0005253</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0.0003124</w:t>
            </w:r>
          </w:p>
        </w:tc>
      </w:tr>
      <w:tr w:rsidR="00976863" w:rsidRPr="00C70D53" w:rsidTr="00F25482">
        <w:trPr>
          <w:trHeight w:val="552"/>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pct GDP</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 of GDP)</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0.0004443</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-0.003134</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0.0003654</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0.0004312</w:t>
            </w:r>
          </w:p>
        </w:tc>
      </w:tr>
      <w:tr w:rsidR="00976863" w:rsidRPr="00C70D53" w:rsidTr="00F25482">
        <w:trPr>
          <w:trHeight w:val="760"/>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capacity</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performance indicators (SPI)</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0.006144</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0.003953</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0.006096 ***</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0.006132</w:t>
            </w:r>
            <w:r w:rsidR="00770CC1" w:rsidRPr="00C70D53">
              <w:rPr>
                <w:rFonts w:ascii="Times New Roman" w:eastAsia="Times New Roman" w:hAnsi="Times New Roman" w:cs="Times New Roman"/>
                <w:color w:val="1F1F1F"/>
                <w:sz w:val="18"/>
                <w:szCs w:val="18"/>
              </w:rPr>
              <w:t>***</w:t>
            </w:r>
          </w:p>
        </w:tc>
      </w:tr>
      <w:tr w:rsidR="00976863" w:rsidRPr="00C70D53" w:rsidTr="00341151">
        <w:trPr>
          <w:trHeight w:val="632"/>
          <w:jc w:val="center"/>
        </w:trPr>
        <w:tc>
          <w:tcPr>
            <w:tcW w:w="169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Relational Differences (</w:t>
            </w:r>
            <w:proofErr w:type="spellStart"/>
            <w:r w:rsidRPr="00C70D53">
              <w:rPr>
                <w:rFonts w:ascii="Times New Roman" w:eastAsia="Times New Roman" w:hAnsi="Times New Roman" w:cs="Times New Roman"/>
                <w:color w:val="1F1F1F"/>
                <w:sz w:val="18"/>
                <w:szCs w:val="18"/>
              </w:rPr>
              <w:t>absdiff</w:t>
            </w:r>
            <w:proofErr w:type="spellEnd"/>
            <w:r w:rsidRPr="00C70D53">
              <w:rPr>
                <w:rFonts w:ascii="Times New Roman" w:eastAsia="Times New Roman" w:hAnsi="Times New Roman" w:cs="Times New Roman"/>
                <w:b/>
                <w:bCs/>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r>
      <w:tr w:rsidR="00976863" w:rsidRPr="00C70D53" w:rsidTr="00F25482">
        <w:trPr>
          <w:trHeight w:val="69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per capita</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per-capita GDP</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7.11e</w:t>
            </w:r>
            <w:r w:rsidR="00770CC1" w:rsidRPr="00C70D53">
              <w:rPr>
                <w:rFonts w:ascii="Times New Roman" w:eastAsia="Times New Roman" w:hAnsi="Times New Roman" w:cs="Times New Roman"/>
                <w:color w:val="1F1F1F"/>
                <w:sz w:val="18"/>
                <w:szCs w:val="18"/>
              </w:rPr>
              <w:t>-07</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7.906</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-06</w:t>
            </w: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7.22e</w:t>
            </w:r>
            <w:r w:rsidR="00770CC1" w:rsidRPr="00C70D53">
              <w:rPr>
                <w:rFonts w:ascii="Times New Roman" w:eastAsia="Times New Roman" w:hAnsi="Times New Roman" w:cs="Times New Roman"/>
                <w:color w:val="1F1F1F"/>
                <w:sz w:val="18"/>
                <w:szCs w:val="18"/>
              </w:rPr>
              <w:t>-07</w:t>
            </w:r>
          </w:p>
        </w:tc>
        <w:tc>
          <w:tcPr>
            <w:tcW w:w="1419"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7.15e</w:t>
            </w:r>
            <w:r w:rsidR="00770CC1" w:rsidRPr="00C70D53">
              <w:rPr>
                <w:rFonts w:ascii="Times New Roman" w:eastAsia="Times New Roman" w:hAnsi="Times New Roman" w:cs="Times New Roman"/>
                <w:color w:val="1F1F1F"/>
                <w:sz w:val="18"/>
                <w:szCs w:val="18"/>
              </w:rPr>
              <w:t>-07</w:t>
            </w:r>
          </w:p>
        </w:tc>
      </w:tr>
      <w:tr w:rsidR="00976863" w:rsidRPr="00C70D53" w:rsidTr="00F25482">
        <w:trPr>
          <w:trHeight w:val="69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GDP constant 2015</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aggregate GDP</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8: Decent Work &amp; Economic Growth</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-1.12e</w:t>
            </w:r>
            <w:r w:rsidR="00770CC1" w:rsidRPr="00C70D53">
              <w:rPr>
                <w:rFonts w:ascii="Times New Roman" w:eastAsia="Times New Roman" w:hAnsi="Times New Roman" w:cs="Times New Roman"/>
                <w:color w:val="1F1F1F"/>
                <w:sz w:val="18"/>
                <w:szCs w:val="18"/>
              </w:rPr>
              <w:t>-14</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-1.557</w:t>
            </w:r>
            <w:r w:rsidR="00976863" w:rsidRPr="00C70D53">
              <w:rPr>
                <w:rFonts w:ascii="Times New Roman" w:eastAsia="Times New Roman" w:hAnsi="Times New Roman" w:cs="Times New Roman"/>
                <w:color w:val="1F1F1F"/>
                <w:sz w:val="18"/>
                <w:szCs w:val="18"/>
              </w:rPr>
              <w:t>e</w:t>
            </w:r>
            <w:r w:rsidR="00A67B62" w:rsidRPr="00C70D53">
              <w:rPr>
                <w:rFonts w:ascii="Times New Roman" w:eastAsia="Times New Roman" w:hAnsi="Times New Roman" w:cs="Times New Roman"/>
                <w:color w:val="1F1F1F"/>
                <w:sz w:val="18"/>
                <w:szCs w:val="18"/>
              </w:rPr>
              <w:t>-13</w:t>
            </w: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-1.15e</w:t>
            </w:r>
            <w:r w:rsidR="00770CC1" w:rsidRPr="00C70D53">
              <w:rPr>
                <w:rFonts w:ascii="Times New Roman" w:eastAsia="Times New Roman" w:hAnsi="Times New Roman" w:cs="Times New Roman"/>
                <w:color w:val="1F1F1F"/>
                <w:sz w:val="18"/>
                <w:szCs w:val="18"/>
              </w:rPr>
              <w:t>-14</w:t>
            </w:r>
          </w:p>
        </w:tc>
        <w:tc>
          <w:tcPr>
            <w:tcW w:w="1419"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-1.13e</w:t>
            </w:r>
            <w:r w:rsidR="00770CC1" w:rsidRPr="00C70D53">
              <w:rPr>
                <w:rFonts w:ascii="Times New Roman" w:eastAsia="Times New Roman" w:hAnsi="Times New Roman" w:cs="Times New Roman"/>
                <w:color w:val="1F1F1F"/>
                <w:sz w:val="18"/>
                <w:szCs w:val="18"/>
              </w:rPr>
              <w:t>-14</w:t>
            </w:r>
          </w:p>
        </w:tc>
      </w:tr>
      <w:tr w:rsidR="00976863" w:rsidRPr="00C70D53" w:rsidTr="00F25482">
        <w:trPr>
          <w:trHeight w:val="695"/>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Industry pct GDP</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industrial share</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9: Industry, Innovation &amp; Infrastructure</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0.006601</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0.01099</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0.006556</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0.006588</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551"/>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Renewable energy</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renewable energy adoption</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7: Affordable &amp; Clean Energy</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0.003020</w:t>
            </w:r>
            <w:r w:rsidR="00770CC1" w:rsidRPr="00C70D53">
              <w:rPr>
                <w:rFonts w:ascii="Times New Roman" w:eastAsia="Times New Roman" w:hAnsi="Times New Roman" w:cs="Times New Roman"/>
                <w:color w:val="1F1F1F"/>
                <w:sz w:val="18"/>
                <w:szCs w:val="18"/>
              </w:rPr>
              <w:t>*</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-0.003502</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0.002998</w:t>
            </w:r>
            <w:r w:rsidR="00770CC1" w:rsidRPr="00C70D53">
              <w:rPr>
                <w:rFonts w:ascii="Times New Roman" w:eastAsia="Times New Roman" w:hAnsi="Times New Roman" w:cs="Times New Roman"/>
                <w:color w:val="1F1F1F"/>
                <w:sz w:val="18"/>
                <w:szCs w:val="18"/>
              </w:rPr>
              <w:t>*</w:t>
            </w:r>
          </w:p>
        </w:tc>
        <w:tc>
          <w:tcPr>
            <w:tcW w:w="141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0.003012</w:t>
            </w:r>
            <w:r w:rsidR="00770CC1" w:rsidRPr="00C70D53">
              <w:rPr>
                <w:rFonts w:ascii="Times New Roman" w:eastAsia="Times New Roman" w:hAnsi="Times New Roman" w:cs="Times New Roman"/>
                <w:color w:val="1F1F1F"/>
                <w:sz w:val="18"/>
                <w:szCs w:val="18"/>
              </w:rPr>
              <w:t>*</w:t>
            </w:r>
          </w:p>
        </w:tc>
      </w:tr>
      <w:tr w:rsidR="00976863" w:rsidRPr="00C70D53" w:rsidTr="00F25482">
        <w:trPr>
          <w:trHeight w:val="41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Total greenhouse gases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total GHG emissions</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-0.0002106</w:t>
            </w:r>
            <w:r w:rsidRPr="00C70D53">
              <w:rPr>
                <w:rFonts w:ascii="Times New Roman" w:eastAsia="Times New Roman" w:hAnsi="Times New Roman" w:cs="Times New Roman"/>
                <w:b/>
                <w:color w:val="1F1F1F"/>
                <w:sz w:val="18"/>
                <w:szCs w:val="18"/>
              </w:rPr>
              <w:t>.</w:t>
            </w:r>
          </w:p>
        </w:tc>
        <w:tc>
          <w:tcPr>
            <w:tcW w:w="1559" w:type="dxa"/>
            <w:shd w:val="clear" w:color="auto" w:fill="auto"/>
            <w:vAlign w:val="center"/>
            <w:hideMark/>
          </w:tcPr>
          <w:p w:rsidR="00770CC1" w:rsidRPr="00C70D53" w:rsidRDefault="00976863"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-8.90e</w:t>
            </w:r>
            <w:r w:rsidR="00770CC1" w:rsidRPr="00C70D53">
              <w:rPr>
                <w:rFonts w:ascii="Times New Roman" w:eastAsia="Times New Roman" w:hAnsi="Times New Roman" w:cs="Times New Roman"/>
                <w:color w:val="1F1F1F"/>
                <w:sz w:val="18"/>
                <w:szCs w:val="18"/>
              </w:rPr>
              <w:t>-05</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-0.0002185</w:t>
            </w:r>
            <w:r w:rsidRPr="00C70D53">
              <w:rPr>
                <w:rFonts w:ascii="Times New Roman" w:eastAsia="Times New Roman" w:hAnsi="Times New Roman" w:cs="Times New Roman"/>
                <w:b/>
                <w:color w:val="1F1F1F"/>
                <w:sz w:val="18"/>
                <w:szCs w:val="18"/>
              </w:rPr>
              <w:t>.</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-0.0002122</w:t>
            </w:r>
            <w:r w:rsidRPr="00C70D53">
              <w:rPr>
                <w:rFonts w:ascii="Times New Roman" w:eastAsia="Times New Roman" w:hAnsi="Times New Roman" w:cs="Times New Roman"/>
                <w:b/>
                <w:color w:val="1F1F1F"/>
                <w:sz w:val="18"/>
                <w:szCs w:val="18"/>
              </w:rPr>
              <w:t>.</w:t>
            </w:r>
          </w:p>
        </w:tc>
      </w:tr>
      <w:tr w:rsidR="00976863" w:rsidRPr="00C70D53" w:rsidTr="00F25482">
        <w:trPr>
          <w:trHeight w:val="495"/>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Carbon dioxide emissions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per-capita CO2 emissions</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13: Climate Action</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-0.01574</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-0.00112</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-0.00111</w:t>
            </w:r>
          </w:p>
        </w:tc>
      </w:tr>
      <w:tr w:rsidR="00976863" w:rsidRPr="00C70D53" w:rsidTr="00F25482">
        <w:trPr>
          <w:trHeight w:val="575"/>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Merchandise trade</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merchandise trade openness</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0.005553</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0.000215</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0.000211</w:t>
            </w:r>
          </w:p>
        </w:tc>
      </w:tr>
      <w:tr w:rsidR="00976863" w:rsidRPr="00C70D53" w:rsidTr="00F25482">
        <w:trPr>
          <w:trHeight w:val="655"/>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Trade pct GDP</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overall trade dependency</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0.000105</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-0.000121</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0.000108</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0.000106</w:t>
            </w:r>
          </w:p>
        </w:tc>
      </w:tr>
      <w:tr w:rsidR="00976863" w:rsidRPr="00C70D53" w:rsidTr="00F25482">
        <w:trPr>
          <w:trHeight w:val="40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Statistical capacity</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Gap in governance/statistical score</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SDG 17: Partnerships for the Goals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w:t>
            </w:r>
          </w:p>
        </w:tc>
        <w:tc>
          <w:tcPr>
            <w:tcW w:w="1559" w:type="dxa"/>
            <w:shd w:val="clear" w:color="auto" w:fill="auto"/>
            <w:vAlign w:val="center"/>
            <w:hideMark/>
          </w:tcPr>
          <w:p w:rsidR="00770CC1" w:rsidRPr="00C70D53" w:rsidRDefault="00A67B62"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-0.004101</w:t>
            </w:r>
            <w:r w:rsidR="00770CC1"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-0.000125</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-0.000122</w:t>
            </w:r>
          </w:p>
        </w:tc>
      </w:tr>
      <w:tr w:rsidR="00976863" w:rsidRPr="00C70D53" w:rsidTr="00F25482">
        <w:trPr>
          <w:trHeight w:val="300"/>
          <w:jc w:val="center"/>
        </w:trPr>
        <w:tc>
          <w:tcPr>
            <w:tcW w:w="1699" w:type="dxa"/>
            <w:shd w:val="clear" w:color="auto" w:fill="auto"/>
            <w:vAlign w:val="center"/>
            <w:hideMark/>
          </w:tcPr>
          <w:p w:rsidR="00770CC1" w:rsidRPr="00C70D53" w:rsidRDefault="00770CC1" w:rsidP="00C70D53">
            <w:pPr>
              <w:spacing w:after="0"/>
              <w:ind w:firstLineChars="100" w:firstLine="181"/>
              <w:jc w:val="center"/>
              <w:rPr>
                <w:rFonts w:ascii="Times New Roman" w:eastAsia="Times New Roman" w:hAnsi="Times New Roman" w:cs="Times New Roman"/>
                <w:b/>
                <w:bCs/>
                <w:color w:val="1F1F1F"/>
                <w:sz w:val="18"/>
                <w:szCs w:val="18"/>
              </w:rPr>
            </w:pPr>
            <w:r w:rsidRPr="00C70D53">
              <w:rPr>
                <w:rFonts w:ascii="Times New Roman" w:eastAsia="Times New Roman" w:hAnsi="Times New Roman" w:cs="Times New Roman"/>
                <w:b/>
                <w:bCs/>
                <w:color w:val="1F1F1F"/>
                <w:sz w:val="18"/>
                <w:szCs w:val="18"/>
              </w:rPr>
              <w:t>Model Diagnostics</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
        </w:tc>
      </w:tr>
      <w:tr w:rsidR="00976863" w:rsidRPr="00C70D53" w:rsidTr="00F25482">
        <w:trPr>
          <w:trHeight w:val="35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Null Deviance</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Baseline Null Model</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41,730</w:t>
            </w:r>
          </w:p>
        </w:tc>
      </w:tr>
      <w:tr w:rsidR="00976863" w:rsidRPr="00C70D53" w:rsidTr="00F25482">
        <w:trPr>
          <w:trHeight w:val="479"/>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Residual Deviance</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Model Residual Deviance</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16,798</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16,747</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16,793</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16,796</w:t>
            </w:r>
          </w:p>
        </w:tc>
      </w:tr>
      <w:tr w:rsidR="00976863" w:rsidRPr="00C70D53" w:rsidTr="00F25482">
        <w:trPr>
          <w:trHeight w:val="417"/>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lastRenderedPageBreak/>
              <w:t>AIC</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proofErr w:type="spellStart"/>
            <w:r w:rsidRPr="00C70D53">
              <w:rPr>
                <w:rFonts w:ascii="Times New Roman" w:eastAsia="Times New Roman" w:hAnsi="Times New Roman" w:cs="Times New Roman"/>
                <w:color w:val="1F1F1F"/>
                <w:sz w:val="18"/>
                <w:szCs w:val="18"/>
              </w:rPr>
              <w:t>Akaike</w:t>
            </w:r>
            <w:proofErr w:type="spellEnd"/>
            <w:r w:rsidRPr="00C70D53">
              <w:rPr>
                <w:rFonts w:ascii="Times New Roman" w:eastAsia="Times New Roman" w:hAnsi="Times New Roman" w:cs="Times New Roman"/>
                <w:color w:val="1F1F1F"/>
                <w:sz w:val="18"/>
                <w:szCs w:val="18"/>
              </w:rPr>
              <w:t xml:space="preserve"> Information Criterion</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16,838</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16,787</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16,833</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16,836</w:t>
            </w:r>
          </w:p>
        </w:tc>
      </w:tr>
      <w:tr w:rsidR="00976863" w:rsidRPr="00C70D53" w:rsidTr="00F25482">
        <w:trPr>
          <w:trHeight w:val="561"/>
          <w:jc w:val="center"/>
        </w:trPr>
        <w:tc>
          <w:tcPr>
            <w:tcW w:w="169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BIC</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Bayesian Information Criterion</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17,004</w:t>
            </w:r>
          </w:p>
        </w:tc>
        <w:tc>
          <w:tcPr>
            <w:tcW w:w="155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16,953</w:t>
            </w:r>
          </w:p>
        </w:tc>
        <w:tc>
          <w:tcPr>
            <w:tcW w:w="1418"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16,999</w:t>
            </w:r>
          </w:p>
        </w:tc>
        <w:tc>
          <w:tcPr>
            <w:tcW w:w="1419" w:type="dxa"/>
            <w:shd w:val="clear" w:color="auto" w:fill="auto"/>
            <w:vAlign w:val="center"/>
            <w:hideMark/>
          </w:tcPr>
          <w:p w:rsidR="00770CC1" w:rsidRPr="00C70D53" w:rsidRDefault="00770CC1" w:rsidP="00C70D53">
            <w:pPr>
              <w:spacing w:after="0"/>
              <w:ind w:firstLineChars="100" w:firstLine="180"/>
              <w:jc w:val="center"/>
              <w:rPr>
                <w:rFonts w:ascii="Times New Roman" w:eastAsia="Times New Roman" w:hAnsi="Times New Roman" w:cs="Times New Roman"/>
                <w:color w:val="1F1F1F"/>
                <w:sz w:val="18"/>
                <w:szCs w:val="18"/>
              </w:rPr>
            </w:pPr>
            <w:r w:rsidRPr="00C70D53">
              <w:rPr>
                <w:rFonts w:ascii="Times New Roman" w:eastAsia="Times New Roman" w:hAnsi="Times New Roman" w:cs="Times New Roman"/>
                <w:color w:val="1F1F1F"/>
                <w:sz w:val="18"/>
                <w:szCs w:val="18"/>
              </w:rPr>
              <w:t>17,002</w:t>
            </w:r>
          </w:p>
        </w:tc>
      </w:tr>
      <w:tr w:rsidR="00976863" w:rsidRPr="00C70D53" w:rsidTr="00466299">
        <w:trPr>
          <w:trHeight w:val="426"/>
          <w:jc w:val="center"/>
        </w:trPr>
        <w:tc>
          <w:tcPr>
            <w:tcW w:w="10490" w:type="dxa"/>
            <w:gridSpan w:val="7"/>
            <w:shd w:val="clear" w:color="auto" w:fill="auto"/>
            <w:vAlign w:val="center"/>
            <w:hideMark/>
          </w:tcPr>
          <w:p w:rsidR="00976863" w:rsidRPr="00C70D53" w:rsidRDefault="00976863" w:rsidP="00C70D53">
            <w:pPr>
              <w:spacing w:beforeAutospacing="1" w:after="100" w:afterAutospacing="1"/>
              <w:rPr>
                <w:rFonts w:ascii="Times New Roman" w:eastAsia="Times New Roman" w:hAnsi="Times New Roman" w:cs="Times New Roman"/>
                <w:i/>
                <w:sz w:val="18"/>
                <w:szCs w:val="18"/>
              </w:rPr>
            </w:pPr>
            <w:r w:rsidRPr="00C70D53">
              <w:rPr>
                <w:rFonts w:ascii="Times New Roman" w:eastAsia="Times New Roman" w:hAnsi="Times New Roman" w:cs="Times New Roman"/>
                <w:bCs/>
                <w:i/>
                <w:sz w:val="18"/>
                <w:szCs w:val="18"/>
              </w:rPr>
              <w:t>Significance Key:</w:t>
            </w:r>
            <w:r w:rsidRPr="00C70D53">
              <w:rPr>
                <w:rFonts w:ascii="Times New Roman" w:eastAsia="Times New Roman" w:hAnsi="Times New Roman" w:cs="Times New Roman"/>
                <w:i/>
                <w:sz w:val="18"/>
                <w:szCs w:val="18"/>
              </w:rPr>
              <w:t xml:space="preserve"> </w:t>
            </w:r>
            <w:r w:rsidRPr="00C70D53">
              <w:rPr>
                <w:rFonts w:ascii="Times New Roman" w:eastAsia="Times New Roman" w:hAnsi="Times New Roman" w:cs="Times New Roman"/>
                <w:b/>
                <w:i/>
                <w:sz w:val="18"/>
                <w:szCs w:val="18"/>
              </w:rPr>
              <w:t>***</w:t>
            </w:r>
            <w:r w:rsidRPr="00C70D53">
              <w:rPr>
                <w:rFonts w:ascii="Times New Roman" w:eastAsia="Times New Roman" w:hAnsi="Times New Roman" w:cs="Times New Roman"/>
                <w:i/>
                <w:sz w:val="18"/>
                <w:szCs w:val="18"/>
              </w:rPr>
              <w:t xml:space="preserve"> p &lt; 0.001, </w:t>
            </w:r>
            <w:r w:rsidRPr="00C70D53">
              <w:rPr>
                <w:rFonts w:ascii="Times New Roman" w:eastAsia="Times New Roman" w:hAnsi="Times New Roman" w:cs="Times New Roman"/>
                <w:b/>
                <w:i/>
                <w:sz w:val="18"/>
                <w:szCs w:val="18"/>
              </w:rPr>
              <w:t>**</w:t>
            </w:r>
            <w:r w:rsidRPr="00C70D53">
              <w:rPr>
                <w:rFonts w:ascii="Times New Roman" w:eastAsia="Times New Roman" w:hAnsi="Times New Roman" w:cs="Times New Roman"/>
                <w:i/>
                <w:sz w:val="18"/>
                <w:szCs w:val="18"/>
              </w:rPr>
              <w:t xml:space="preserve"> p &lt; 0.01,</w:t>
            </w:r>
            <w:r w:rsidRPr="00C70D53">
              <w:rPr>
                <w:rFonts w:ascii="Times New Roman" w:eastAsia="Times New Roman" w:hAnsi="Times New Roman" w:cs="Times New Roman"/>
                <w:b/>
                <w:i/>
                <w:sz w:val="18"/>
                <w:szCs w:val="18"/>
              </w:rPr>
              <w:t xml:space="preserve"> * </w:t>
            </w:r>
            <w:r w:rsidRPr="00C70D53">
              <w:rPr>
                <w:rFonts w:ascii="Times New Roman" w:eastAsia="Times New Roman" w:hAnsi="Times New Roman" w:cs="Times New Roman"/>
                <w:i/>
                <w:sz w:val="18"/>
                <w:szCs w:val="18"/>
              </w:rPr>
              <w:t>p &lt; 0.05</w:t>
            </w:r>
            <w:proofErr w:type="gramStart"/>
            <w:r w:rsidRPr="00C70D53">
              <w:rPr>
                <w:rFonts w:ascii="Times New Roman" w:eastAsia="Times New Roman" w:hAnsi="Times New Roman" w:cs="Times New Roman"/>
                <w:i/>
                <w:sz w:val="18"/>
                <w:szCs w:val="18"/>
              </w:rPr>
              <w:t xml:space="preserve">, </w:t>
            </w:r>
            <w:r w:rsidRPr="00C70D53">
              <w:rPr>
                <w:rFonts w:ascii="Times New Roman" w:eastAsia="Times New Roman" w:hAnsi="Times New Roman" w:cs="Times New Roman"/>
                <w:b/>
                <w:i/>
                <w:sz w:val="18"/>
                <w:szCs w:val="18"/>
              </w:rPr>
              <w:t>.</w:t>
            </w:r>
            <w:proofErr w:type="gramEnd"/>
            <w:r w:rsidRPr="00C70D53">
              <w:rPr>
                <w:rFonts w:ascii="Times New Roman" w:eastAsia="Times New Roman" w:hAnsi="Times New Roman" w:cs="Times New Roman"/>
                <w:i/>
                <w:sz w:val="18"/>
                <w:szCs w:val="18"/>
              </w:rPr>
              <w:t xml:space="preserve"> </w:t>
            </w:r>
            <w:proofErr w:type="gramStart"/>
            <w:r w:rsidRPr="00C70D53">
              <w:rPr>
                <w:rFonts w:ascii="Times New Roman" w:eastAsia="Times New Roman" w:hAnsi="Times New Roman" w:cs="Times New Roman"/>
                <w:i/>
                <w:sz w:val="18"/>
                <w:szCs w:val="18"/>
              </w:rPr>
              <w:t>p</w:t>
            </w:r>
            <w:proofErr w:type="gramEnd"/>
            <w:r w:rsidRPr="00C70D53">
              <w:rPr>
                <w:rFonts w:ascii="Times New Roman" w:eastAsia="Times New Roman" w:hAnsi="Times New Roman" w:cs="Times New Roman"/>
                <w:i/>
                <w:sz w:val="18"/>
                <w:szCs w:val="18"/>
              </w:rPr>
              <w:t xml:space="preserve"> &lt; 0.1.</w:t>
            </w:r>
          </w:p>
        </w:tc>
      </w:tr>
    </w:tbl>
    <w:p w:rsidR="006D128A" w:rsidRPr="006D128A" w:rsidRDefault="006D128A" w:rsidP="00C70D53">
      <w:pPr>
        <w:spacing w:after="100" w:afterAutospacing="1"/>
        <w:ind w:left="-567"/>
        <w:outlineLvl w:val="2"/>
        <w:rPr>
          <w:rFonts w:ascii="Times New Roman" w:eastAsia="Times New Roman" w:hAnsi="Times New Roman" w:cs="Times New Roman"/>
          <w:bCs/>
          <w:i/>
          <w:sz w:val="20"/>
        </w:rPr>
      </w:pPr>
      <w:r w:rsidRPr="006D128A">
        <w:rPr>
          <w:rFonts w:ascii="Times New Roman" w:eastAsia="Times New Roman" w:hAnsi="Times New Roman" w:cs="Times New Roman"/>
          <w:bCs/>
          <w:i/>
          <w:sz w:val="20"/>
        </w:rPr>
        <w:t xml:space="preserve">Source: Compiled by Authors </w:t>
      </w:r>
      <w:r w:rsidR="006769F7">
        <w:rPr>
          <w:rFonts w:ascii="Times New Roman" w:eastAsia="Times New Roman" w:hAnsi="Times New Roman" w:cs="Times New Roman"/>
          <w:bCs/>
          <w:i/>
          <w:sz w:val="20"/>
        </w:rPr>
        <w:t>using WITS and WDI data using R.</w:t>
      </w:r>
    </w:p>
    <w:p w:rsidR="00603D01" w:rsidRPr="00F00CA0" w:rsidRDefault="00603D01" w:rsidP="00C70D53">
      <w:pPr>
        <w:spacing w:before="100" w:beforeAutospacing="1" w:after="100" w:afterAutospacing="1"/>
        <w:jc w:val="both"/>
        <w:rPr>
          <w:rFonts w:ascii="Times New Roman" w:eastAsia="Times New Roman" w:hAnsi="Times New Roman" w:cs="Times New Roman"/>
        </w:rPr>
      </w:pPr>
      <w:r w:rsidRPr="00F00CA0">
        <w:rPr>
          <w:rFonts w:ascii="Times New Roman" w:eastAsia="Times New Roman" w:hAnsi="Times New Roman" w:cs="Times New Roman"/>
        </w:rPr>
        <w:t>Across all four years, the network intercept (</w:t>
      </w:r>
      <w:r w:rsidRPr="00F00CA0">
        <w:rPr>
          <w:rFonts w:ascii="Courier New" w:eastAsia="Times New Roman" w:hAnsi="Courier New" w:cs="Courier New"/>
        </w:rPr>
        <w:t>edges</w:t>
      </w:r>
      <w:r w:rsidRPr="00F00CA0">
        <w:rPr>
          <w:rFonts w:ascii="Times New Roman" w:eastAsia="Times New Roman" w:hAnsi="Times New Roman" w:cs="Times New Roman"/>
        </w:rPr>
        <w:t>) remain</w:t>
      </w:r>
      <w:r w:rsidR="00B725FC">
        <w:rPr>
          <w:rFonts w:ascii="Times New Roman" w:eastAsia="Times New Roman" w:hAnsi="Times New Roman" w:cs="Times New Roman"/>
        </w:rPr>
        <w:t>s strongly negative (p &lt; 0.001</w:t>
      </w:r>
      <w:r w:rsidRPr="00F00CA0">
        <w:rPr>
          <w:rFonts w:ascii="Times New Roman" w:eastAsia="Times New Roman" w:hAnsi="Times New Roman" w:cs="Times New Roman"/>
        </w:rPr>
        <w:t>). This confirms that global carbon tr</w:t>
      </w:r>
      <w:r w:rsidR="00B725FC">
        <w:rPr>
          <w:rFonts w:ascii="Times New Roman" w:eastAsia="Times New Roman" w:hAnsi="Times New Roman" w:cs="Times New Roman"/>
        </w:rPr>
        <w:t>ade links do not form at random;</w:t>
      </w:r>
      <w:r w:rsidRPr="00F00CA0">
        <w:rPr>
          <w:rFonts w:ascii="Times New Roman" w:eastAsia="Times New Roman" w:hAnsi="Times New Roman" w:cs="Times New Roman"/>
        </w:rPr>
        <w:t xml:space="preserve"> instead, the network is fundamentally sparse and selective.</w:t>
      </w:r>
      <w:r w:rsidR="00F25482">
        <w:rPr>
          <w:rFonts w:ascii="Times New Roman" w:eastAsia="Times New Roman" w:hAnsi="Times New Roman" w:cs="Times New Roman"/>
        </w:rPr>
        <w:t xml:space="preserve"> </w:t>
      </w:r>
      <w:r w:rsidRPr="00F00CA0">
        <w:rPr>
          <w:rFonts w:ascii="Times New Roman" w:eastAsia="Times New Roman" w:hAnsi="Times New Roman" w:cs="Times New Roman"/>
        </w:rPr>
        <w:t>The parameter experienced a sharp negative drop during the peak pandemic crisis in 2020 (</w:t>
      </w:r>
      <w:r w:rsidR="00B725FC" w:rsidRPr="00B725FC">
        <w:rPr>
          <w:position w:val="-6"/>
        </w:rPr>
        <w:object w:dxaOrig="1120" w:dyaOrig="279">
          <v:shape id="_x0000_i1105" type="#_x0000_t75" style="width:48pt;height:14.25pt" o:ole="">
            <v:imagedata r:id="rId170" o:title=""/>
          </v:shape>
          <o:OLEObject Type="Embed" ProgID="Equation.DSMT4" ShapeID="_x0000_i1105" DrawAspect="Content" ObjectID="_1846526907" r:id="rId171"/>
        </w:object>
      </w:r>
      <w:r w:rsidRPr="00F00CA0">
        <w:rPr>
          <w:rFonts w:ascii="Times New Roman" w:eastAsia="Times New Roman" w:hAnsi="Times New Roman" w:cs="Times New Roman"/>
        </w:rPr>
        <w:t>), reflecting a systemic contraction in market activity. As supply chains reopened in 2021 and consolidated in 2022, the baseline density estimate relaxed back toward pre-crisis levels (</w:t>
      </w:r>
      <w:r w:rsidR="00B725FC" w:rsidRPr="00B725FC">
        <w:rPr>
          <w:position w:val="-6"/>
        </w:rPr>
        <w:object w:dxaOrig="1120" w:dyaOrig="279">
          <v:shape id="_x0000_i1106" type="#_x0000_t75" style="width:56.25pt;height:14.25pt" o:ole="">
            <v:imagedata r:id="rId172" o:title=""/>
          </v:shape>
          <o:OLEObject Type="Embed" ProgID="Equation.DSMT4" ShapeID="_x0000_i1106" DrawAspect="Content" ObjectID="_1846526908" r:id="rId173"/>
        </w:object>
      </w:r>
      <w:r w:rsidRPr="00F00CA0">
        <w:rPr>
          <w:rFonts w:ascii="Times New Roman" w:eastAsia="Times New Roman" w:hAnsi="Times New Roman" w:cs="Times New Roman"/>
        </w:rPr>
        <w:t>), showing that the market recovered its structural baseline once acute disruptions subsided.</w:t>
      </w:r>
    </w:p>
    <w:p w:rsidR="00603D01" w:rsidRPr="00F00CA0" w:rsidRDefault="00603D01" w:rsidP="00C70D53">
      <w:pPr>
        <w:spacing w:before="100" w:beforeAutospacing="1" w:after="100" w:afterAutospacing="1"/>
        <w:jc w:val="both"/>
        <w:rPr>
          <w:rFonts w:ascii="Times New Roman" w:eastAsia="Times New Roman" w:hAnsi="Times New Roman" w:cs="Times New Roman"/>
        </w:rPr>
      </w:pPr>
      <w:r w:rsidRPr="00F00CA0">
        <w:rPr>
          <w:rFonts w:ascii="Times New Roman" w:eastAsia="Times New Roman" w:hAnsi="Times New Roman" w:cs="Times New Roman"/>
        </w:rPr>
        <w:t>In baseline trading years (2019, 2021, an</w:t>
      </w:r>
      <w:r w:rsidR="005212A3">
        <w:rPr>
          <w:rFonts w:ascii="Times New Roman" w:eastAsia="Times New Roman" w:hAnsi="Times New Roman" w:cs="Times New Roman"/>
        </w:rPr>
        <w:t xml:space="preserve">d 2022), general wealth metrics </w:t>
      </w:r>
      <w:r w:rsidRPr="00F00CA0">
        <w:rPr>
          <w:rFonts w:ascii="Times New Roman" w:eastAsia="Times New Roman" w:hAnsi="Times New Roman" w:cs="Times New Roman"/>
        </w:rPr>
        <w:t xml:space="preserve">such </w:t>
      </w:r>
      <w:r w:rsidR="00B725FC">
        <w:rPr>
          <w:rFonts w:ascii="Times New Roman" w:eastAsia="Times New Roman" w:hAnsi="Times New Roman" w:cs="Times New Roman"/>
        </w:rPr>
        <w:t xml:space="preserve">as per capita GDP and total GDP </w:t>
      </w:r>
      <w:r w:rsidR="008B5CF4">
        <w:rPr>
          <w:rFonts w:ascii="Times New Roman" w:eastAsia="Times New Roman" w:hAnsi="Times New Roman" w:cs="Times New Roman"/>
        </w:rPr>
        <w:t xml:space="preserve">aligned with SDG 8 </w:t>
      </w:r>
      <w:r w:rsidRPr="00F00CA0">
        <w:rPr>
          <w:rFonts w:ascii="Times New Roman" w:eastAsia="Times New Roman" w:hAnsi="Times New Roman" w:cs="Times New Roman"/>
        </w:rPr>
        <w:t>showed no statistically significant direct impact on carbon link formation.</w:t>
      </w:r>
      <w:r w:rsidR="008B5CF4">
        <w:rPr>
          <w:rFonts w:ascii="Times New Roman" w:eastAsia="Times New Roman" w:hAnsi="Times New Roman" w:cs="Times New Roman"/>
        </w:rPr>
        <w:t xml:space="preserve"> </w:t>
      </w:r>
      <w:r w:rsidRPr="00F00CA0">
        <w:rPr>
          <w:rFonts w:ascii="Times New Roman" w:eastAsia="Times New Roman" w:hAnsi="Times New Roman" w:cs="Times New Roman"/>
        </w:rPr>
        <w:t xml:space="preserve">Instead, the network is anchored by domestic manufacturing footprints under SDG 9 </w:t>
      </w:r>
      <w:r w:rsidRPr="00F25482">
        <w:rPr>
          <w:rFonts w:ascii="Times New Roman" w:eastAsia="Times New Roman" w:hAnsi="Times New Roman" w:cs="Times New Roman"/>
        </w:rPr>
        <w:t>(Industry pct GDP), which remained positive and statistically significan</w:t>
      </w:r>
      <w:r w:rsidR="005212A3" w:rsidRPr="00F25482">
        <w:rPr>
          <w:rFonts w:ascii="Times New Roman" w:eastAsia="Times New Roman" w:hAnsi="Times New Roman" w:cs="Times New Roman"/>
        </w:rPr>
        <w:t>t across every year (p &lt; 0.001</w:t>
      </w:r>
      <w:r w:rsidRPr="00F25482">
        <w:rPr>
          <w:rFonts w:ascii="Times New Roman" w:eastAsia="Times New Roman" w:hAnsi="Times New Roman" w:cs="Times New Roman"/>
        </w:rPr>
        <w:t>). Economies with prominent secondary industrial sectors consistently serve as the primary operational hubs of carbon-embodied trade.</w:t>
      </w:r>
      <w:r w:rsidR="005C6D05">
        <w:rPr>
          <w:rFonts w:ascii="Times New Roman" w:eastAsia="Times New Roman" w:hAnsi="Times New Roman" w:cs="Times New Roman"/>
        </w:rPr>
        <w:t xml:space="preserve"> </w:t>
      </w:r>
      <w:r w:rsidRPr="00F25482">
        <w:rPr>
          <w:rFonts w:ascii="Times New Roman" w:eastAsia="Times New Roman" w:hAnsi="Times New Roman" w:cs="Times New Roman"/>
        </w:rPr>
        <w:t>During the 2020 shock, general macroeconomic drivers bri</w:t>
      </w:r>
      <w:r w:rsidR="00F25482" w:rsidRPr="00F25482">
        <w:rPr>
          <w:rFonts w:ascii="Times New Roman" w:eastAsia="Times New Roman" w:hAnsi="Times New Roman" w:cs="Times New Roman"/>
        </w:rPr>
        <w:t xml:space="preserve">efly became highly significant; </w:t>
      </w:r>
      <w:r w:rsidRPr="00F25482">
        <w:rPr>
          <w:rFonts w:ascii="Times New Roman" w:eastAsia="Times New Roman" w:hAnsi="Times New Roman" w:cs="Times New Roman"/>
        </w:rPr>
        <w:t>countries with higher trade openness (Merchandise trade) and larger absolute economic scales maintained active trade paths, whereas nations with high trade-to-GDP dependencies pulled back from est</w:t>
      </w:r>
      <w:r w:rsidR="008B5CF4">
        <w:rPr>
          <w:rFonts w:ascii="Times New Roman" w:eastAsia="Times New Roman" w:hAnsi="Times New Roman" w:cs="Times New Roman"/>
        </w:rPr>
        <w:t>ablishing new trade connections supporting SDG 17.</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The environmental covariates reveal how climate performance</w:t>
      </w:r>
      <w:r w:rsidR="005C6D05">
        <w:rPr>
          <w:rFonts w:ascii="Times New Roman" w:eastAsia="Times New Roman" w:hAnsi="Times New Roman" w:cs="Times New Roman"/>
        </w:rPr>
        <w:t xml:space="preserve"> influences network integration. </w:t>
      </w:r>
      <w:r w:rsidRPr="005002CE">
        <w:rPr>
          <w:rFonts w:ascii="Times New Roman" w:eastAsia="Times New Roman" w:hAnsi="Times New Roman" w:cs="Times New Roman"/>
        </w:rPr>
        <w:t xml:space="preserve">Absolute emissions (Total greenhouse gases) </w:t>
      </w:r>
      <w:r w:rsidR="005C6D05">
        <w:rPr>
          <w:rFonts w:ascii="Times New Roman" w:eastAsia="Times New Roman" w:hAnsi="Times New Roman" w:cs="Times New Roman"/>
        </w:rPr>
        <w:t xml:space="preserve">linked with SDG 13 </w:t>
      </w:r>
      <w:r w:rsidRPr="005002CE">
        <w:rPr>
          <w:rFonts w:ascii="Times New Roman" w:eastAsia="Times New Roman" w:hAnsi="Times New Roman" w:cs="Times New Roman"/>
        </w:rPr>
        <w:t>display a positive main effect in baseline years (</w:t>
      </w:r>
      <w:r w:rsidR="005C6D05" w:rsidRPr="005C6D05">
        <w:rPr>
          <w:rFonts w:ascii="Times New Roman" w:hAnsi="Times New Roman" w:cs="Times New Roman"/>
          <w:position w:val="-10"/>
        </w:rPr>
        <w:object w:dxaOrig="820" w:dyaOrig="300">
          <v:shape id="_x0000_i1107" type="#_x0000_t75" style="width:40.5pt;height:15pt" o:ole="">
            <v:imagedata r:id="rId174" o:title=""/>
          </v:shape>
          <o:OLEObject Type="Embed" ProgID="Equation.DSMT4" ShapeID="_x0000_i1107" DrawAspect="Content" ObjectID="_1846526909" r:id="rId175"/>
        </w:object>
      </w:r>
      <w:r w:rsidRPr="005002CE">
        <w:rPr>
          <w:rFonts w:ascii="Times New Roman" w:eastAsia="Times New Roman" w:hAnsi="Times New Roman" w:cs="Times New Roman"/>
        </w:rPr>
        <w:t>), showing that major polluters function as central trade hubs. However, higher per capita carbon intensity (Carbon dioxide emissions pc) consistently suppresses overall trade connectivity (</w:t>
      </w:r>
      <w:r w:rsidR="005C6D05" w:rsidRPr="005C6D05">
        <w:rPr>
          <w:rFonts w:ascii="Times New Roman" w:hAnsi="Times New Roman" w:cs="Times New Roman"/>
          <w:position w:val="-10"/>
        </w:rPr>
        <w:object w:dxaOrig="1980" w:dyaOrig="300">
          <v:shape id="_x0000_i1108" type="#_x0000_t75" style="width:99pt;height:15pt" o:ole="">
            <v:imagedata r:id="rId176" o:title=""/>
          </v:shape>
          <o:OLEObject Type="Embed" ProgID="Equation.DSMT4" ShapeID="_x0000_i1108" DrawAspect="Content" ObjectID="_1846526910" r:id="rId177"/>
        </w:object>
      </w:r>
      <w:r w:rsidRPr="005002CE">
        <w:rPr>
          <w:rFonts w:ascii="Times New Roman" w:eastAsia="Times New Roman" w:hAnsi="Times New Roman" w:cs="Times New Roman"/>
        </w:rPr>
        <w:t>).</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 xml:space="preserve">Across all four years, high shares of renewable energy adoption </w:t>
      </w:r>
      <w:r w:rsidR="005C6D05">
        <w:rPr>
          <w:rFonts w:ascii="Times New Roman" w:eastAsia="Times New Roman" w:hAnsi="Times New Roman" w:cs="Times New Roman"/>
        </w:rPr>
        <w:t>linked to SDG 7</w:t>
      </w:r>
      <w:r w:rsidRPr="00F00CA0">
        <w:rPr>
          <w:rFonts w:ascii="Times New Roman" w:eastAsia="Times New Roman" w:hAnsi="Times New Roman" w:cs="Times New Roman"/>
        </w:rPr>
        <w:t xml:space="preserve"> yield a statistically significant negative estimate (</w:t>
      </w:r>
      <w:r w:rsidR="005002CE" w:rsidRPr="005002CE">
        <w:rPr>
          <w:position w:val="-10"/>
        </w:rPr>
        <w:object w:dxaOrig="1560" w:dyaOrig="320">
          <v:shape id="_x0000_i1109" type="#_x0000_t75" style="width:78pt;height:16.5pt" o:ole="">
            <v:imagedata r:id="rId178" o:title=""/>
          </v:shape>
          <o:OLEObject Type="Embed" ProgID="Equation.DSMT4" ShapeID="_x0000_i1109" DrawAspect="Content" ObjectID="_1846526911" r:id="rId179"/>
        </w:object>
      </w:r>
      <w:r w:rsidRPr="00F00CA0">
        <w:rPr>
          <w:rFonts w:ascii="Times New Roman" w:eastAsia="Times New Roman" w:hAnsi="Times New Roman" w:cs="Times New Roman"/>
        </w:rPr>
        <w:t>). This shows that domestic clean energy transitions reduce a nation's overall reliance on carbon-intensive import/export pathways.</w:t>
      </w:r>
    </w:p>
    <w:p w:rsidR="00603D01" w:rsidRDefault="00603D01" w:rsidP="008939A8">
      <w:pPr>
        <w:spacing w:before="100" w:beforeAutospacing="1" w:after="0"/>
        <w:jc w:val="both"/>
        <w:rPr>
          <w:rFonts w:ascii="Times New Roman" w:eastAsia="Times New Roman" w:hAnsi="Times New Roman" w:cs="Times New Roman"/>
        </w:rPr>
      </w:pPr>
      <w:proofErr w:type="gramStart"/>
      <w:r w:rsidRPr="00F00CA0">
        <w:rPr>
          <w:rFonts w:ascii="Times New Roman" w:eastAsia="Times New Roman" w:hAnsi="Times New Roman" w:cs="Times New Roman"/>
        </w:rPr>
        <w:t>In normal trading periods (2019, 2021, 2022), absolute differences in industrial capacity and renewable energy usage show positive, statistically significant estimates (</w:t>
      </w:r>
      <w:r w:rsidR="005002CE" w:rsidRPr="005002CE">
        <w:rPr>
          <w:position w:val="-10"/>
        </w:rPr>
        <w:object w:dxaOrig="880" w:dyaOrig="320">
          <v:shape id="_x0000_i1110" type="#_x0000_t75" style="width:43.5pt;height:16.5pt" o:ole="">
            <v:imagedata r:id="rId180" o:title=""/>
          </v:shape>
          <o:OLEObject Type="Embed" ProgID="Equation.DSMT4" ShapeID="_x0000_i1110" DrawAspect="Content" ObjectID="_1846526912" r:id="rId181"/>
        </w:object>
      </w:r>
      <w:r w:rsidRPr="00F00CA0">
        <w:rPr>
          <w:rFonts w:ascii="Times New Roman" w:eastAsia="Times New Roman" w:hAnsi="Times New Roman" w:cs="Times New Roman"/>
        </w:rPr>
        <w:t>).</w:t>
      </w:r>
      <w:proofErr w:type="gramEnd"/>
      <w:r w:rsidRPr="00F00CA0">
        <w:rPr>
          <w:rFonts w:ascii="Times New Roman" w:eastAsia="Times New Roman" w:hAnsi="Times New Roman" w:cs="Times New Roman"/>
        </w:rPr>
        <w:t xml:space="preserve"> This indicates a pattern of </w:t>
      </w:r>
      <w:r w:rsidRPr="005C6D05">
        <w:rPr>
          <w:rFonts w:ascii="Times New Roman" w:eastAsia="Times New Roman" w:hAnsi="Times New Roman" w:cs="Times New Roman"/>
          <w:bCs/>
        </w:rPr>
        <w:t>heterophily</w:t>
      </w:r>
      <w:r w:rsidRPr="00F00CA0">
        <w:rPr>
          <w:rFonts w:ascii="Times New Roman" w:eastAsia="Times New Roman" w:hAnsi="Times New Roman" w:cs="Times New Roman"/>
        </w:rPr>
        <w:t>, where the market links stru</w:t>
      </w:r>
      <w:r w:rsidR="00775044">
        <w:rPr>
          <w:rFonts w:ascii="Times New Roman" w:eastAsia="Times New Roman" w:hAnsi="Times New Roman" w:cs="Times New Roman"/>
        </w:rPr>
        <w:t xml:space="preserve">cturally complementary partners </w:t>
      </w:r>
      <w:r w:rsidRPr="00F00CA0">
        <w:rPr>
          <w:rFonts w:ascii="Times New Roman" w:eastAsia="Times New Roman" w:hAnsi="Times New Roman" w:cs="Times New Roman"/>
        </w:rPr>
        <w:t xml:space="preserve">connecting industrial, fossil-dependent </w:t>
      </w:r>
      <w:r w:rsidR="005C6D05">
        <w:rPr>
          <w:rFonts w:ascii="Times New Roman" w:eastAsia="Times New Roman" w:hAnsi="Times New Roman" w:cs="Times New Roman"/>
        </w:rPr>
        <w:t>nations</w:t>
      </w:r>
      <w:r w:rsidRPr="00F00CA0">
        <w:rPr>
          <w:rFonts w:ascii="Times New Roman" w:eastAsia="Times New Roman" w:hAnsi="Times New Roman" w:cs="Times New Roman"/>
        </w:rPr>
        <w:t xml:space="preserve"> with less-industrialized or green-transitioning counterparts.</w:t>
      </w:r>
      <w:r w:rsidR="005C6D05">
        <w:rPr>
          <w:rFonts w:ascii="Times New Roman" w:eastAsia="Times New Roman" w:hAnsi="Times New Roman" w:cs="Times New Roman"/>
        </w:rPr>
        <w:t xml:space="preserve"> </w:t>
      </w:r>
      <w:r w:rsidRPr="005C6D05">
        <w:rPr>
          <w:rFonts w:ascii="Times New Roman" w:eastAsia="Times New Roman" w:hAnsi="Times New Roman" w:cs="Times New Roman"/>
        </w:rPr>
        <w:t>During the 2020 supply chain shock, this relational pattern inverted. The estimate for absolute differences in renewable energy turned strongly negative (</w:t>
      </w:r>
      <w:r w:rsidR="005C6D05" w:rsidRPr="005C6D05">
        <w:rPr>
          <w:rFonts w:ascii="Times New Roman" w:hAnsi="Times New Roman" w:cs="Times New Roman"/>
          <w:position w:val="-10"/>
        </w:rPr>
        <w:object w:dxaOrig="2400" w:dyaOrig="360">
          <v:shape id="_x0000_i1111" type="#_x0000_t75" style="width:120pt;height:18pt" o:ole="">
            <v:imagedata r:id="rId182" o:title=""/>
          </v:shape>
          <o:OLEObject Type="Embed" ProgID="Equation.DSMT4" ShapeID="_x0000_i1111" DrawAspect="Content" ObjectID="_1846526913" r:id="rId183"/>
        </w:object>
      </w:r>
      <w:r w:rsidRPr="005C6D05">
        <w:rPr>
          <w:rFonts w:ascii="Times New Roman" w:eastAsia="Times New Roman" w:hAnsi="Times New Roman" w:cs="Times New Roman"/>
        </w:rPr>
        <w:t>), and differences in per capita carbon emissions became negative for the only time in the four-year window (</w:t>
      </w:r>
      <w:r w:rsidR="005C6D05" w:rsidRPr="005C6D05">
        <w:rPr>
          <w:rFonts w:ascii="Times New Roman" w:hAnsi="Times New Roman" w:cs="Times New Roman"/>
          <w:position w:val="-10"/>
        </w:rPr>
        <w:object w:dxaOrig="2420" w:dyaOrig="360">
          <v:shape id="_x0000_i1112" type="#_x0000_t75" style="width:121.5pt;height:18pt" o:ole="">
            <v:imagedata r:id="rId184" o:title=""/>
          </v:shape>
          <o:OLEObject Type="Embed" ProgID="Equation.DSMT4" ShapeID="_x0000_i1112" DrawAspect="Content" ObjectID="_1846526914" r:id="rId185"/>
        </w:object>
      </w:r>
      <w:r w:rsidRPr="005C6D05">
        <w:rPr>
          <w:rFonts w:ascii="Times New Roman" w:eastAsia="Times New Roman" w:hAnsi="Times New Roman" w:cs="Times New Roman"/>
        </w:rPr>
        <w:t xml:space="preserve">). This demonstrates a distinct </w:t>
      </w:r>
      <w:r w:rsidRPr="005C6D05">
        <w:rPr>
          <w:rFonts w:ascii="Times New Roman" w:eastAsia="Times New Roman" w:hAnsi="Times New Roman" w:cs="Times New Roman"/>
          <w:bCs/>
        </w:rPr>
        <w:t>crisis-induced carbon homophily</w:t>
      </w:r>
      <w:r w:rsidR="005C6D05" w:rsidRPr="005C6D05">
        <w:rPr>
          <w:rFonts w:ascii="Times New Roman" w:eastAsia="Times New Roman" w:hAnsi="Times New Roman" w:cs="Times New Roman"/>
        </w:rPr>
        <w:t xml:space="preserve"> where </w:t>
      </w:r>
      <w:r w:rsidRPr="005C6D05">
        <w:rPr>
          <w:rFonts w:ascii="Times New Roman" w:eastAsia="Times New Roman" w:hAnsi="Times New Roman" w:cs="Times New Roman"/>
        </w:rPr>
        <w:t xml:space="preserve">severe economic stress forced nations to temporarily restrict trade links to partners with matching carbon footprints, mitigating regulatory and operational risks during market instability. As global trade reopened in 2021 and 2022, this barrier </w:t>
      </w:r>
      <w:r w:rsidRPr="005C6D05">
        <w:rPr>
          <w:rFonts w:ascii="Times New Roman" w:eastAsia="Times New Roman" w:hAnsi="Times New Roman" w:cs="Times New Roman"/>
        </w:rPr>
        <w:lastRenderedPageBreak/>
        <w:t>dissolved, returning the network to its baseline structure of asymmetric, complementary trade corridors.</w:t>
      </w:r>
      <w:r w:rsidR="005C6D05">
        <w:rPr>
          <w:rFonts w:ascii="Times New Roman" w:eastAsia="Times New Roman" w:hAnsi="Times New Roman" w:cs="Times New Roman"/>
        </w:rPr>
        <w:t xml:space="preserve"> </w:t>
      </w:r>
      <w:r w:rsidRPr="00F00CA0">
        <w:rPr>
          <w:rFonts w:ascii="Times New Roman" w:eastAsia="Times New Roman" w:hAnsi="Times New Roman" w:cs="Times New Roman"/>
        </w:rPr>
        <w:t>National governance capacity maintained a positive and statistically significant main effect throughout the entire timeline (</w:t>
      </w:r>
      <w:r w:rsidR="005002CE" w:rsidRPr="005002CE">
        <w:rPr>
          <w:position w:val="-10"/>
        </w:rPr>
        <w:object w:dxaOrig="859" w:dyaOrig="320">
          <v:shape id="_x0000_i1113" type="#_x0000_t75" style="width:43.5pt;height:16.5pt" o:ole="">
            <v:imagedata r:id="rId186" o:title=""/>
          </v:shape>
          <o:OLEObject Type="Embed" ProgID="Equation.DSMT4" ShapeID="_x0000_i1113" DrawAspect="Content" ObjectID="_1846526915" r:id="rId187"/>
        </w:object>
      </w:r>
      <w:r w:rsidRPr="00F00CA0">
        <w:rPr>
          <w:rFonts w:ascii="Times New Roman" w:eastAsia="Times New Roman" w:hAnsi="Times New Roman" w:cs="Times New Roman"/>
        </w:rPr>
        <w:t xml:space="preserve">). This confirms that transparent data reporting, robust statistical </w:t>
      </w:r>
      <w:proofErr w:type="gramStart"/>
      <w:r w:rsidRPr="00F00CA0">
        <w:rPr>
          <w:rFonts w:ascii="Times New Roman" w:eastAsia="Times New Roman" w:hAnsi="Times New Roman" w:cs="Times New Roman"/>
        </w:rPr>
        <w:t>infrastructure,</w:t>
      </w:r>
      <w:proofErr w:type="gramEnd"/>
      <w:r w:rsidRPr="00F00CA0">
        <w:rPr>
          <w:rFonts w:ascii="Times New Roman" w:eastAsia="Times New Roman" w:hAnsi="Times New Roman" w:cs="Times New Roman"/>
        </w:rPr>
        <w:t xml:space="preserve"> and regulatory readiness under SDG 17 are necessary prerequisites for entering and maintaining </w:t>
      </w:r>
      <w:r w:rsidR="008939A8">
        <w:rPr>
          <w:rFonts w:ascii="Times New Roman" w:eastAsia="Times New Roman" w:hAnsi="Times New Roman" w:cs="Times New Roman"/>
          <w:noProof/>
        </w:rPr>
        <w:drawing>
          <wp:anchor distT="0" distB="0" distL="114300" distR="114300" simplePos="0" relativeHeight="251662336" behindDoc="0" locked="0" layoutInCell="1" allowOverlap="1">
            <wp:simplePos x="0" y="0"/>
            <wp:positionH relativeFrom="margin">
              <wp:align>center</wp:align>
            </wp:positionH>
            <wp:positionV relativeFrom="paragraph">
              <wp:posOffset>1059180</wp:posOffset>
            </wp:positionV>
            <wp:extent cx="2404110" cy="2385060"/>
            <wp:effectExtent l="19050" t="0" r="0" b="0"/>
            <wp:wrapTopAndBottom/>
            <wp:docPr id="1" name="Picture 0" descr="ergm net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gm network.jpg"/>
                    <pic:cNvPicPr/>
                  </pic:nvPicPr>
                  <pic:blipFill>
                    <a:blip r:embed="rId188" cstate="print"/>
                    <a:srcRect l="2898" t="4651" r="3348" b="1550"/>
                    <a:stretch>
                      <a:fillRect/>
                    </a:stretch>
                  </pic:blipFill>
                  <pic:spPr>
                    <a:xfrm>
                      <a:off x="0" y="0"/>
                      <a:ext cx="2404110" cy="2385060"/>
                    </a:xfrm>
                    <a:prstGeom prst="rect">
                      <a:avLst/>
                    </a:prstGeom>
                  </pic:spPr>
                </pic:pic>
              </a:graphicData>
            </a:graphic>
          </wp:anchor>
        </w:drawing>
      </w:r>
      <w:r w:rsidRPr="00F00CA0">
        <w:rPr>
          <w:rFonts w:ascii="Times New Roman" w:eastAsia="Times New Roman" w:hAnsi="Times New Roman" w:cs="Times New Roman"/>
        </w:rPr>
        <w:t>international carbon trade partnerships.</w:t>
      </w:r>
    </w:p>
    <w:p w:rsidR="00A27FFE" w:rsidRPr="00A27FFE" w:rsidRDefault="00A27FFE" w:rsidP="00C70D53">
      <w:pPr>
        <w:spacing w:after="0"/>
        <w:ind w:right="-421"/>
        <w:jc w:val="center"/>
        <w:rPr>
          <w:rFonts w:ascii="Times New Roman" w:eastAsia="Times New Roman" w:hAnsi="Times New Roman" w:cs="Times New Roman"/>
          <w:sz w:val="20"/>
          <w:szCs w:val="20"/>
        </w:rPr>
      </w:pPr>
      <w:r w:rsidRPr="006D128A">
        <w:rPr>
          <w:rFonts w:ascii="Times New Roman" w:eastAsia="Times New Roman" w:hAnsi="Times New Roman" w:cs="Times New Roman"/>
          <w:sz w:val="20"/>
          <w:szCs w:val="20"/>
        </w:rPr>
        <w:t xml:space="preserve">Source: </w:t>
      </w:r>
      <w:r w:rsidRPr="006D128A">
        <w:rPr>
          <w:rFonts w:ascii="Times New Roman" w:hAnsi="Times New Roman" w:cs="Times New Roman"/>
          <w:i/>
          <w:sz w:val="20"/>
          <w:szCs w:val="20"/>
        </w:rPr>
        <w:t xml:space="preserve">Prepared by the author based on WITS repository </w:t>
      </w:r>
      <w:r w:rsidR="006769F7">
        <w:rPr>
          <w:rFonts w:ascii="Times New Roman" w:hAnsi="Times New Roman" w:cs="Times New Roman"/>
          <w:i/>
          <w:sz w:val="20"/>
          <w:szCs w:val="20"/>
        </w:rPr>
        <w:t xml:space="preserve">and WDI </w:t>
      </w:r>
      <w:r w:rsidRPr="006D128A">
        <w:rPr>
          <w:rFonts w:ascii="Times New Roman" w:hAnsi="Times New Roman" w:cs="Times New Roman"/>
          <w:i/>
          <w:sz w:val="20"/>
          <w:szCs w:val="20"/>
        </w:rPr>
        <w:t>data and R</w:t>
      </w:r>
    </w:p>
    <w:p w:rsidR="00A27FFE" w:rsidRDefault="00A27FFE" w:rsidP="00C70D53">
      <w:pPr>
        <w:autoSpaceDE w:val="0"/>
        <w:autoSpaceDN w:val="0"/>
        <w:adjustRightInd w:val="0"/>
        <w:spacing w:after="0"/>
        <w:jc w:val="center"/>
        <w:rPr>
          <w:rFonts w:ascii="Times New Roman" w:hAnsi="Times New Roman" w:cs="Times New Roman"/>
        </w:rPr>
      </w:pPr>
      <w:r w:rsidRPr="008B5CF4">
        <w:rPr>
          <w:rFonts w:ascii="Times New Roman" w:hAnsi="Times New Roman" w:cs="Times New Roman"/>
          <w:b/>
        </w:rPr>
        <w:t>Figure 3</w:t>
      </w:r>
      <w:r w:rsidRPr="008B5CF4">
        <w:rPr>
          <w:rFonts w:ascii="Times New Roman" w:hAnsi="Times New Roman" w:cs="Times New Roman"/>
        </w:rPr>
        <w:t xml:space="preserve">: </w:t>
      </w:r>
      <w:r w:rsidR="008B5CF4" w:rsidRPr="008B5CF4">
        <w:rPr>
          <w:rFonts w:ascii="Times New Roman" w:hAnsi="Times New Roman" w:cs="Times New Roman"/>
        </w:rPr>
        <w:t xml:space="preserve">2022 global carbon trade network, filtered by key ERGM countries and organized using the </w:t>
      </w:r>
      <w:proofErr w:type="spellStart"/>
      <w:r w:rsidR="008B5CF4" w:rsidRPr="008B5CF4">
        <w:rPr>
          <w:rFonts w:ascii="Times New Roman" w:hAnsi="Times New Roman" w:cs="Times New Roman"/>
        </w:rPr>
        <w:t>Infomap</w:t>
      </w:r>
      <w:proofErr w:type="spellEnd"/>
      <w:r w:rsidR="008B5CF4" w:rsidRPr="008B5CF4">
        <w:rPr>
          <w:rFonts w:ascii="Times New Roman" w:hAnsi="Times New Roman" w:cs="Times New Roman"/>
        </w:rPr>
        <w:t xml:space="preserve"> algorithm </w:t>
      </w:r>
      <w:r w:rsidRPr="008B5CF4">
        <w:rPr>
          <w:rFonts w:ascii="Times New Roman" w:hAnsi="Times New Roman" w:cs="Times New Roman"/>
        </w:rPr>
        <w:t>(</w:t>
      </w:r>
      <w:proofErr w:type="spellStart"/>
      <w:r w:rsidRPr="008B5CF4">
        <w:rPr>
          <w:rFonts w:ascii="Times New Roman" w:hAnsi="Times New Roman" w:cs="Times New Roman"/>
        </w:rPr>
        <w:t>Rosvall</w:t>
      </w:r>
      <w:proofErr w:type="spellEnd"/>
      <w:r w:rsidRPr="008B5CF4">
        <w:rPr>
          <w:rFonts w:ascii="Times New Roman" w:hAnsi="Times New Roman" w:cs="Times New Roman"/>
        </w:rPr>
        <w:t xml:space="preserve"> and Bergstrom, 2008).</w:t>
      </w:r>
    </w:p>
    <w:p w:rsidR="005C6D05" w:rsidRPr="008B5CF4" w:rsidRDefault="005C6D05" w:rsidP="00C70D53">
      <w:pPr>
        <w:autoSpaceDE w:val="0"/>
        <w:autoSpaceDN w:val="0"/>
        <w:adjustRightInd w:val="0"/>
        <w:spacing w:after="0"/>
        <w:jc w:val="center"/>
        <w:rPr>
          <w:rFonts w:ascii="Times New Roman" w:hAnsi="Times New Roman" w:cs="Times New Roman"/>
        </w:rPr>
      </w:pPr>
    </w:p>
    <w:p w:rsidR="00FC740B" w:rsidRPr="00F00CA0" w:rsidRDefault="00FC740B" w:rsidP="00C70D53">
      <w:pPr>
        <w:spacing w:before="100" w:beforeAutospacing="1" w:after="100" w:afterAutospacing="1"/>
        <w:outlineLvl w:val="1"/>
        <w:rPr>
          <w:rFonts w:ascii="Times New Roman" w:eastAsia="Times New Roman" w:hAnsi="Times New Roman" w:cs="Times New Roman"/>
          <w:b/>
          <w:bCs/>
        </w:rPr>
      </w:pPr>
      <w:r w:rsidRPr="00F25482">
        <w:rPr>
          <w:rFonts w:ascii="Times New Roman" w:eastAsia="Times New Roman" w:hAnsi="Times New Roman" w:cs="Times New Roman"/>
          <w:b/>
          <w:bCs/>
          <w:highlight w:val="yellow"/>
        </w:rPr>
        <w:t>2. In-Depth Theoretical Discussion of Findings</w:t>
      </w:r>
    </w:p>
    <w:p w:rsidR="00FC740B" w:rsidRPr="00F25482" w:rsidRDefault="00FC740B" w:rsidP="00C70D53">
      <w:pPr>
        <w:spacing w:before="100" w:beforeAutospacing="1" w:after="100" w:afterAutospacing="1"/>
        <w:jc w:val="both"/>
        <w:rPr>
          <w:rFonts w:ascii="Times New Roman" w:eastAsia="Times New Roman" w:hAnsi="Times New Roman" w:cs="Times New Roman"/>
        </w:rPr>
      </w:pPr>
      <w:r w:rsidRPr="00BB5C91">
        <w:rPr>
          <w:rFonts w:ascii="Times New Roman" w:eastAsia="Times New Roman" w:hAnsi="Times New Roman" w:cs="Times New Roman"/>
        </w:rPr>
        <w:t>Across all evaluated years, the baseline density intercept parameter (edges) returned strongly negative and statistically significant scores (</w:t>
      </w:r>
      <w:r w:rsidR="005002CE" w:rsidRPr="00BB5C91">
        <w:rPr>
          <w:rFonts w:ascii="Times New Roman" w:hAnsi="Times New Roman" w:cs="Times New Roman"/>
          <w:position w:val="-10"/>
        </w:rPr>
        <w:object w:dxaOrig="980" w:dyaOrig="320">
          <v:shape id="_x0000_i1114" type="#_x0000_t75" style="width:49.5pt;height:16.5pt" o:ole="">
            <v:imagedata r:id="rId189" o:title=""/>
          </v:shape>
          <o:OLEObject Type="Embed" ProgID="Equation.DSMT4" ShapeID="_x0000_i1114" DrawAspect="Content" ObjectID="_1846526916" r:id="rId190"/>
        </w:object>
      </w:r>
      <w:r w:rsidRPr="00BB5C91">
        <w:rPr>
          <w:rFonts w:ascii="Times New Roman" w:eastAsia="Times New Roman" w:hAnsi="Times New Roman" w:cs="Times New Roman"/>
        </w:rPr>
        <w:t xml:space="preserve">). The baseline score of </w:t>
      </w:r>
      <w:r w:rsidR="00BB5C91" w:rsidRPr="00BB5C91">
        <w:rPr>
          <w:rFonts w:ascii="Times New Roman" w:hAnsi="Times New Roman" w:cs="Times New Roman"/>
        </w:rPr>
        <w:t>-3.118</w:t>
      </w:r>
      <w:r w:rsidRPr="00BB5C91">
        <w:rPr>
          <w:rFonts w:ascii="Times New Roman" w:eastAsia="Times New Roman" w:hAnsi="Times New Roman" w:cs="Times New Roman"/>
        </w:rPr>
        <w:t xml:space="preserve"> in 2019 dropped sharply to </w:t>
      </w:r>
      <w:r w:rsidR="00BB5C91" w:rsidRPr="00BB5C91">
        <w:rPr>
          <w:rFonts w:ascii="Times New Roman" w:hAnsi="Times New Roman" w:cs="Times New Roman"/>
        </w:rPr>
        <w:t>-4.218</w:t>
      </w:r>
      <w:r w:rsidRPr="00BB5C91">
        <w:rPr>
          <w:rFonts w:ascii="Times New Roman" w:eastAsia="Times New Roman" w:hAnsi="Times New Roman" w:cs="Times New Roman"/>
        </w:rPr>
        <w:t xml:space="preserve"> during the peak crisis year of 2020 before relaxing back to </w:t>
      </w:r>
      <w:r w:rsidR="00BB5C91" w:rsidRPr="00BB5C91">
        <w:rPr>
          <w:rFonts w:ascii="Times New Roman" w:hAnsi="Times New Roman" w:cs="Times New Roman"/>
        </w:rPr>
        <w:t>-3.125</w:t>
      </w:r>
      <w:r w:rsidRPr="00BB5C91">
        <w:rPr>
          <w:rFonts w:ascii="Times New Roman" w:eastAsia="Times New Roman" w:hAnsi="Times New Roman" w:cs="Times New Roman"/>
        </w:rPr>
        <w:t xml:space="preserve"> by 2022</w:t>
      </w:r>
      <w:r w:rsidRPr="00F25482">
        <w:rPr>
          <w:rFonts w:ascii="Times New Roman" w:eastAsia="Times New Roman" w:hAnsi="Times New Roman" w:cs="Times New Roman"/>
        </w:rPr>
        <w:t>.</w:t>
      </w:r>
    </w:p>
    <w:p w:rsidR="00FC740B" w:rsidRPr="00F00CA0" w:rsidRDefault="00FC740B" w:rsidP="00C70D53">
      <w:pPr>
        <w:spacing w:before="100" w:beforeAutospacing="1" w:after="100" w:afterAutospacing="1"/>
        <w:jc w:val="both"/>
        <w:rPr>
          <w:rFonts w:ascii="Times New Roman" w:eastAsia="Times New Roman" w:hAnsi="Times New Roman" w:cs="Times New Roman"/>
        </w:rPr>
      </w:pPr>
      <w:r w:rsidRPr="00F00CA0">
        <w:rPr>
          <w:rFonts w:ascii="Times New Roman" w:eastAsia="Times New Roman" w:hAnsi="Times New Roman" w:cs="Times New Roman"/>
        </w:rPr>
        <w:t xml:space="preserve">From a structural standpoint, this negative baseline confirms that global carbon trade does not occur randomly across arbitrary country pairs; it is an inherently sparse, highly selective network. The 2020 drop highlights a systemic tightening during global supply chain shocks, where peripheral trading channels were pruned, </w:t>
      </w:r>
      <w:r w:rsidR="001E67C4" w:rsidRPr="00F00CA0">
        <w:rPr>
          <w:rFonts w:ascii="Times New Roman" w:eastAsia="Times New Roman" w:hAnsi="Times New Roman" w:cs="Times New Roman"/>
        </w:rPr>
        <w:t>and forcing</w:t>
      </w:r>
      <w:r w:rsidRPr="00F00CA0">
        <w:rPr>
          <w:rFonts w:ascii="Times New Roman" w:eastAsia="Times New Roman" w:hAnsi="Times New Roman" w:cs="Times New Roman"/>
        </w:rPr>
        <w:t xml:space="preserve"> market activity to concentrate along established core trade corridors.</w:t>
      </w:r>
    </w:p>
    <w:p w:rsidR="00FC740B" w:rsidRPr="00F00CA0" w:rsidRDefault="00341151" w:rsidP="00C70D53">
      <w:pPr>
        <w:spacing w:before="100" w:beforeAutospacing="1" w:after="100" w:afterAutospacing="1"/>
        <w:jc w:val="both"/>
        <w:rPr>
          <w:rFonts w:ascii="Times New Roman" w:eastAsia="Times New Roman" w:hAnsi="Times New Roman" w:cs="Times New Roman"/>
        </w:rPr>
      </w:pPr>
      <w:r>
        <w:rPr>
          <w:rFonts w:ascii="Times New Roman" w:eastAsia="Times New Roman" w:hAnsi="Times New Roman" w:cs="Times New Roman"/>
          <w:bCs/>
        </w:rPr>
        <w:t xml:space="preserve">Aligning SDG </w:t>
      </w:r>
      <w:r w:rsidR="00BB5C91">
        <w:rPr>
          <w:rFonts w:ascii="Times New Roman" w:eastAsia="Times New Roman" w:hAnsi="Times New Roman" w:cs="Times New Roman"/>
          <w:bCs/>
        </w:rPr>
        <w:t xml:space="preserve">9 to </w:t>
      </w:r>
      <w:r w:rsidR="00BB5C91">
        <w:rPr>
          <w:rFonts w:ascii="Times New Roman" w:eastAsia="Times New Roman" w:hAnsi="Times New Roman" w:cs="Times New Roman"/>
        </w:rPr>
        <w:t>d</w:t>
      </w:r>
      <w:r w:rsidR="00FC740B" w:rsidRPr="00F00CA0">
        <w:rPr>
          <w:rFonts w:ascii="Times New Roman" w:eastAsia="Times New Roman" w:hAnsi="Times New Roman" w:cs="Times New Roman"/>
        </w:rPr>
        <w:t>omestic industrial value-added as a share of GDP emerged as the single most dominant, consistent nodal driver of carbon trade connectivity. The coefficient remai</w:t>
      </w:r>
      <w:r w:rsidR="00F25482">
        <w:rPr>
          <w:rFonts w:ascii="Times New Roman" w:eastAsia="Times New Roman" w:hAnsi="Times New Roman" w:cs="Times New Roman"/>
        </w:rPr>
        <w:t>ned highly positive (p &lt; 0.001</w:t>
      </w:r>
      <w:r w:rsidR="00FC740B" w:rsidRPr="00F00CA0">
        <w:rPr>
          <w:rFonts w:ascii="Times New Roman" w:eastAsia="Times New Roman" w:hAnsi="Times New Roman" w:cs="Times New Roman"/>
        </w:rPr>
        <w:t>) across ev</w:t>
      </w:r>
      <w:r w:rsidR="001E67C4">
        <w:rPr>
          <w:rFonts w:ascii="Times New Roman" w:eastAsia="Times New Roman" w:hAnsi="Times New Roman" w:cs="Times New Roman"/>
        </w:rPr>
        <w:t>ery year, ranging from 0.01768 in 2019 to a peak of 0.03256</w:t>
      </w:r>
      <w:r w:rsidR="00FC740B" w:rsidRPr="00F00CA0">
        <w:rPr>
          <w:rFonts w:ascii="Times New Roman" w:eastAsia="Times New Roman" w:hAnsi="Times New Roman" w:cs="Times New Roman"/>
        </w:rPr>
        <w:t xml:space="preserve"> in 2020. Furthermore, the dyadic difference parameter </w:t>
      </w:r>
      <w:r w:rsidR="00FC740B" w:rsidRPr="00BB5C91">
        <w:rPr>
          <w:rFonts w:ascii="Times New Roman" w:eastAsia="Times New Roman" w:hAnsi="Times New Roman" w:cs="Times New Roman"/>
        </w:rPr>
        <w:t>(</w:t>
      </w:r>
      <w:proofErr w:type="spellStart"/>
      <w:r w:rsidR="00FC740B" w:rsidRPr="00BB5C91">
        <w:rPr>
          <w:rFonts w:ascii="Times New Roman" w:eastAsia="Times New Roman" w:hAnsi="Times New Roman" w:cs="Times New Roman"/>
        </w:rPr>
        <w:t>absdiff</w:t>
      </w:r>
      <w:proofErr w:type="spellEnd"/>
      <w:r w:rsidR="00FC740B" w:rsidRPr="00BB5C91">
        <w:rPr>
          <w:rFonts w:ascii="Times New Roman" w:eastAsia="Times New Roman" w:hAnsi="Times New Roman" w:cs="Times New Roman"/>
        </w:rPr>
        <w:t>.</w:t>
      </w:r>
      <w:r w:rsidR="00BB5C91">
        <w:rPr>
          <w:rFonts w:ascii="Times New Roman" w:eastAsia="Times New Roman" w:hAnsi="Times New Roman" w:cs="Times New Roman"/>
        </w:rPr>
        <w:t xml:space="preserve"> </w:t>
      </w:r>
      <w:r w:rsidR="00FC740B" w:rsidRPr="00BB5C91">
        <w:rPr>
          <w:rFonts w:ascii="Times New Roman" w:eastAsia="Times New Roman" w:hAnsi="Times New Roman" w:cs="Times New Roman"/>
        </w:rPr>
        <w:t>Industry</w:t>
      </w:r>
      <w:r w:rsidR="00BB5C91">
        <w:rPr>
          <w:rFonts w:ascii="Times New Roman" w:eastAsia="Times New Roman" w:hAnsi="Times New Roman" w:cs="Times New Roman"/>
        </w:rPr>
        <w:t xml:space="preserve"> pct GDP</w:t>
      </w:r>
      <w:r w:rsidR="00FC740B" w:rsidRPr="00BB5C91">
        <w:rPr>
          <w:rFonts w:ascii="Times New Roman" w:eastAsia="Times New Roman" w:hAnsi="Times New Roman" w:cs="Times New Roman"/>
        </w:rPr>
        <w:t xml:space="preserve">) </w:t>
      </w:r>
      <w:r w:rsidR="00FC740B" w:rsidRPr="00F00CA0">
        <w:rPr>
          <w:rFonts w:ascii="Times New Roman" w:eastAsia="Times New Roman" w:hAnsi="Times New Roman" w:cs="Times New Roman"/>
        </w:rPr>
        <w:t xml:space="preserve">returned positive </w:t>
      </w:r>
      <w:r w:rsidR="00FC740B" w:rsidRPr="00BB5C91">
        <w:rPr>
          <w:rFonts w:ascii="Times New Roman" w:eastAsia="Times New Roman" w:hAnsi="Times New Roman" w:cs="Times New Roman"/>
        </w:rPr>
        <w:t>and statistically significant s</w:t>
      </w:r>
      <w:r w:rsidR="00F25482" w:rsidRPr="00BB5C91">
        <w:rPr>
          <w:rFonts w:ascii="Times New Roman" w:eastAsia="Times New Roman" w:hAnsi="Times New Roman" w:cs="Times New Roman"/>
        </w:rPr>
        <w:t>cores (0.006601 in 2019 and 0.006588 in 2022, p &lt; 0.01</w:t>
      </w:r>
      <w:r w:rsidR="00FC740B" w:rsidRPr="00BB5C91">
        <w:rPr>
          <w:rFonts w:ascii="Times New Roman" w:eastAsia="Times New Roman" w:hAnsi="Times New Roman" w:cs="Times New Roman"/>
        </w:rPr>
        <w:t xml:space="preserve">). This confirms a persistent </w:t>
      </w:r>
      <w:r w:rsidR="00FC740B" w:rsidRPr="00BB5C91">
        <w:rPr>
          <w:rFonts w:ascii="Times New Roman" w:eastAsia="Times New Roman" w:hAnsi="Times New Roman" w:cs="Times New Roman"/>
          <w:bCs/>
        </w:rPr>
        <w:t>industrial heterophily</w:t>
      </w:r>
      <w:r w:rsidR="00BB5C91" w:rsidRPr="00BB5C91">
        <w:rPr>
          <w:rFonts w:ascii="Times New Roman" w:eastAsia="Times New Roman" w:hAnsi="Times New Roman" w:cs="Times New Roman"/>
        </w:rPr>
        <w:t xml:space="preserve"> where</w:t>
      </w:r>
      <w:r w:rsidR="00FC740B" w:rsidRPr="00BB5C91">
        <w:rPr>
          <w:rFonts w:ascii="Times New Roman" w:eastAsia="Times New Roman" w:hAnsi="Times New Roman" w:cs="Times New Roman"/>
        </w:rPr>
        <w:t xml:space="preserve"> the global carbon market preferentially links highly industrialized,</w:t>
      </w:r>
      <w:r w:rsidR="00FC740B" w:rsidRPr="00F00CA0">
        <w:rPr>
          <w:rFonts w:ascii="Times New Roman" w:eastAsia="Times New Roman" w:hAnsi="Times New Roman" w:cs="Times New Roman"/>
        </w:rPr>
        <w:t xml:space="preserve"> manufacturing-heavy nations with non-industrialized counter-parties, reflecting a global division of labor.</w:t>
      </w:r>
    </w:p>
    <w:p w:rsidR="00FC740B" w:rsidRPr="00F00CA0" w:rsidRDefault="00FC740B" w:rsidP="00C70D53">
      <w:pPr>
        <w:spacing w:before="100" w:beforeAutospacing="1" w:after="100" w:afterAutospacing="1"/>
        <w:jc w:val="both"/>
        <w:rPr>
          <w:rFonts w:ascii="Times New Roman" w:eastAsia="Times New Roman" w:hAnsi="Times New Roman" w:cs="Times New Roman"/>
        </w:rPr>
      </w:pPr>
      <w:r w:rsidRPr="00F00CA0">
        <w:rPr>
          <w:rFonts w:ascii="Times New Roman" w:eastAsia="Times New Roman" w:hAnsi="Times New Roman" w:cs="Times New Roman"/>
        </w:rPr>
        <w:t>Per-capita and aggregate GDP</w:t>
      </w:r>
      <w:r w:rsidR="00BB5C91">
        <w:rPr>
          <w:rFonts w:ascii="Times New Roman" w:eastAsia="Times New Roman" w:hAnsi="Times New Roman" w:cs="Times New Roman"/>
        </w:rPr>
        <w:t xml:space="preserve"> representing SDG 8</w:t>
      </w:r>
      <w:r w:rsidRPr="00F00CA0">
        <w:rPr>
          <w:rFonts w:ascii="Times New Roman" w:eastAsia="Times New Roman" w:hAnsi="Times New Roman" w:cs="Times New Roman"/>
        </w:rPr>
        <w:t xml:space="preserve"> showed no statistically significant direct influence on link formation during baseline years (2019, 2021, </w:t>
      </w:r>
      <w:proofErr w:type="gramStart"/>
      <w:r w:rsidRPr="00F00CA0">
        <w:rPr>
          <w:rFonts w:ascii="Times New Roman" w:eastAsia="Times New Roman" w:hAnsi="Times New Roman" w:cs="Times New Roman"/>
        </w:rPr>
        <w:t>2022</w:t>
      </w:r>
      <w:proofErr w:type="gramEnd"/>
      <w:r w:rsidRPr="00F00CA0">
        <w:rPr>
          <w:rFonts w:ascii="Times New Roman" w:eastAsia="Times New Roman" w:hAnsi="Times New Roman" w:cs="Times New Roman"/>
        </w:rPr>
        <w:t xml:space="preserve">). General financial wealth alone does not dictate </w:t>
      </w:r>
      <w:r w:rsidRPr="00F00CA0">
        <w:rPr>
          <w:rFonts w:ascii="Times New Roman" w:eastAsia="Times New Roman" w:hAnsi="Times New Roman" w:cs="Times New Roman"/>
        </w:rPr>
        <w:lastRenderedPageBreak/>
        <w:t>carbon trade participation. However, during the 2020 economic contraction, macro-economic scale briefly became a vital stabilizer (</w:t>
      </w:r>
      <w:r w:rsidR="00BB5C91" w:rsidRPr="00BB5C91">
        <w:rPr>
          <w:position w:val="-10"/>
        </w:rPr>
        <w:object w:dxaOrig="2340" w:dyaOrig="300">
          <v:shape id="_x0000_i1115" type="#_x0000_t75" style="width:117pt;height:15pt" o:ole="">
            <v:imagedata r:id="rId191" o:title=""/>
          </v:shape>
          <o:OLEObject Type="Embed" ProgID="Equation.DSMT4" ShapeID="_x0000_i1115" DrawAspect="Content" ObjectID="_1846526917" r:id="rId192"/>
        </w:object>
      </w:r>
      <w:r w:rsidRPr="00F00CA0">
        <w:rPr>
          <w:rFonts w:ascii="Times New Roman" w:eastAsia="Times New Roman" w:hAnsi="Times New Roman" w:cs="Times New Roman"/>
        </w:rPr>
        <w:t>), showing that absolute economic scale acted as a safety buffer during acute economic crises.</w:t>
      </w:r>
    </w:p>
    <w:p w:rsidR="00FC740B" w:rsidRPr="007B1C80" w:rsidRDefault="00FC740B" w:rsidP="00C70D53">
      <w:pPr>
        <w:spacing w:before="100" w:beforeAutospacing="1" w:after="100" w:afterAutospacing="1"/>
        <w:jc w:val="both"/>
        <w:rPr>
          <w:rFonts w:ascii="Times New Roman" w:eastAsia="Times New Roman" w:hAnsi="Times New Roman" w:cs="Times New Roman"/>
        </w:rPr>
      </w:pPr>
      <w:r w:rsidRPr="007B1C80">
        <w:rPr>
          <w:rFonts w:ascii="Times New Roman" w:eastAsia="Times New Roman" w:hAnsi="Times New Roman" w:cs="Times New Roman"/>
        </w:rPr>
        <w:t>The main effect for renewable energy consumption returned strongly negative scores across all years (</w:t>
      </w:r>
      <w:r w:rsidR="00BB5C91" w:rsidRPr="007B1C80">
        <w:rPr>
          <w:rFonts w:ascii="Times New Roman" w:hAnsi="Times New Roman" w:cs="Times New Roman"/>
          <w:position w:val="-10"/>
        </w:rPr>
        <w:object w:dxaOrig="2079" w:dyaOrig="300">
          <v:shape id="_x0000_i1116" type="#_x0000_t75" style="width:103.5pt;height:15pt" o:ole="">
            <v:imagedata r:id="rId193" o:title=""/>
          </v:shape>
          <o:OLEObject Type="Embed" ProgID="Equation.DSMT4" ShapeID="_x0000_i1116" DrawAspect="Content" ObjectID="_1846526918" r:id="rId194"/>
        </w:object>
      </w:r>
      <w:r w:rsidRPr="007B1C80">
        <w:rPr>
          <w:rFonts w:ascii="Times New Roman" w:eastAsia="Times New Roman" w:hAnsi="Times New Roman" w:cs="Times New Roman"/>
        </w:rPr>
        <w:t xml:space="preserve">). This reveals a significant </w:t>
      </w:r>
      <w:r w:rsidR="007B1C80" w:rsidRPr="007B1C80">
        <w:rPr>
          <w:rFonts w:ascii="Times New Roman" w:eastAsia="Times New Roman" w:hAnsi="Times New Roman" w:cs="Times New Roman"/>
          <w:bCs/>
        </w:rPr>
        <w:t xml:space="preserve">clean energy insulation </w:t>
      </w:r>
      <w:r w:rsidRPr="007B1C80">
        <w:rPr>
          <w:rFonts w:ascii="Times New Roman" w:eastAsia="Times New Roman" w:hAnsi="Times New Roman" w:cs="Times New Roman"/>
          <w:bCs/>
        </w:rPr>
        <w:t>effect</w:t>
      </w:r>
      <w:r w:rsidR="007B1C80" w:rsidRPr="007B1C80">
        <w:rPr>
          <w:rFonts w:ascii="Times New Roman" w:eastAsia="Times New Roman" w:hAnsi="Times New Roman" w:cs="Times New Roman"/>
        </w:rPr>
        <w:t xml:space="preserve"> where</w:t>
      </w:r>
      <w:r w:rsidRPr="007B1C80">
        <w:rPr>
          <w:rFonts w:ascii="Times New Roman" w:eastAsia="Times New Roman" w:hAnsi="Times New Roman" w:cs="Times New Roman"/>
        </w:rPr>
        <w:t xml:space="preserve"> nations advancing their domestic green transitions systematically reduce their odds of participating in carbon-embodied trade routes, lowering their exposure to international carbon flows</w:t>
      </w:r>
      <w:r w:rsidR="007B1C80">
        <w:rPr>
          <w:rFonts w:ascii="Times New Roman" w:eastAsia="Times New Roman" w:hAnsi="Times New Roman" w:cs="Times New Roman"/>
        </w:rPr>
        <w:t xml:space="preserve"> supporting </w:t>
      </w:r>
      <w:r w:rsidR="007B1C80" w:rsidRPr="007B1C80">
        <w:rPr>
          <w:rFonts w:ascii="Times New Roman" w:eastAsia="Times New Roman" w:hAnsi="Times New Roman" w:cs="Times New Roman"/>
          <w:bCs/>
        </w:rPr>
        <w:t>SDG 7</w:t>
      </w:r>
      <w:r w:rsidR="00A27FFE">
        <w:rPr>
          <w:rFonts w:ascii="Times New Roman" w:eastAsia="Times New Roman" w:hAnsi="Times New Roman" w:cs="Times New Roman"/>
        </w:rPr>
        <w:t xml:space="preserve"> and 13</w:t>
      </w:r>
      <w:r w:rsidRPr="007B1C80">
        <w:rPr>
          <w:rFonts w:ascii="Times New Roman" w:eastAsia="Times New Roman" w:hAnsi="Times New Roman" w:cs="Times New Roman"/>
        </w:rPr>
        <w:t>.</w:t>
      </w:r>
    </w:p>
    <w:p w:rsidR="00FC740B" w:rsidRPr="00F00CA0" w:rsidRDefault="00FC740B" w:rsidP="00C70D53">
      <w:pPr>
        <w:spacing w:before="100" w:beforeAutospacing="1" w:after="100" w:afterAutospacing="1"/>
        <w:rPr>
          <w:rFonts w:ascii="Times New Roman" w:eastAsia="Times New Roman" w:hAnsi="Times New Roman" w:cs="Times New Roman"/>
        </w:rPr>
      </w:pPr>
      <w:r w:rsidRPr="00A27FFE">
        <w:rPr>
          <w:rFonts w:ascii="Times New Roman" w:eastAsia="Times New Roman" w:hAnsi="Times New Roman" w:cs="Times New Roman"/>
          <w:bCs/>
        </w:rPr>
        <w:t xml:space="preserve">SDG 13 </w:t>
      </w:r>
      <w:r w:rsidR="007B1C80" w:rsidRPr="00A27FFE">
        <w:rPr>
          <w:rFonts w:ascii="Times New Roman" w:eastAsia="Times New Roman" w:hAnsi="Times New Roman" w:cs="Times New Roman"/>
          <w:bCs/>
        </w:rPr>
        <w:t>related</w:t>
      </w:r>
      <w:r w:rsidR="007B1C80">
        <w:rPr>
          <w:rFonts w:ascii="Times New Roman" w:eastAsia="Times New Roman" w:hAnsi="Times New Roman" w:cs="Times New Roman"/>
          <w:b/>
          <w:bCs/>
        </w:rPr>
        <w:t xml:space="preserve"> </w:t>
      </w:r>
      <w:r w:rsidRPr="00F00CA0">
        <w:rPr>
          <w:rFonts w:ascii="Times New Roman" w:eastAsia="Times New Roman" w:hAnsi="Times New Roman" w:cs="Times New Roman"/>
        </w:rPr>
        <w:t>environmental parameters demonstrate contrasting scales of climate impact. While absolute greenhouse gas polluters serve as primary central hubs (</w:t>
      </w:r>
      <w:r w:rsidR="007B1C80" w:rsidRPr="007B1C80">
        <w:rPr>
          <w:position w:val="-10"/>
        </w:rPr>
        <w:object w:dxaOrig="1380" w:dyaOrig="300">
          <v:shape id="_x0000_i1117" type="#_x0000_t75" style="width:69pt;height:15pt" o:ole="">
            <v:imagedata r:id="rId195" o:title=""/>
          </v:shape>
          <o:OLEObject Type="Embed" ProgID="Equation.DSMT4" ShapeID="_x0000_i1117" DrawAspect="Content" ObjectID="_1846526919" r:id="rId196"/>
        </w:object>
      </w:r>
      <w:r w:rsidRPr="00F00CA0">
        <w:rPr>
          <w:rFonts w:ascii="Times New Roman" w:eastAsia="Times New Roman" w:hAnsi="Times New Roman" w:cs="Times New Roman"/>
        </w:rPr>
        <w:t>), higher per-capita CO2 intensity consistently suppresses outbound trade connectivity (</w:t>
      </w:r>
      <w:r w:rsidR="007B1C80" w:rsidRPr="007B1C80">
        <w:rPr>
          <w:position w:val="-10"/>
        </w:rPr>
        <w:object w:dxaOrig="2079" w:dyaOrig="300">
          <v:shape id="_x0000_i1118" type="#_x0000_t75" style="width:103.5pt;height:15pt" o:ole="">
            <v:imagedata r:id="rId197" o:title=""/>
          </v:shape>
          <o:OLEObject Type="Embed" ProgID="Equation.DSMT4" ShapeID="_x0000_i1118" DrawAspect="Content" ObjectID="_1846526920" r:id="rId198"/>
        </w:object>
      </w:r>
      <w:r w:rsidRPr="00F00CA0">
        <w:rPr>
          <w:rFonts w:ascii="Times New Roman" w:eastAsia="Times New Roman" w:hAnsi="Times New Roman" w:cs="Times New Roman"/>
        </w:rPr>
        <w:t>).</w:t>
      </w:r>
    </w:p>
    <w:p w:rsidR="00FC740B" w:rsidRPr="00F00CA0" w:rsidRDefault="00FC740B" w:rsidP="00C70D53">
      <w:pPr>
        <w:spacing w:before="100" w:beforeAutospacing="1" w:after="100" w:afterAutospacing="1"/>
        <w:jc w:val="both"/>
        <w:rPr>
          <w:rFonts w:ascii="Times New Roman" w:eastAsia="Times New Roman" w:hAnsi="Times New Roman" w:cs="Times New Roman"/>
        </w:rPr>
      </w:pPr>
      <w:r w:rsidRPr="00F00CA0">
        <w:rPr>
          <w:rFonts w:ascii="Times New Roman" w:eastAsia="Times New Roman" w:hAnsi="Times New Roman" w:cs="Times New Roman"/>
        </w:rPr>
        <w:t>Under normal trading conditions (2019, 2021, 2022), the relational gap parameter for clean energy was positive (</w:t>
      </w:r>
      <w:r w:rsidR="007B1C80" w:rsidRPr="007B1C80">
        <w:rPr>
          <w:position w:val="-10"/>
        </w:rPr>
        <w:object w:dxaOrig="1860" w:dyaOrig="300">
          <v:shape id="_x0000_i1119" type="#_x0000_t75" style="width:93pt;height:15pt" o:ole="">
            <v:imagedata r:id="rId199" o:title=""/>
          </v:shape>
          <o:OLEObject Type="Embed" ProgID="Equation.DSMT4" ShapeID="_x0000_i1119" DrawAspect="Content" ObjectID="_1846526921" r:id="rId200"/>
        </w:object>
      </w:r>
      <w:r w:rsidRPr="00F00CA0">
        <w:rPr>
          <w:rFonts w:ascii="Times New Roman" w:eastAsia="Times New Roman" w:hAnsi="Times New Roman" w:cs="Times New Roman"/>
        </w:rPr>
        <w:t xml:space="preserve">), indicating asymmetric trade between green-transitioning and fossil-reliant </w:t>
      </w:r>
      <w:r w:rsidR="007B1C80">
        <w:rPr>
          <w:rFonts w:ascii="Times New Roman" w:eastAsia="Times New Roman" w:hAnsi="Times New Roman" w:cs="Times New Roman"/>
        </w:rPr>
        <w:t>nations</w:t>
      </w:r>
      <w:r w:rsidRPr="00F00CA0">
        <w:rPr>
          <w:rFonts w:ascii="Times New Roman" w:eastAsia="Times New Roman" w:hAnsi="Times New Roman" w:cs="Times New Roman"/>
        </w:rPr>
        <w:t>. However, during the 2020 pandemic, this parameter inverted to negative (</w:t>
      </w:r>
      <w:r w:rsidR="007B1C80" w:rsidRPr="007B1C80">
        <w:rPr>
          <w:position w:val="-10"/>
        </w:rPr>
        <w:object w:dxaOrig="1840" w:dyaOrig="300">
          <v:shape id="_x0000_i1120" type="#_x0000_t75" style="width:91.5pt;height:15pt" o:ole="">
            <v:imagedata r:id="rId201" o:title=""/>
          </v:shape>
          <o:OLEObject Type="Embed" ProgID="Equation.DSMT4" ShapeID="_x0000_i1120" DrawAspect="Content" ObjectID="_1846526922" r:id="rId202"/>
        </w:object>
      </w:r>
      <w:r w:rsidRPr="00F00CA0">
        <w:rPr>
          <w:rFonts w:ascii="Times New Roman" w:eastAsia="Times New Roman" w:hAnsi="Times New Roman" w:cs="Times New Roman"/>
        </w:rPr>
        <w:t>), accompanied by a statistically significant negative coefficient for CO2 intensity gaps (</w:t>
      </w:r>
      <w:r w:rsidR="00341151" w:rsidRPr="00341151">
        <w:rPr>
          <w:position w:val="-10"/>
        </w:rPr>
        <w:object w:dxaOrig="2100" w:dyaOrig="300">
          <v:shape id="_x0000_i1121" type="#_x0000_t75" style="width:105pt;height:15pt" o:ole="">
            <v:imagedata r:id="rId203" o:title=""/>
          </v:shape>
          <o:OLEObject Type="Embed" ProgID="Equation.DSMT4" ShapeID="_x0000_i1121" DrawAspect="Content" ObjectID="_1846526923" r:id="rId204"/>
        </w:object>
      </w:r>
      <w:r w:rsidRPr="00F00CA0">
        <w:rPr>
          <w:rFonts w:ascii="Times New Roman" w:eastAsia="Times New Roman" w:hAnsi="Times New Roman" w:cs="Times New Roman"/>
        </w:rPr>
        <w:t xml:space="preserve">). This provides clear empirical evidence of a </w:t>
      </w:r>
      <w:r w:rsidRPr="007B1C80">
        <w:rPr>
          <w:rFonts w:ascii="Times New Roman" w:eastAsia="Times New Roman" w:hAnsi="Times New Roman" w:cs="Times New Roman"/>
          <w:bCs/>
        </w:rPr>
        <w:t>crisis-induced environmental homophily</w:t>
      </w:r>
      <w:r w:rsidR="007B1C80">
        <w:rPr>
          <w:rFonts w:ascii="Times New Roman" w:eastAsia="Times New Roman" w:hAnsi="Times New Roman" w:cs="Times New Roman"/>
        </w:rPr>
        <w:t xml:space="preserve"> where </w:t>
      </w:r>
      <w:r w:rsidRPr="00F00CA0">
        <w:rPr>
          <w:rFonts w:ascii="Times New Roman" w:eastAsia="Times New Roman" w:hAnsi="Times New Roman" w:cs="Times New Roman"/>
        </w:rPr>
        <w:t xml:space="preserve">under market </w:t>
      </w:r>
      <w:proofErr w:type="gramStart"/>
      <w:r w:rsidRPr="00F00CA0">
        <w:rPr>
          <w:rFonts w:ascii="Times New Roman" w:eastAsia="Times New Roman" w:hAnsi="Times New Roman" w:cs="Times New Roman"/>
        </w:rPr>
        <w:t>stress,</w:t>
      </w:r>
      <w:proofErr w:type="gramEnd"/>
      <w:r w:rsidRPr="00F00CA0">
        <w:rPr>
          <w:rFonts w:ascii="Times New Roman" w:eastAsia="Times New Roman" w:hAnsi="Times New Roman" w:cs="Times New Roman"/>
        </w:rPr>
        <w:t xml:space="preserve"> nations temporarily restricted new trade links to partners with matching carbon footprints to mitigate regulatory, logistical, and reputational risks.</w:t>
      </w:r>
    </w:p>
    <w:p w:rsidR="00341151" w:rsidRPr="00341151" w:rsidRDefault="00FC740B" w:rsidP="00C70D53">
      <w:pPr>
        <w:spacing w:before="100" w:beforeAutospacing="1" w:after="100" w:afterAutospacing="1"/>
        <w:jc w:val="both"/>
        <w:outlineLvl w:val="2"/>
        <w:rPr>
          <w:rFonts w:ascii="Times New Roman" w:eastAsia="Times New Roman" w:hAnsi="Times New Roman" w:cs="Times New Roman"/>
          <w:bCs/>
        </w:rPr>
      </w:pPr>
      <w:r w:rsidRPr="00F00CA0">
        <w:rPr>
          <w:rFonts w:ascii="Times New Roman" w:eastAsia="Times New Roman" w:hAnsi="Times New Roman" w:cs="Times New Roman"/>
        </w:rPr>
        <w:t xml:space="preserve">The parameter for national statistical performance maintained positive, statistically significant </w:t>
      </w:r>
      <w:r w:rsidR="00341151">
        <w:rPr>
          <w:rFonts w:ascii="Times New Roman" w:eastAsia="Times New Roman" w:hAnsi="Times New Roman" w:cs="Times New Roman"/>
        </w:rPr>
        <w:t>estimates across the entire four</w:t>
      </w:r>
      <w:r w:rsidRPr="00F00CA0">
        <w:rPr>
          <w:rFonts w:ascii="Times New Roman" w:eastAsia="Times New Roman" w:hAnsi="Times New Roman" w:cs="Times New Roman"/>
        </w:rPr>
        <w:t>-year timeline (</w:t>
      </w:r>
      <w:r w:rsidR="00341151" w:rsidRPr="00341151">
        <w:rPr>
          <w:position w:val="-10"/>
        </w:rPr>
        <w:object w:dxaOrig="1939" w:dyaOrig="300">
          <v:shape id="_x0000_i1122" type="#_x0000_t75" style="width:97.5pt;height:15pt" o:ole="">
            <v:imagedata r:id="rId205" o:title=""/>
          </v:shape>
          <o:OLEObject Type="Embed" ProgID="Equation.DSMT4" ShapeID="_x0000_i1122" DrawAspect="Content" ObjectID="_1846526924" r:id="rId206"/>
        </w:object>
      </w:r>
      <w:r w:rsidRPr="00F00CA0">
        <w:rPr>
          <w:rFonts w:ascii="Times New Roman" w:eastAsia="Times New Roman" w:hAnsi="Times New Roman" w:cs="Times New Roman"/>
        </w:rPr>
        <w:t>). High statistical performance, regulatory maturity, and transparent emissions reporting under SDG 17 act as necessary structural prerequisites for establishing and maintaining bilateral carbon trade pathways.</w:t>
      </w:r>
      <w:r w:rsidR="00341151">
        <w:rPr>
          <w:rFonts w:ascii="Times New Roman" w:eastAsia="Times New Roman" w:hAnsi="Times New Roman" w:cs="Times New Roman"/>
        </w:rPr>
        <w:t xml:space="preserve"> </w:t>
      </w:r>
      <w:r w:rsidR="00341151" w:rsidRPr="00341151">
        <w:rPr>
          <w:rFonts w:ascii="Times New Roman" w:eastAsia="Times New Roman" w:hAnsi="Times New Roman" w:cs="Times New Roman"/>
          <w:bCs/>
        </w:rPr>
        <w:t xml:space="preserve">So, Governance Data Maturity </w:t>
      </w:r>
      <w:proofErr w:type="gramStart"/>
      <w:r w:rsidR="00341151" w:rsidRPr="00341151">
        <w:rPr>
          <w:rFonts w:ascii="Times New Roman" w:eastAsia="Times New Roman" w:hAnsi="Times New Roman" w:cs="Times New Roman"/>
          <w:bCs/>
        </w:rPr>
        <w:t>act</w:t>
      </w:r>
      <w:proofErr w:type="gramEnd"/>
      <w:r w:rsidR="00341151" w:rsidRPr="00341151">
        <w:rPr>
          <w:rFonts w:ascii="Times New Roman" w:eastAsia="Times New Roman" w:hAnsi="Times New Roman" w:cs="Times New Roman"/>
          <w:bCs/>
        </w:rPr>
        <w:t xml:space="preserve"> as an Entry Requirement (SDG 17)</w:t>
      </w:r>
      <w:r w:rsidR="00341151">
        <w:rPr>
          <w:rFonts w:ascii="Times New Roman" w:eastAsia="Times New Roman" w:hAnsi="Times New Roman" w:cs="Times New Roman"/>
          <w:bCs/>
        </w:rPr>
        <w:t>.</w:t>
      </w:r>
    </w:p>
    <w:p w:rsidR="008939A8" w:rsidRDefault="006B638C" w:rsidP="008939A8">
      <w:pPr>
        <w:spacing w:before="100" w:beforeAutospacing="1" w:after="100" w:afterAutospacing="1"/>
        <w:jc w:val="both"/>
        <w:rPr>
          <w:rFonts w:ascii="Times New Roman" w:eastAsia="Times New Roman" w:hAnsi="Times New Roman" w:cs="Times New Roman"/>
        </w:rPr>
      </w:pPr>
      <w:r>
        <w:rPr>
          <w:rFonts w:ascii="Times New Roman" w:eastAsia="Times New Roman" w:hAnsi="Times New Roman" w:cs="Times New Roman"/>
        </w:rPr>
        <w:t xml:space="preserve">In a compact, </w:t>
      </w:r>
      <w:r w:rsidR="00FC740B" w:rsidRPr="00F00CA0">
        <w:rPr>
          <w:rFonts w:ascii="Times New Roman" w:eastAsia="Times New Roman" w:hAnsi="Times New Roman" w:cs="Times New Roman"/>
        </w:rPr>
        <w:t>Global carbon trade is driven primarily by secondary industrial value-added (SDG 9) rather th</w:t>
      </w:r>
      <w:r>
        <w:rPr>
          <w:rFonts w:ascii="Times New Roman" w:eastAsia="Times New Roman" w:hAnsi="Times New Roman" w:cs="Times New Roman"/>
        </w:rPr>
        <w:t xml:space="preserve">an raw financial wealth (SDG 8) resulting </w:t>
      </w:r>
      <w:r w:rsidRPr="006B638C">
        <w:rPr>
          <w:rFonts w:ascii="Times New Roman" w:eastAsia="Times New Roman" w:hAnsi="Times New Roman" w:cs="Times New Roman"/>
          <w:bCs/>
        </w:rPr>
        <w:t>industrial specialization an</w:t>
      </w:r>
      <w:r>
        <w:rPr>
          <w:rFonts w:ascii="Times New Roman" w:eastAsia="Times New Roman" w:hAnsi="Times New Roman" w:cs="Times New Roman"/>
          <w:bCs/>
        </w:rPr>
        <w:t>choring</w:t>
      </w:r>
      <w:r w:rsidRPr="006B638C">
        <w:rPr>
          <w:rFonts w:ascii="Times New Roman" w:eastAsia="Times New Roman" w:hAnsi="Times New Roman" w:cs="Times New Roman"/>
          <w:bCs/>
        </w:rPr>
        <w:t xml:space="preserve"> the market</w:t>
      </w:r>
      <w:r>
        <w:rPr>
          <w:rFonts w:ascii="Times New Roman" w:eastAsia="Times New Roman" w:hAnsi="Times New Roman" w:cs="Times New Roman"/>
        </w:rPr>
        <w:t xml:space="preserve">. </w:t>
      </w:r>
      <w:r w:rsidR="00FC740B" w:rsidRPr="00F00CA0">
        <w:rPr>
          <w:rFonts w:ascii="Times New Roman" w:eastAsia="Times New Roman" w:hAnsi="Times New Roman" w:cs="Times New Roman"/>
        </w:rPr>
        <w:t>Expanding domestic renewable energy capacity (SDG 7) functions as a mechanism for reducing reliance on carbon-intensive import and export markets.</w:t>
      </w:r>
      <w:r>
        <w:rPr>
          <w:rFonts w:ascii="Times New Roman" w:eastAsia="Times New Roman" w:hAnsi="Times New Roman" w:cs="Times New Roman"/>
        </w:rPr>
        <w:t xml:space="preserve"> </w:t>
      </w:r>
      <w:r w:rsidR="00FC740B" w:rsidRPr="00F00CA0">
        <w:rPr>
          <w:rFonts w:ascii="Times New Roman" w:eastAsia="Times New Roman" w:hAnsi="Times New Roman" w:cs="Times New Roman"/>
        </w:rPr>
        <w:t>While crisis conditions (such as the 2020 pandemic) trigger defensive, homophilous trading among environmentally similar nations, the long-term structural baseline of the global carbon trade network consistently reverts to asymmetric, complementary industrial corridors.</w:t>
      </w:r>
    </w:p>
    <w:p w:rsidR="008939A8" w:rsidRDefault="00775044" w:rsidP="008939A8">
      <w:pPr>
        <w:spacing w:before="100" w:beforeAutospacing="1" w:after="100" w:afterAutospacing="1"/>
        <w:jc w:val="both"/>
        <w:rPr>
          <w:rFonts w:ascii="Times New Roman" w:eastAsia="Times New Roman" w:hAnsi="Times New Roman" w:cs="Times New Roman"/>
        </w:rPr>
      </w:pPr>
      <w:r w:rsidRPr="00775044">
        <w:rPr>
          <w:rFonts w:ascii="Times New Roman" w:eastAsia="Times New Roman" w:hAnsi="Times New Roman" w:cs="Times New Roman"/>
          <w:b/>
        </w:rPr>
        <w:t xml:space="preserve">4.3 </w:t>
      </w:r>
      <w:r w:rsidRPr="00775044">
        <w:rPr>
          <w:rFonts w:ascii="Times New Roman" w:eastAsia="Times New Roman" w:hAnsi="Times New Roman" w:cs="Times New Roman"/>
          <w:b/>
          <w:color w:val="1F1F1F"/>
        </w:rPr>
        <w:t>Stochastic Block Modeling (SBM</w:t>
      </w:r>
      <w:r w:rsidR="008939A8">
        <w:rPr>
          <w:rFonts w:ascii="Times New Roman" w:eastAsia="Times New Roman" w:hAnsi="Times New Roman" w:cs="Times New Roman"/>
          <w:color w:val="1F1F1F"/>
        </w:rPr>
        <w:t>):</w:t>
      </w:r>
      <w:r w:rsidR="008939A8">
        <w:rPr>
          <w:rFonts w:ascii="Times New Roman" w:eastAsia="Times New Roman" w:hAnsi="Times New Roman" w:cs="Times New Roman"/>
        </w:rPr>
        <w:t xml:space="preserve"> </w:t>
      </w:r>
    </w:p>
    <w:p w:rsidR="008939A8" w:rsidRPr="008939A8" w:rsidRDefault="008939A8" w:rsidP="008939A8">
      <w:pPr>
        <w:spacing w:before="100" w:beforeAutospacing="1" w:after="100" w:afterAutospacing="1"/>
        <w:jc w:val="both"/>
        <w:rPr>
          <w:rFonts w:ascii="Times New Roman" w:eastAsia="Times New Roman" w:hAnsi="Times New Roman" w:cs="Times New Roman"/>
        </w:rPr>
      </w:pPr>
      <w:r w:rsidRPr="008939A8">
        <w:rPr>
          <w:rFonts w:ascii="Times New Roman" w:hAnsi="Times New Roman" w:cs="Times New Roman"/>
        </w:rPr>
        <w:t xml:space="preserve">To analyze the trade network and group countries by their structural traits, we used a stochastic block model for each year. Because the results across all </w:t>
      </w:r>
      <w:r>
        <w:rPr>
          <w:rFonts w:ascii="Times New Roman" w:hAnsi="Times New Roman" w:cs="Times New Roman"/>
        </w:rPr>
        <w:t xml:space="preserve">four periods were nearly identical </w:t>
      </w:r>
      <w:r w:rsidRPr="008939A8">
        <w:rPr>
          <w:rFonts w:ascii="Times New Roman" w:hAnsi="Times New Roman" w:cs="Times New Roman"/>
        </w:rPr>
        <w:t>both in the number of ideal clusters and how</w:t>
      </w:r>
      <w:r>
        <w:rPr>
          <w:rFonts w:ascii="Times New Roman" w:hAnsi="Times New Roman" w:cs="Times New Roman"/>
        </w:rPr>
        <w:t xml:space="preserve"> the countries grouped together </w:t>
      </w:r>
      <w:r w:rsidRPr="008939A8">
        <w:rPr>
          <w:rFonts w:ascii="Times New Roman" w:hAnsi="Times New Roman" w:cs="Times New Roman"/>
        </w:rPr>
        <w:t>we only display the data for</w:t>
      </w:r>
      <w:r>
        <w:rPr>
          <w:rFonts w:ascii="Times New Roman" w:hAnsi="Times New Roman" w:cs="Times New Roman"/>
        </w:rPr>
        <w:t xml:space="preserve"> 2019 and 2022. The insights from 2019 the beginning and 2022 the end applies</w:t>
      </w:r>
      <w:r w:rsidRPr="008939A8">
        <w:rPr>
          <w:rFonts w:ascii="Times New Roman" w:hAnsi="Times New Roman" w:cs="Times New Roman"/>
        </w:rPr>
        <w:t xml:space="preserve"> equally to the other years, indicating that the core structure of global trade remained steady and did not change significantly during or after the pandemic.</w:t>
      </w:r>
    </w:p>
    <w:p w:rsidR="00286DFF" w:rsidRDefault="001F5EB1" w:rsidP="00286DFF">
      <w:pPr>
        <w:spacing w:after="0"/>
        <w:ind w:right="-421"/>
        <w:jc w:val="center"/>
        <w:rPr>
          <w:rFonts w:ascii="Times New Roman" w:eastAsia="Times New Roman" w:hAnsi="Times New Roman" w:cs="Times New Roman"/>
          <w:sz w:val="20"/>
          <w:szCs w:val="20"/>
        </w:rPr>
      </w:pPr>
      <w:r>
        <w:rPr>
          <w:rFonts w:ascii="Times New Roman" w:eastAsia="Times New Roman" w:hAnsi="Times New Roman" w:cs="Times New Roman"/>
          <w:noProof/>
          <w:color w:val="1F1F1F"/>
        </w:rPr>
        <w:lastRenderedPageBreak/>
        <w:drawing>
          <wp:anchor distT="0" distB="0" distL="114300" distR="114300" simplePos="0" relativeHeight="251661312" behindDoc="0" locked="0" layoutInCell="1" allowOverlap="1">
            <wp:simplePos x="0" y="0"/>
            <wp:positionH relativeFrom="margin">
              <wp:align>center</wp:align>
            </wp:positionH>
            <wp:positionV relativeFrom="paragraph">
              <wp:posOffset>-83820</wp:posOffset>
            </wp:positionV>
            <wp:extent cx="2442210" cy="2430780"/>
            <wp:effectExtent l="19050" t="0" r="0" b="0"/>
            <wp:wrapTopAndBottom/>
            <wp:docPr id="10" name="Picture 9" descr="icl2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l2022.jpeg"/>
                    <pic:cNvPicPr/>
                  </pic:nvPicPr>
                  <pic:blipFill>
                    <a:blip r:embed="rId207" cstate="print"/>
                    <a:stretch>
                      <a:fillRect/>
                    </a:stretch>
                  </pic:blipFill>
                  <pic:spPr>
                    <a:xfrm>
                      <a:off x="0" y="0"/>
                      <a:ext cx="2442210" cy="2430780"/>
                    </a:xfrm>
                    <a:prstGeom prst="rect">
                      <a:avLst/>
                    </a:prstGeom>
                  </pic:spPr>
                </pic:pic>
              </a:graphicData>
            </a:graphic>
          </wp:anchor>
        </w:drawing>
      </w:r>
      <w:r w:rsidRPr="006D128A">
        <w:rPr>
          <w:rFonts w:ascii="Times New Roman" w:eastAsia="Times New Roman" w:hAnsi="Times New Roman" w:cs="Times New Roman"/>
          <w:sz w:val="20"/>
          <w:szCs w:val="20"/>
        </w:rPr>
        <w:t xml:space="preserve">Source: </w:t>
      </w:r>
      <w:r w:rsidRPr="006D128A">
        <w:rPr>
          <w:rFonts w:ascii="Times New Roman" w:hAnsi="Times New Roman" w:cs="Times New Roman"/>
          <w:i/>
          <w:sz w:val="20"/>
          <w:szCs w:val="20"/>
        </w:rPr>
        <w:t>Prepared by the author based on WITS repository data and R</w:t>
      </w:r>
    </w:p>
    <w:p w:rsidR="006B638C" w:rsidRPr="00286DFF" w:rsidRDefault="001F5EB1" w:rsidP="00286DFF">
      <w:pPr>
        <w:spacing w:after="0"/>
        <w:ind w:right="-421"/>
        <w:jc w:val="center"/>
        <w:rPr>
          <w:rFonts w:ascii="Times New Roman" w:eastAsia="Times New Roman" w:hAnsi="Times New Roman" w:cs="Times New Roman"/>
          <w:sz w:val="20"/>
          <w:szCs w:val="20"/>
        </w:rPr>
      </w:pPr>
      <w:r w:rsidRPr="008B5CF4">
        <w:rPr>
          <w:rFonts w:ascii="Times New Roman" w:hAnsi="Times New Roman" w:cs="Times New Roman"/>
          <w:b/>
        </w:rPr>
        <w:t xml:space="preserve">Figure </w:t>
      </w:r>
      <w:r>
        <w:rPr>
          <w:rFonts w:ascii="Times New Roman" w:hAnsi="Times New Roman" w:cs="Times New Roman"/>
          <w:b/>
        </w:rPr>
        <w:t>4</w:t>
      </w:r>
      <w:r w:rsidRPr="008B5CF4">
        <w:rPr>
          <w:rFonts w:ascii="Times New Roman" w:hAnsi="Times New Roman" w:cs="Times New Roman"/>
        </w:rPr>
        <w:t>:</w:t>
      </w:r>
      <w:r>
        <w:rPr>
          <w:rFonts w:ascii="Times New Roman" w:hAnsi="Times New Roman" w:cs="Times New Roman"/>
        </w:rPr>
        <w:t xml:space="preserve"> ICL Calculation for each </w:t>
      </w:r>
      <w:proofErr w:type="gramStart"/>
      <w:r>
        <w:rPr>
          <w:rFonts w:ascii="Times New Roman" w:hAnsi="Times New Roman" w:cs="Times New Roman"/>
        </w:rPr>
        <w:t>classes</w:t>
      </w:r>
      <w:proofErr w:type="gramEnd"/>
      <w:r>
        <w:rPr>
          <w:rFonts w:ascii="Times New Roman" w:hAnsi="Times New Roman" w:cs="Times New Roman"/>
        </w:rPr>
        <w:t xml:space="preserve"> for 2019 &amp; 2022</w:t>
      </w:r>
      <w:r w:rsidRPr="008B5CF4">
        <w:rPr>
          <w:rFonts w:ascii="Times New Roman" w:hAnsi="Times New Roman" w:cs="Times New Roman"/>
        </w:rPr>
        <w:t>.</w:t>
      </w:r>
    </w:p>
    <w:p w:rsidR="00EB589F" w:rsidRPr="00F00CA0" w:rsidRDefault="00286DFF" w:rsidP="00286DFF">
      <w:pPr>
        <w:spacing w:before="100" w:beforeAutospacing="1" w:after="0"/>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The 2022 optimization trajectory exhibits a profile identical to 2019</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ICL curve ascends sharply from </w:t>
      </w:r>
      <w:r w:rsidR="006B638C" w:rsidRPr="006B638C">
        <w:rPr>
          <w:position w:val="-10"/>
        </w:rPr>
        <w:object w:dxaOrig="560" w:dyaOrig="320">
          <v:shape id="_x0000_i1123" type="#_x0000_t75" style="width:27.75pt;height:15.75pt" o:ole="">
            <v:imagedata r:id="rId208" o:title=""/>
          </v:shape>
          <o:OLEObject Type="Embed" ProgID="Equation.DSMT4" ShapeID="_x0000_i1123" DrawAspect="Content" ObjectID="_1846526925" r:id="rId209"/>
        </w:object>
      </w:r>
      <w:r w:rsidR="00EB589F" w:rsidRPr="00F00CA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through</w:t>
      </w:r>
      <w:r w:rsidR="006B638C" w:rsidRPr="006B638C">
        <w:rPr>
          <w:position w:val="-10"/>
        </w:rPr>
        <w:object w:dxaOrig="600" w:dyaOrig="320">
          <v:shape id="_x0000_i1124" type="#_x0000_t75" style="width:30pt;height:15.75pt" o:ole="">
            <v:imagedata r:id="rId210" o:title=""/>
          </v:shape>
          <o:OLEObject Type="Embed" ProgID="Equation.DSMT4" ShapeID="_x0000_i1124" DrawAspect="Content" ObjectID="_1846526926" r:id="rId211"/>
        </w:object>
      </w:r>
      <w:r w:rsidR="00EB589F" w:rsidRPr="00F00CA0">
        <w:rPr>
          <w:rFonts w:ascii="Times New Roman" w:eastAsia="Times New Roman" w:hAnsi="Times New Roman" w:cs="Times New Roman"/>
          <w:color w:val="1F1F1F"/>
        </w:rPr>
        <w:t>, reflecting substantial explanatory gains as the network is partitioned into distinct functional roles.</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global maximum of the ICL metric is achieved at </w:t>
      </w:r>
      <w:r w:rsidR="006B638C" w:rsidRPr="006B638C">
        <w:rPr>
          <w:position w:val="-10"/>
        </w:rPr>
        <w:object w:dxaOrig="600" w:dyaOrig="320">
          <v:shape id="_x0000_i1125" type="#_x0000_t75" style="width:30pt;height:15.75pt" o:ole="">
            <v:imagedata r:id="rId212" o:title=""/>
          </v:shape>
          <o:OLEObject Type="Embed" ProgID="Equation.DSMT4" ShapeID="_x0000_i1125" DrawAspect="Content" ObjectID="_1846526927" r:id="rId213"/>
        </w:object>
      </w:r>
      <w:r w:rsidR="00EB589F" w:rsidRPr="00F00CA0">
        <w:rPr>
          <w:rFonts w:ascii="Times New Roman" w:eastAsia="Times New Roman" w:hAnsi="Times New Roman" w:cs="Times New Roman"/>
          <w:color w:val="1F1F1F"/>
        </w:rPr>
        <w:t xml:space="preserve"> (marked by the vertical dashed line).Beyond </w:t>
      </w:r>
      <w:r w:rsidR="006B638C" w:rsidRPr="006B638C">
        <w:rPr>
          <w:position w:val="-10"/>
        </w:rPr>
        <w:object w:dxaOrig="600" w:dyaOrig="320">
          <v:shape id="_x0000_i1126" type="#_x0000_t75" style="width:30pt;height:15.75pt" o:ole="">
            <v:imagedata r:id="rId214" o:title=""/>
          </v:shape>
          <o:OLEObject Type="Embed" ProgID="Equation.DSMT4" ShapeID="_x0000_i1126" DrawAspect="Content" ObjectID="_1846526928" r:id="rId215"/>
        </w:object>
      </w:r>
      <w:r w:rsidR="00EB589F" w:rsidRPr="00F00CA0">
        <w:rPr>
          <w:rFonts w:ascii="Times New Roman" w:eastAsia="Times New Roman" w:hAnsi="Times New Roman" w:cs="Times New Roman"/>
          <w:color w:val="1F1F1F"/>
        </w:rPr>
        <w:t>, adding more classes causes the ICL score to plateau and decline due to entropy penalization, confirming that four latent community blocks optimally summarize the baseline global carbon trade architecture.</w:t>
      </w:r>
      <w:r>
        <w:rPr>
          <w:rFonts w:ascii="Times New Roman" w:eastAsia="Times New Roman" w:hAnsi="Times New Roman" w:cs="Times New Roman"/>
          <w:color w:val="1F1F1F"/>
        </w:rPr>
        <w:t xml:space="preserve"> </w:t>
      </w:r>
      <w:r w:rsidR="00EB589F" w:rsidRPr="00F00CA0">
        <w:rPr>
          <w:rFonts w:ascii="Times New Roman" w:eastAsia="Times New Roman" w:hAnsi="Times New Roman" w:cs="Times New Roman"/>
          <w:color w:val="1F1F1F"/>
        </w:rPr>
        <w:t xml:space="preserve">The preservation of </w:t>
      </w:r>
      <w:r w:rsidRPr="00286DFF">
        <w:rPr>
          <w:position w:val="-10"/>
        </w:rPr>
        <w:object w:dxaOrig="580" w:dyaOrig="300">
          <v:shape id="_x0000_i1127" type="#_x0000_t75" style="width:28.5pt;height:15pt" o:ole="">
            <v:imagedata r:id="rId216" o:title=""/>
          </v:shape>
          <o:OLEObject Type="Embed" ProgID="Equation.DSMT4" ShapeID="_x0000_i1127" DrawAspect="Content" ObjectID="_1846526929" r:id="rId217"/>
        </w:object>
      </w:r>
      <w:r w:rsidR="00EB589F" w:rsidRPr="00F00CA0">
        <w:rPr>
          <w:rFonts w:ascii="Times New Roman" w:eastAsia="Times New Roman" w:hAnsi="Times New Roman" w:cs="Times New Roman"/>
          <w:color w:val="1F1F1F"/>
        </w:rPr>
        <w:t xml:space="preserve"> across both the 2019 pre-crisis baseline and the 2022 post-pandemic period demonstrates that despite exogenous supply chain shocks and shifts in transaction volumes, the macro-architectural division of the global carbon market </w:t>
      </w:r>
      <w:r w:rsidR="00EB589F" w:rsidRPr="00286DFF">
        <w:rPr>
          <w:rFonts w:ascii="Times New Roman" w:eastAsia="Times New Roman" w:hAnsi="Times New Roman" w:cs="Times New Roman"/>
          <w:color w:val="1F1F1F"/>
        </w:rPr>
        <w:t xml:space="preserve">into </w:t>
      </w:r>
      <w:r w:rsidR="00EB589F" w:rsidRPr="00286DFF">
        <w:rPr>
          <w:rFonts w:ascii="Times New Roman" w:eastAsia="Times New Roman" w:hAnsi="Times New Roman" w:cs="Times New Roman"/>
          <w:bCs/>
          <w:color w:val="1F1F1F"/>
          <w:bdr w:val="none" w:sz="0" w:space="0" w:color="auto" w:frame="1"/>
        </w:rPr>
        <w:t>four functional tiers</w:t>
      </w:r>
      <w:r w:rsidR="00EB589F" w:rsidRPr="00F00CA0">
        <w:rPr>
          <w:rFonts w:ascii="Times New Roman" w:eastAsia="Times New Roman" w:hAnsi="Times New Roman" w:cs="Times New Roman"/>
          <w:color w:val="1F1F1F"/>
        </w:rPr>
        <w:t xml:space="preserve"> remained structurally stable.</w:t>
      </w:r>
    </w:p>
    <w:p w:rsidR="00EB589F" w:rsidRPr="00F00CA0" w:rsidRDefault="00EB589F" w:rsidP="001F5EB1">
      <w:pPr>
        <w:spacing w:before="100" w:beforeAutospacing="1" w:after="0"/>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To uncover the latent structural segmentation of the international carbon trade network, Bernoulli Stochastic Block Models (SBMs) were fitted across the temporal snapshots. Model selection was guided by the Integrated Classification Likelihood (ICL) criterion to balance parameter parsimony with classification accuracy.</w:t>
      </w:r>
      <w:r w:rsidR="00286DFF">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As</w:t>
      </w:r>
      <w:r w:rsidR="001F5EB1">
        <w:rPr>
          <w:rFonts w:ascii="Times New Roman" w:eastAsia="Times New Roman" w:hAnsi="Times New Roman" w:cs="Times New Roman"/>
          <w:color w:val="1F1F1F"/>
        </w:rPr>
        <w:t xml:space="preserve"> illustrated in Figure 4</w:t>
      </w:r>
      <w:r w:rsidRPr="00F00CA0">
        <w:rPr>
          <w:rFonts w:ascii="Times New Roman" w:eastAsia="Times New Roman" w:hAnsi="Times New Roman" w:cs="Times New Roman"/>
          <w:color w:val="1F1F1F"/>
        </w:rPr>
        <w:t>, the ICL curves for both the 2019 baseline and the 2022 post-crisis network exhibit steep initial increases, reaching a</w:t>
      </w:r>
      <w:r w:rsidR="00341151">
        <w:rPr>
          <w:rFonts w:ascii="Times New Roman" w:eastAsia="Times New Roman" w:hAnsi="Times New Roman" w:cs="Times New Roman"/>
          <w:color w:val="1F1F1F"/>
        </w:rPr>
        <w:t xml:space="preserve"> distinct global maximum at Q = 4</w:t>
      </w:r>
      <w:r w:rsidRPr="00F00CA0">
        <w:rPr>
          <w:rFonts w:ascii="Times New Roman" w:eastAsia="Times New Roman" w:hAnsi="Times New Roman" w:cs="Times New Roman"/>
          <w:color w:val="1F1F1F"/>
        </w:rPr>
        <w:t xml:space="preserve"> classes before penalization causes the score to decline. This mathematical convergence confirms that a four-class model optimally captures the underlying functional hierarchy of global carbon commerce. Cruci</w:t>
      </w:r>
      <w:r w:rsidR="008939A8">
        <w:rPr>
          <w:rFonts w:ascii="Times New Roman" w:eastAsia="Times New Roman" w:hAnsi="Times New Roman" w:cs="Times New Roman"/>
          <w:color w:val="1F1F1F"/>
        </w:rPr>
        <w:t>ally, the stability of Q = 4</w:t>
      </w:r>
      <w:r w:rsidRPr="00F00CA0">
        <w:rPr>
          <w:rFonts w:ascii="Times New Roman" w:eastAsia="Times New Roman" w:hAnsi="Times New Roman" w:cs="Times New Roman"/>
          <w:color w:val="1F1F1F"/>
        </w:rPr>
        <w:t xml:space="preserve"> across both 2019 and 2022 indicates that while individual trade volumes experienced volatility over the timeline, the global carbon trade network maintained a consistent </w:t>
      </w:r>
      <w:r w:rsidR="001F5EB1">
        <w:rPr>
          <w:rFonts w:ascii="Times New Roman" w:eastAsia="Times New Roman" w:hAnsi="Times New Roman" w:cs="Times New Roman"/>
          <w:color w:val="1F1F1F"/>
        </w:rPr>
        <w:t>four-tiered macro-architecture.</w:t>
      </w:r>
    </w:p>
    <w:p w:rsidR="00EB589F" w:rsidRPr="00F00CA0" w:rsidRDefault="00EB589F" w:rsidP="00C70D53">
      <w:pPr>
        <w:spacing w:before="100" w:beforeAutospacing="1" w:after="0"/>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rPr>
        <w:t>Next Step: Inter-Class Probability Matrix (</w:t>
      </w:r>
      <w:r w:rsidR="00775044" w:rsidRPr="00025957">
        <w:rPr>
          <w:position w:val="-4"/>
        </w:rPr>
        <w:object w:dxaOrig="260" w:dyaOrig="240">
          <v:shape id="_x0000_i1128" type="#_x0000_t75" style="width:13.5pt;height:12pt" o:ole="">
            <v:imagedata r:id="rId218" o:title=""/>
          </v:shape>
          <o:OLEObject Type="Embed" ProgID="Equation.DSMT4" ShapeID="_x0000_i1128" DrawAspect="Content" ObjectID="_1846526930" r:id="rId219"/>
        </w:object>
      </w:r>
      <w:r w:rsidRPr="00F00CA0">
        <w:rPr>
          <w:rFonts w:ascii="Times New Roman" w:eastAsia="Times New Roman" w:hAnsi="Times New Roman" w:cs="Times New Roman"/>
          <w:b/>
          <w:bCs/>
          <w:color w:val="1F1F1F"/>
        </w:rPr>
        <w:t>) &amp; Visualizations</w:t>
      </w:r>
    </w:p>
    <w:p w:rsidR="00EB589F" w:rsidRPr="0096557E" w:rsidRDefault="00EB589F" w:rsidP="0096557E">
      <w:pPr>
        <w:spacing w:before="100" w:beforeAutospacing="1" w:after="0"/>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To complete the SBM analysis, please share any of the following items you have ready for </w:t>
      </w:r>
      <w:r w:rsidRPr="0096557E">
        <w:rPr>
          <w:rFonts w:ascii="Times New Roman" w:eastAsia="Times New Roman" w:hAnsi="Times New Roman" w:cs="Times New Roman"/>
          <w:bCs/>
          <w:color w:val="1F1F1F"/>
          <w:bdr w:val="none" w:sz="0" w:space="0" w:color="auto" w:frame="1"/>
        </w:rPr>
        <w:t>2019</w:t>
      </w:r>
      <w:r w:rsidRPr="0096557E">
        <w:rPr>
          <w:rFonts w:ascii="Times New Roman" w:eastAsia="Times New Roman" w:hAnsi="Times New Roman" w:cs="Times New Roman"/>
          <w:color w:val="1F1F1F"/>
        </w:rPr>
        <w:t xml:space="preserve"> and </w:t>
      </w:r>
      <w:r w:rsidRPr="0096557E">
        <w:rPr>
          <w:rFonts w:ascii="Times New Roman" w:eastAsia="Times New Roman" w:hAnsi="Times New Roman" w:cs="Times New Roman"/>
          <w:bCs/>
          <w:color w:val="1F1F1F"/>
          <w:bdr w:val="none" w:sz="0" w:space="0" w:color="auto" w:frame="1"/>
        </w:rPr>
        <w:t>2022</w:t>
      </w:r>
      <w:r w:rsidR="0096557E" w:rsidRPr="0096557E">
        <w:rPr>
          <w:rFonts w:ascii="Times New Roman" w:eastAsia="Times New Roman" w:hAnsi="Times New Roman" w:cs="Times New Roman"/>
          <w:color w:val="1F1F1F"/>
        </w:rPr>
        <w:t>.</w:t>
      </w:r>
      <w:r w:rsidRPr="0096557E">
        <w:rPr>
          <w:rFonts w:ascii="Times New Roman" w:eastAsia="Times New Roman" w:hAnsi="Times New Roman" w:cs="Times New Roman"/>
          <w:color w:val="1F1F1F"/>
        </w:rPr>
        <w:t xml:space="preserve"> The </w:t>
      </w:r>
      <w:r w:rsidR="00775044" w:rsidRPr="0096557E">
        <w:rPr>
          <w:position w:val="-4"/>
        </w:rPr>
        <w:object w:dxaOrig="499" w:dyaOrig="260">
          <v:shape id="_x0000_i1129" type="#_x0000_t75" style="width:25.5pt;height:13.5pt" o:ole="">
            <v:imagedata r:id="rId220" o:title=""/>
          </v:shape>
          <o:OLEObject Type="Embed" ProgID="Equation.DSMT4" ShapeID="_x0000_i1129" DrawAspect="Content" ObjectID="_1846526931" r:id="rId221"/>
        </w:object>
      </w:r>
      <w:r w:rsidRPr="0096557E">
        <w:rPr>
          <w:rFonts w:ascii="Times New Roman" w:eastAsia="Times New Roman" w:hAnsi="Times New Roman" w:cs="Times New Roman"/>
          <w:color w:val="1F1F1F"/>
        </w:rPr>
        <w:t xml:space="preserve"> numeric table </w:t>
      </w:r>
      <w:r w:rsidR="0096557E">
        <w:rPr>
          <w:rFonts w:ascii="Times New Roman" w:eastAsia="Times New Roman" w:hAnsi="Times New Roman" w:cs="Times New Roman"/>
          <w:color w:val="1F1F1F"/>
        </w:rPr>
        <w:t>shows</w:t>
      </w:r>
      <w:r w:rsidRPr="0096557E">
        <w:rPr>
          <w:rFonts w:ascii="Times New Roman" w:eastAsia="Times New Roman" w:hAnsi="Times New Roman" w:cs="Times New Roman"/>
          <w:color w:val="1F1F1F"/>
        </w:rPr>
        <w:t xml:space="preserve"> link probabilities between Class 1, Class</w:t>
      </w:r>
      <w:r w:rsidRPr="00F00CA0">
        <w:rPr>
          <w:rFonts w:ascii="Times New Roman" w:eastAsia="Times New Roman" w:hAnsi="Times New Roman" w:cs="Times New Roman"/>
          <w:color w:val="1F1F1F"/>
        </w:rPr>
        <w:t xml:space="preserve"> 2, Class 3, and Class 4.</w:t>
      </w:r>
      <w:r w:rsidR="0096557E">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 xml:space="preserve">The blue-and-white grid images organized by class </w:t>
      </w:r>
      <w:proofErr w:type="spellStart"/>
      <w:r w:rsidRPr="00F00CA0">
        <w:rPr>
          <w:rFonts w:ascii="Times New Roman" w:eastAsia="Times New Roman" w:hAnsi="Times New Roman" w:cs="Times New Roman"/>
          <w:color w:val="1F1F1F"/>
        </w:rPr>
        <w:t>boundaries.Class</w:t>
      </w:r>
      <w:proofErr w:type="spellEnd"/>
      <w:r w:rsidRPr="00F00CA0">
        <w:rPr>
          <w:rFonts w:ascii="Times New Roman" w:eastAsia="Times New Roman" w:hAnsi="Times New Roman" w:cs="Times New Roman"/>
          <w:color w:val="1F1F1F"/>
        </w:rPr>
        <w:t xml:space="preserve"> sizes (</w:t>
      </w:r>
      <w:r w:rsidR="00775044" w:rsidRPr="00775044">
        <w:rPr>
          <w:position w:val="-14"/>
        </w:rPr>
        <w:object w:dxaOrig="260" w:dyaOrig="380">
          <v:shape id="_x0000_i1130" type="#_x0000_t75" style="width:13.5pt;height:19.5pt" o:ole="">
            <v:imagedata r:id="rId222" o:title=""/>
          </v:shape>
          <o:OLEObject Type="Embed" ProgID="Equation.DSMT4" ShapeID="_x0000_i1130" DrawAspect="Content" ObjectID="_1846526932" r:id="rId223"/>
        </w:object>
      </w:r>
      <w:r w:rsidRPr="00F00CA0">
        <w:rPr>
          <w:rFonts w:ascii="Times New Roman" w:eastAsia="Times New Roman" w:hAnsi="Times New Roman" w:cs="Times New Roman"/>
          <w:color w:val="1F1F1F"/>
        </w:rPr>
        <w:t>)</w:t>
      </w:r>
      <w:r w:rsidR="0096557E">
        <w:rPr>
          <w:rFonts w:ascii="Times New Roman" w:eastAsia="Times New Roman" w:hAnsi="Times New Roman" w:cs="Times New Roman"/>
          <w:color w:val="1F1F1F"/>
        </w:rPr>
        <w:t xml:space="preserve"> represents</w:t>
      </w:r>
      <w:r w:rsidRPr="00F00CA0">
        <w:rPr>
          <w:rFonts w:ascii="Times New Roman" w:eastAsia="Times New Roman" w:hAnsi="Times New Roman" w:cs="Times New Roman"/>
          <w:color w:val="1F1F1F"/>
        </w:rPr>
        <w:t xml:space="preserve"> nations per block.</w:t>
      </w:r>
    </w:p>
    <w:p w:rsidR="0096557E" w:rsidRDefault="0096557E" w:rsidP="0096557E">
      <w:pPr>
        <w:spacing w:after="0"/>
        <w:ind w:right="-421"/>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anchor distT="0" distB="0" distL="114300" distR="114300" simplePos="0" relativeHeight="251664384" behindDoc="0" locked="0" layoutInCell="1" allowOverlap="1">
            <wp:simplePos x="0" y="0"/>
            <wp:positionH relativeFrom="column">
              <wp:posOffset>3112770</wp:posOffset>
            </wp:positionH>
            <wp:positionV relativeFrom="paragraph">
              <wp:posOffset>-22860</wp:posOffset>
            </wp:positionV>
            <wp:extent cx="2122170" cy="1691640"/>
            <wp:effectExtent l="19050" t="0" r="0" b="0"/>
            <wp:wrapTopAndBottom/>
            <wp:docPr id="5" name="Picture 4" descr="04-2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022.jpeg"/>
                    <pic:cNvPicPr/>
                  </pic:nvPicPr>
                  <pic:blipFill>
                    <a:blip r:embed="rId224" cstate="print"/>
                    <a:srcRect l="13009" t="13826" r="7310" b="16399"/>
                    <a:stretch>
                      <a:fillRect/>
                    </a:stretch>
                  </pic:blipFill>
                  <pic:spPr>
                    <a:xfrm>
                      <a:off x="0" y="0"/>
                      <a:ext cx="2122170" cy="1691640"/>
                    </a:xfrm>
                    <a:prstGeom prst="rect">
                      <a:avLst/>
                    </a:prstGeom>
                  </pic:spPr>
                </pic:pic>
              </a:graphicData>
            </a:graphic>
          </wp:anchor>
        </w:drawing>
      </w:r>
      <w:r>
        <w:rPr>
          <w:rFonts w:ascii="Times New Roman" w:eastAsia="Times New Roman" w:hAnsi="Times New Roman" w:cs="Times New Roman"/>
          <w:noProof/>
          <w:sz w:val="20"/>
          <w:szCs w:val="20"/>
        </w:rPr>
        <w:drawing>
          <wp:anchor distT="0" distB="0" distL="114300" distR="114300" simplePos="0" relativeHeight="251663360" behindDoc="0" locked="0" layoutInCell="1" allowOverlap="1">
            <wp:simplePos x="0" y="0"/>
            <wp:positionH relativeFrom="column">
              <wp:posOffset>956310</wp:posOffset>
            </wp:positionH>
            <wp:positionV relativeFrom="paragraph">
              <wp:posOffset>-22860</wp:posOffset>
            </wp:positionV>
            <wp:extent cx="2152650" cy="1691640"/>
            <wp:effectExtent l="19050" t="0" r="0" b="0"/>
            <wp:wrapTopAndBottom/>
            <wp:docPr id="4" name="Picture 3" descr="2019-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4.jpeg"/>
                    <pic:cNvPicPr/>
                  </pic:nvPicPr>
                  <pic:blipFill>
                    <a:blip r:embed="rId225" cstate="print"/>
                    <a:srcRect l="12484" t="13598" r="6554" b="16147"/>
                    <a:stretch>
                      <a:fillRect/>
                    </a:stretch>
                  </pic:blipFill>
                  <pic:spPr>
                    <a:xfrm>
                      <a:off x="0" y="0"/>
                      <a:ext cx="2152650" cy="1691640"/>
                    </a:xfrm>
                    <a:prstGeom prst="rect">
                      <a:avLst/>
                    </a:prstGeom>
                  </pic:spPr>
                </pic:pic>
              </a:graphicData>
            </a:graphic>
          </wp:anchor>
        </w:drawing>
      </w:r>
      <w:r w:rsidRPr="006D128A">
        <w:rPr>
          <w:rFonts w:ascii="Times New Roman" w:eastAsia="Times New Roman" w:hAnsi="Times New Roman" w:cs="Times New Roman"/>
          <w:sz w:val="20"/>
          <w:szCs w:val="20"/>
        </w:rPr>
        <w:t xml:space="preserve">Source: </w:t>
      </w:r>
      <w:r w:rsidRPr="006D128A">
        <w:rPr>
          <w:rFonts w:ascii="Times New Roman" w:hAnsi="Times New Roman" w:cs="Times New Roman"/>
          <w:i/>
          <w:sz w:val="20"/>
          <w:szCs w:val="20"/>
        </w:rPr>
        <w:t>Prepared by the author based on WITS repository data and R</w:t>
      </w:r>
    </w:p>
    <w:p w:rsidR="0096557E" w:rsidRDefault="0096557E" w:rsidP="0096557E">
      <w:pPr>
        <w:spacing w:after="0"/>
        <w:ind w:right="-421"/>
        <w:jc w:val="center"/>
        <w:rPr>
          <w:rFonts w:ascii="Times New Roman" w:eastAsia="Times New Roman" w:hAnsi="Times New Roman" w:cs="Times New Roman"/>
          <w:sz w:val="20"/>
          <w:szCs w:val="20"/>
        </w:rPr>
      </w:pPr>
      <w:r w:rsidRPr="008B5CF4">
        <w:rPr>
          <w:rFonts w:ascii="Times New Roman" w:hAnsi="Times New Roman" w:cs="Times New Roman"/>
          <w:b/>
        </w:rPr>
        <w:t xml:space="preserve">Figure </w:t>
      </w:r>
      <w:r>
        <w:rPr>
          <w:rFonts w:ascii="Times New Roman" w:hAnsi="Times New Roman" w:cs="Times New Roman"/>
          <w:b/>
        </w:rPr>
        <w:t>4</w:t>
      </w:r>
      <w:r w:rsidRPr="008B5CF4">
        <w:rPr>
          <w:rFonts w:ascii="Times New Roman" w:hAnsi="Times New Roman" w:cs="Times New Roman"/>
        </w:rPr>
        <w:t>:</w:t>
      </w:r>
      <w:r>
        <w:rPr>
          <w:rFonts w:ascii="Times New Roman" w:hAnsi="Times New Roman" w:cs="Times New Roman"/>
        </w:rPr>
        <w:t xml:space="preserve"> Adjacency matrix organized by classes for 2019 &amp; 2022</w:t>
      </w:r>
      <w:r w:rsidRPr="008B5CF4">
        <w:rPr>
          <w:rFonts w:ascii="Times New Roman" w:hAnsi="Times New Roman" w:cs="Times New Roman"/>
        </w:rPr>
        <w:t>.</w:t>
      </w:r>
    </w:p>
    <w:p w:rsidR="001578D0" w:rsidRPr="00286DFF" w:rsidRDefault="001578D0" w:rsidP="0096557E">
      <w:pPr>
        <w:spacing w:after="0"/>
        <w:ind w:right="-421"/>
        <w:jc w:val="center"/>
        <w:rPr>
          <w:rFonts w:ascii="Times New Roman" w:eastAsia="Times New Roman" w:hAnsi="Times New Roman" w:cs="Times New Roman"/>
          <w:sz w:val="20"/>
          <w:szCs w:val="20"/>
        </w:rPr>
      </w:pPr>
    </w:p>
    <w:p w:rsidR="00EB589F" w:rsidRPr="00775044" w:rsidRDefault="001578D0" w:rsidP="00157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urier New" w:eastAsia="Times New Roman" w:hAnsi="Courier New" w:cs="Courier New"/>
          <w:color w:val="FF0000"/>
        </w:rPr>
      </w:pPr>
      <w:r w:rsidRPr="00F00CA0">
        <w:rPr>
          <w:rFonts w:ascii="Times New Roman" w:eastAsia="Times New Roman" w:hAnsi="Times New Roman" w:cs="Times New Roman"/>
          <w:color w:val="1F1F1F"/>
        </w:rPr>
        <w:t>To reveal the global architectural hierarchy of international carbon trade, the empirical adjacency matrices for 2019 and 2022 were reordered according to the optimal four-class Stochastic Block Model (</w:t>
      </w:r>
      <w:r w:rsidRPr="001578D0">
        <w:rPr>
          <w:position w:val="-10"/>
        </w:rPr>
        <w:object w:dxaOrig="580" w:dyaOrig="300">
          <v:shape id="_x0000_i1131" type="#_x0000_t75" style="width:28.5pt;height:15pt" o:ole="">
            <v:imagedata r:id="rId226" o:title=""/>
          </v:shape>
          <o:OLEObject Type="Embed" ProgID="Equation.DSMT4" ShapeID="_x0000_i1131" DrawAspect="Content" ObjectID="_1846526933" r:id="rId227"/>
        </w:object>
      </w:r>
      <w:r w:rsidRPr="00F00CA0">
        <w:rPr>
          <w:rFonts w:ascii="Times New Roman" w:eastAsia="Times New Roman" w:hAnsi="Times New Roman" w:cs="Times New Roman"/>
          <w:color w:val="1F1F1F"/>
        </w:rPr>
        <w:t>) part</w:t>
      </w:r>
      <w:r>
        <w:rPr>
          <w:rFonts w:ascii="Times New Roman" w:eastAsia="Times New Roman" w:hAnsi="Times New Roman" w:cs="Times New Roman"/>
          <w:color w:val="1F1F1F"/>
        </w:rPr>
        <w:t>itions. As depicted in Figures 4</w:t>
      </w:r>
      <w:r w:rsidRPr="00F00CA0">
        <w:rPr>
          <w:rFonts w:ascii="Times New Roman" w:eastAsia="Times New Roman" w:hAnsi="Times New Roman" w:cs="Times New Roman"/>
          <w:color w:val="1F1F1F"/>
        </w:rPr>
        <w:t>, the reordered matrix highlights a prominent core-periphery topology</w:t>
      </w:r>
      <w:r>
        <w:rPr>
          <w:rFonts w:ascii="Times New Roman" w:eastAsia="Times New Roman" w:hAnsi="Times New Roman" w:cs="Times New Roman"/>
          <w:color w:val="1F1F1F"/>
        </w:rPr>
        <w:t>.</w:t>
      </w:r>
      <w:r w:rsidR="00EB589F" w:rsidRPr="00775044">
        <w:rPr>
          <w:rFonts w:ascii="Courier New" w:eastAsia="Times New Roman" w:hAnsi="Courier New" w:cs="Courier New"/>
          <w:color w:val="FF0000"/>
        </w:rPr>
        <w:t xml:space="preserve"> </w:t>
      </w:r>
    </w:p>
    <w:p w:rsidR="00EB589F" w:rsidRPr="001578D0" w:rsidRDefault="00EB589F" w:rsidP="001578D0">
      <w:pPr>
        <w:spacing w:before="100" w:beforeAutospacing="1" w:after="0"/>
        <w:jc w:val="both"/>
        <w:outlineLvl w:val="2"/>
        <w:rPr>
          <w:rFonts w:ascii="Times New Roman" w:eastAsia="Times New Roman" w:hAnsi="Times New Roman" w:cs="Times New Roman"/>
          <w:b/>
          <w:bCs/>
          <w:color w:val="1F1F1F"/>
        </w:rPr>
      </w:pPr>
      <w:r w:rsidRPr="00F00CA0">
        <w:rPr>
          <w:rFonts w:ascii="Times New Roman" w:eastAsia="Times New Roman" w:hAnsi="Times New Roman" w:cs="Times New Roman"/>
          <w:b/>
          <w:bCs/>
          <w:color w:val="1F1F1F"/>
          <w:bdr w:val="none" w:sz="0" w:space="0" w:color="auto" w:frame="1"/>
        </w:rPr>
        <w:t>Class 4: The Systemic Core Hubs (Black / Dense Block)</w:t>
      </w:r>
      <w:r w:rsidR="001578D0">
        <w:rPr>
          <w:rFonts w:ascii="Times New Roman" w:eastAsia="Times New Roman" w:hAnsi="Times New Roman" w:cs="Times New Roman"/>
          <w:b/>
          <w:bCs/>
          <w:color w:val="1F1F1F"/>
        </w:rPr>
        <w:t xml:space="preserve"> </w:t>
      </w:r>
      <w:r w:rsidRPr="00F00CA0">
        <w:rPr>
          <w:rFonts w:ascii="Times New Roman" w:eastAsia="Times New Roman" w:hAnsi="Times New Roman" w:cs="Times New Roman"/>
          <w:color w:val="1F1F1F"/>
        </w:rPr>
        <w:t xml:space="preserve">Occupies the largest, most densely populated sub-block in both matrices. </w:t>
      </w:r>
      <w:proofErr w:type="gramStart"/>
      <w:r w:rsidRPr="00F00CA0">
        <w:rPr>
          <w:rFonts w:ascii="Times New Roman" w:eastAsia="Times New Roman" w:hAnsi="Times New Roman" w:cs="Times New Roman"/>
          <w:color w:val="1F1F1F"/>
        </w:rPr>
        <w:t>Intra-class connectivity (</w:t>
      </w:r>
      <w:r w:rsidR="0096557E" w:rsidRPr="0096557E">
        <w:rPr>
          <w:position w:val="-12"/>
        </w:rPr>
        <w:object w:dxaOrig="420" w:dyaOrig="360">
          <v:shape id="_x0000_i1132" type="#_x0000_t75" style="width:21pt;height:18pt" o:ole="">
            <v:imagedata r:id="rId228" o:title=""/>
          </v:shape>
          <o:OLEObject Type="Embed" ProgID="Equation.DSMT4" ShapeID="_x0000_i1132" DrawAspect="Content" ObjectID="_1846526934" r:id="rId229"/>
        </w:object>
      </w:r>
      <w:r w:rsidRPr="00F00CA0">
        <w:rPr>
          <w:rFonts w:ascii="Times New Roman" w:eastAsia="Times New Roman" w:hAnsi="Times New Roman" w:cs="Times New Roman"/>
          <w:color w:val="1F1F1F"/>
        </w:rPr>
        <w:t>) approaches maximum density.</w:t>
      </w:r>
      <w:proofErr w:type="gramEnd"/>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Class 4 contains major industrial economies (e.g., China, United States, Germany, Japan) characterized by massive industrial value added (</w:t>
      </w:r>
      <w:r w:rsidR="0096557E" w:rsidRPr="0096557E">
        <w:rPr>
          <w:position w:val="-6"/>
        </w:rPr>
        <w:object w:dxaOrig="740" w:dyaOrig="279">
          <v:shape id="_x0000_i1133" type="#_x0000_t75" style="width:37.5pt;height:13.5pt" o:ole="">
            <v:imagedata r:id="rId230" o:title=""/>
          </v:shape>
          <o:OLEObject Type="Embed" ProgID="Equation.DSMT4" ShapeID="_x0000_i1133" DrawAspect="Content" ObjectID="_1846526935" r:id="rId231"/>
        </w:object>
      </w:r>
      <w:r w:rsidRPr="00F00CA0">
        <w:rPr>
          <w:rFonts w:ascii="Times New Roman" w:eastAsia="Times New Roman" w:hAnsi="Times New Roman" w:cs="Times New Roman"/>
          <w:color w:val="1F1F1F"/>
        </w:rPr>
        <w:t>) and large total greenhouse gas footprints (</w:t>
      </w:r>
      <w:r w:rsidR="0096557E" w:rsidRPr="0096557E">
        <w:rPr>
          <w:position w:val="-6"/>
        </w:rPr>
        <w:object w:dxaOrig="820" w:dyaOrig="279">
          <v:shape id="_x0000_i1134" type="#_x0000_t75" style="width:40.5pt;height:13.5pt" o:ole="">
            <v:imagedata r:id="rId232" o:title=""/>
          </v:shape>
          <o:OLEObject Type="Embed" ProgID="Equation.DSMT4" ShapeID="_x0000_i1134" DrawAspect="Content" ObjectID="_1846526936" r:id="rId233"/>
        </w:object>
      </w:r>
      <w:r w:rsidRPr="00F00CA0">
        <w:rPr>
          <w:rFonts w:ascii="Times New Roman" w:eastAsia="Times New Roman" w:hAnsi="Times New Roman" w:cs="Times New Roman"/>
          <w:color w:val="1F1F1F"/>
        </w:rPr>
        <w:t>).</w:t>
      </w:r>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These countries serve as the central gravity wells of global carbon commerce. They trade extensively among themselves while simultaneously bridging out to every other class in the global system.</w:t>
      </w:r>
    </w:p>
    <w:p w:rsidR="00EB589F" w:rsidRPr="001578D0" w:rsidRDefault="00EB589F" w:rsidP="001578D0">
      <w:pPr>
        <w:spacing w:before="100" w:beforeAutospacing="1" w:after="0"/>
        <w:jc w:val="both"/>
        <w:outlineLvl w:val="2"/>
        <w:rPr>
          <w:rFonts w:ascii="Times New Roman" w:eastAsia="Times New Roman" w:hAnsi="Times New Roman" w:cs="Times New Roman"/>
          <w:b/>
          <w:bCs/>
          <w:color w:val="1F1F1F"/>
        </w:rPr>
      </w:pPr>
      <w:r w:rsidRPr="001578D0">
        <w:rPr>
          <w:rFonts w:ascii="Times New Roman" w:eastAsia="Times New Roman" w:hAnsi="Times New Roman" w:cs="Times New Roman"/>
          <w:b/>
          <w:bCs/>
          <w:color w:val="1F1F1F"/>
          <w:bdr w:val="none" w:sz="0" w:space="0" w:color="auto" w:frame="1"/>
        </w:rPr>
        <w:t>Class 3: Semi-Peripheral Industrial Transitors</w:t>
      </w:r>
      <w:r w:rsidR="001578D0">
        <w:rPr>
          <w:rFonts w:ascii="Times New Roman" w:eastAsia="Times New Roman" w:hAnsi="Times New Roman" w:cs="Times New Roman"/>
          <w:b/>
          <w:bCs/>
          <w:color w:val="1F1F1F"/>
        </w:rPr>
        <w:t xml:space="preserve"> </w:t>
      </w:r>
      <w:r w:rsidRPr="00F00CA0">
        <w:rPr>
          <w:rFonts w:ascii="Times New Roman" w:eastAsia="Times New Roman" w:hAnsi="Times New Roman" w:cs="Times New Roman"/>
          <w:color w:val="1F1F1F"/>
        </w:rPr>
        <w:t>Displays moderate intra-block density (</w:t>
      </w:r>
      <w:r w:rsidR="0096557E" w:rsidRPr="0096557E">
        <w:rPr>
          <w:position w:val="-12"/>
        </w:rPr>
        <w:object w:dxaOrig="400" w:dyaOrig="360">
          <v:shape id="_x0000_i1135" type="#_x0000_t75" style="width:19.5pt;height:18pt" o:ole="">
            <v:imagedata r:id="rId234" o:title=""/>
          </v:shape>
          <o:OLEObject Type="Embed" ProgID="Equation.DSMT4" ShapeID="_x0000_i1135" DrawAspect="Content" ObjectID="_1846526937" r:id="rId235"/>
        </w:object>
      </w:r>
      <w:r w:rsidRPr="00F00CA0">
        <w:rPr>
          <w:rFonts w:ascii="Times New Roman" w:eastAsia="Times New Roman" w:hAnsi="Times New Roman" w:cs="Times New Roman"/>
          <w:color w:val="1F1F1F"/>
        </w:rPr>
        <w:t>) and high inter-block connectivity with Class 4 (</w:t>
      </w:r>
      <w:r w:rsidR="0096557E" w:rsidRPr="0096557E">
        <w:rPr>
          <w:position w:val="-12"/>
        </w:rPr>
        <w:object w:dxaOrig="420" w:dyaOrig="360">
          <v:shape id="_x0000_i1136" type="#_x0000_t75" style="width:21pt;height:18pt" o:ole="">
            <v:imagedata r:id="rId236" o:title=""/>
          </v:shape>
          <o:OLEObject Type="Embed" ProgID="Equation.DSMT4" ShapeID="_x0000_i1136" DrawAspect="Content" ObjectID="_1846526938" r:id="rId237"/>
        </w:object>
      </w:r>
      <w:r w:rsidRPr="00F00CA0">
        <w:rPr>
          <w:rFonts w:ascii="Times New Roman" w:eastAsia="Times New Roman" w:hAnsi="Times New Roman" w:cs="Times New Roman"/>
          <w:color w:val="1F1F1F"/>
        </w:rPr>
        <w:t>).</w:t>
      </w:r>
      <w:r w:rsidR="001578D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Comprises secondary industrial powerhouses and resource-rich exporters.</w:t>
      </w:r>
      <w:proofErr w:type="gramEnd"/>
      <w:r w:rsidR="001578D0">
        <w:rPr>
          <w:rFonts w:ascii="Times New Roman" w:eastAsia="Times New Roman" w:hAnsi="Times New Roman" w:cs="Times New Roman"/>
          <w:color w:val="1F1F1F"/>
        </w:rPr>
        <w:t xml:space="preserve"> </w:t>
      </w:r>
      <w:proofErr w:type="gramStart"/>
      <w:r w:rsidRPr="00F00CA0">
        <w:rPr>
          <w:rFonts w:ascii="Times New Roman" w:eastAsia="Times New Roman" w:hAnsi="Times New Roman" w:cs="Times New Roman"/>
          <w:color w:val="1F1F1F"/>
        </w:rPr>
        <w:t>Functions as an intermediate transmission belt, processing regional carbon-embodied flows and relaying them to Class 4 hubs.</w:t>
      </w:r>
      <w:proofErr w:type="gramEnd"/>
    </w:p>
    <w:p w:rsidR="00EB589F" w:rsidRPr="001578D0" w:rsidRDefault="00EB589F" w:rsidP="001578D0">
      <w:pPr>
        <w:spacing w:before="100" w:beforeAutospacing="1" w:after="0"/>
        <w:jc w:val="both"/>
        <w:outlineLvl w:val="2"/>
        <w:rPr>
          <w:rFonts w:ascii="Times New Roman" w:eastAsia="Times New Roman" w:hAnsi="Times New Roman" w:cs="Times New Roman"/>
          <w:b/>
          <w:bCs/>
          <w:color w:val="1F1F1F"/>
        </w:rPr>
      </w:pPr>
      <w:r w:rsidRPr="001578D0">
        <w:rPr>
          <w:rFonts w:ascii="Times New Roman" w:eastAsia="Times New Roman" w:hAnsi="Times New Roman" w:cs="Times New Roman"/>
          <w:b/>
          <w:bCs/>
          <w:color w:val="1F1F1F"/>
          <w:bdr w:val="none" w:sz="0" w:space="0" w:color="auto" w:frame="1"/>
        </w:rPr>
        <w:t>Class 2: Peripheral Transitors &amp; Regional Partners</w:t>
      </w:r>
      <w:r w:rsidR="001578D0">
        <w:rPr>
          <w:rFonts w:ascii="Times New Roman" w:eastAsia="Times New Roman" w:hAnsi="Times New Roman" w:cs="Times New Roman"/>
          <w:b/>
          <w:bCs/>
          <w:color w:val="1F1F1F"/>
        </w:rPr>
        <w:t xml:space="preserve"> </w:t>
      </w:r>
      <w:r w:rsidRPr="00F00CA0">
        <w:rPr>
          <w:rFonts w:ascii="Times New Roman" w:eastAsia="Times New Roman" w:hAnsi="Times New Roman" w:cs="Times New Roman"/>
          <w:color w:val="1F1F1F"/>
        </w:rPr>
        <w:t>Low internal edge density (</w:t>
      </w:r>
      <w:r w:rsidR="0096557E" w:rsidRPr="0096557E">
        <w:rPr>
          <w:position w:val="-12"/>
        </w:rPr>
        <w:object w:dxaOrig="800" w:dyaOrig="360">
          <v:shape id="_x0000_i1137" type="#_x0000_t75" style="width:40.5pt;height:18pt" o:ole="">
            <v:imagedata r:id="rId238" o:title=""/>
          </v:shape>
          <o:OLEObject Type="Embed" ProgID="Equation.DSMT4" ShapeID="_x0000_i1137" DrawAspect="Content" ObjectID="_1846526939" r:id="rId239"/>
        </w:object>
      </w:r>
      <w:r w:rsidRPr="00F00CA0">
        <w:rPr>
          <w:rFonts w:ascii="Times New Roman" w:eastAsia="Times New Roman" w:hAnsi="Times New Roman" w:cs="Times New Roman"/>
          <w:color w:val="1F1F1F"/>
        </w:rPr>
        <w:t>). Connections are almost exclusively oriented toward Class 4 and Class 3.</w:t>
      </w:r>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Medium-to-small economies with limited export diversification.</w:t>
      </w:r>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Dependent trading partners that rely on primary core hubs to access global supply chains rather than establishing direct trade channels with other peripheral states.</w:t>
      </w:r>
    </w:p>
    <w:p w:rsidR="00EB589F" w:rsidRPr="001578D0" w:rsidRDefault="00EB589F" w:rsidP="001578D0">
      <w:pPr>
        <w:spacing w:before="100" w:beforeAutospacing="1" w:after="0"/>
        <w:jc w:val="both"/>
        <w:outlineLvl w:val="2"/>
        <w:rPr>
          <w:rFonts w:ascii="Times New Roman" w:eastAsia="Times New Roman" w:hAnsi="Times New Roman" w:cs="Times New Roman"/>
          <w:b/>
          <w:bCs/>
          <w:color w:val="1F1F1F"/>
        </w:rPr>
      </w:pPr>
      <w:r w:rsidRPr="001578D0">
        <w:rPr>
          <w:rFonts w:ascii="Times New Roman" w:eastAsia="Times New Roman" w:hAnsi="Times New Roman" w:cs="Times New Roman"/>
          <w:b/>
          <w:bCs/>
          <w:color w:val="1F1F1F"/>
          <w:bdr w:val="none" w:sz="0" w:space="0" w:color="auto" w:frame="1"/>
        </w:rPr>
        <w:t>Class 1: Isolated Deep Periphery</w:t>
      </w:r>
      <w:r w:rsidR="001578D0">
        <w:rPr>
          <w:rFonts w:ascii="Times New Roman" w:eastAsia="Times New Roman" w:hAnsi="Times New Roman" w:cs="Times New Roman"/>
          <w:b/>
          <w:bCs/>
          <w:color w:val="1F1F1F"/>
        </w:rPr>
        <w:t xml:space="preserve"> </w:t>
      </w:r>
      <w:r w:rsidRPr="00F00CA0">
        <w:rPr>
          <w:rFonts w:ascii="Times New Roman" w:eastAsia="Times New Roman" w:hAnsi="Times New Roman" w:cs="Times New Roman"/>
          <w:color w:val="1F1F1F"/>
        </w:rPr>
        <w:t>Extremely sparse block matrix with virtually zero intra-class trading (</w:t>
      </w:r>
      <w:r w:rsidR="0096557E" w:rsidRPr="0096557E">
        <w:rPr>
          <w:position w:val="-12"/>
        </w:rPr>
        <w:object w:dxaOrig="760" w:dyaOrig="360">
          <v:shape id="_x0000_i1138" type="#_x0000_t75" style="width:37.5pt;height:18pt" o:ole="">
            <v:imagedata r:id="rId240" o:title=""/>
          </v:shape>
          <o:OLEObject Type="Embed" ProgID="Equation.DSMT4" ShapeID="_x0000_i1138" DrawAspect="Content" ObjectID="_1846526940" r:id="rId241"/>
        </w:object>
      </w:r>
      <w:r w:rsidRPr="00F00CA0">
        <w:rPr>
          <w:rFonts w:ascii="Times New Roman" w:eastAsia="Times New Roman" w:hAnsi="Times New Roman" w:cs="Times New Roman"/>
          <w:color w:val="1F1F1F"/>
        </w:rPr>
        <w:t>).</w:t>
      </w:r>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Smaller, less industrialized states or nations with high renewable energy shares (</w:t>
      </w:r>
      <w:r w:rsidR="0096557E" w:rsidRPr="0096557E">
        <w:rPr>
          <w:position w:val="-6"/>
        </w:rPr>
        <w:object w:dxaOrig="740" w:dyaOrig="279">
          <v:shape id="_x0000_i1139" type="#_x0000_t75" style="width:37.5pt;height:13.5pt" o:ole="">
            <v:imagedata r:id="rId242" o:title=""/>
          </v:shape>
          <o:OLEObject Type="Embed" ProgID="Equation.DSMT4" ShapeID="_x0000_i1139" DrawAspect="Content" ObjectID="_1846526941" r:id="rId243"/>
        </w:object>
      </w:r>
      <w:r w:rsidRPr="00F00CA0">
        <w:rPr>
          <w:rFonts w:ascii="Times New Roman" w:eastAsia="Times New Roman" w:hAnsi="Times New Roman" w:cs="Times New Roman"/>
          <w:color w:val="1F1F1F"/>
        </w:rPr>
        <w:t>) that insulate them from heavy carbon trade reliance.</w:t>
      </w:r>
      <w:r w:rsidR="001578D0">
        <w:rPr>
          <w:rFonts w:ascii="Times New Roman" w:eastAsia="Times New Roman" w:hAnsi="Times New Roman" w:cs="Times New Roman"/>
          <w:color w:val="1F1F1F"/>
        </w:rPr>
        <w:t xml:space="preserve"> </w:t>
      </w:r>
      <w:r w:rsidRPr="00F00CA0">
        <w:rPr>
          <w:rFonts w:ascii="Times New Roman" w:eastAsia="Times New Roman" w:hAnsi="Times New Roman" w:cs="Times New Roman"/>
          <w:color w:val="1F1F1F"/>
        </w:rPr>
        <w:t>Terminal endpoints in the network, maintaining only a handful of selective export ties to major regional or global hubs.</w:t>
      </w:r>
    </w:p>
    <w:p w:rsidR="00EB589F" w:rsidRPr="00F00CA0" w:rsidRDefault="00EB589F" w:rsidP="001578D0">
      <w:pPr>
        <w:spacing w:before="100" w:beforeAutospacing="1" w:after="0"/>
        <w:jc w:val="both"/>
        <w:rPr>
          <w:rFonts w:ascii="Times New Roman" w:eastAsia="Times New Roman" w:hAnsi="Times New Roman" w:cs="Times New Roman"/>
          <w:color w:val="1F1F1F"/>
        </w:rPr>
      </w:pPr>
      <w:r w:rsidRPr="00F00CA0">
        <w:rPr>
          <w:rFonts w:ascii="Times New Roman" w:eastAsia="Times New Roman" w:hAnsi="Times New Roman" w:cs="Times New Roman"/>
          <w:color w:val="1F1F1F"/>
        </w:rPr>
        <w:t xml:space="preserve">The off-diagonal concentration of trade links (high density in </w:t>
      </w:r>
      <w:r w:rsidR="0096557E" w:rsidRPr="0096557E">
        <w:rPr>
          <w:position w:val="-12"/>
        </w:rPr>
        <w:object w:dxaOrig="1300" w:dyaOrig="360">
          <v:shape id="_x0000_i1140" type="#_x0000_t75" style="width:64.5pt;height:18pt" o:ole="">
            <v:imagedata r:id="rId244" o:title=""/>
          </v:shape>
          <o:OLEObject Type="Embed" ProgID="Equation.DSMT4" ShapeID="_x0000_i1140" DrawAspect="Content" ObjectID="_1846526942" r:id="rId245"/>
        </w:object>
      </w:r>
      <w:r w:rsidRPr="00F00CA0">
        <w:rPr>
          <w:rFonts w:ascii="Times New Roman" w:eastAsia="Times New Roman" w:hAnsi="Times New Roman" w:cs="Times New Roman"/>
          <w:color w:val="1F1F1F"/>
        </w:rPr>
        <w:t xml:space="preserve"> vs. near-zero density </w:t>
      </w:r>
      <w:proofErr w:type="gramStart"/>
      <w:r w:rsidRPr="00F00CA0">
        <w:rPr>
          <w:rFonts w:ascii="Times New Roman" w:eastAsia="Times New Roman" w:hAnsi="Times New Roman" w:cs="Times New Roman"/>
          <w:color w:val="1F1F1F"/>
        </w:rPr>
        <w:t xml:space="preserve">in </w:t>
      </w:r>
      <w:proofErr w:type="gramEnd"/>
      <w:r w:rsidR="0096557E" w:rsidRPr="0096557E">
        <w:rPr>
          <w:position w:val="-12"/>
        </w:rPr>
        <w:object w:dxaOrig="840" w:dyaOrig="360">
          <v:shape id="_x0000_i1141" type="#_x0000_t75" style="width:42pt;height:18pt" o:ole="">
            <v:imagedata r:id="rId246" o:title=""/>
          </v:shape>
          <o:OLEObject Type="Embed" ProgID="Equation.DSMT4" ShapeID="_x0000_i1141" DrawAspect="Content" ObjectID="_1846526943" r:id="rId247"/>
        </w:object>
      </w:r>
      <w:r w:rsidRPr="00F00CA0">
        <w:rPr>
          <w:rFonts w:ascii="Times New Roman" w:eastAsia="Times New Roman" w:hAnsi="Times New Roman" w:cs="Times New Roman"/>
          <w:color w:val="1F1F1F"/>
        </w:rPr>
        <w:t xml:space="preserve">) confirms that global carbon trade does not partition into isolated, self-contained regional clusters. Instead, it forms a classic </w:t>
      </w:r>
      <w:r w:rsidRPr="001578D0">
        <w:rPr>
          <w:rFonts w:ascii="Times New Roman" w:eastAsia="Times New Roman" w:hAnsi="Times New Roman" w:cs="Times New Roman"/>
          <w:bCs/>
          <w:color w:val="1F1F1F"/>
          <w:bdr w:val="none" w:sz="0" w:space="0" w:color="auto" w:frame="1"/>
        </w:rPr>
        <w:t>hierarchical core-periphery structure</w:t>
      </w:r>
      <w:r w:rsidRPr="00F00CA0">
        <w:rPr>
          <w:rFonts w:ascii="Times New Roman" w:eastAsia="Times New Roman" w:hAnsi="Times New Roman" w:cs="Times New Roman"/>
          <w:color w:val="1F1F1F"/>
        </w:rPr>
        <w:t xml:space="preserve"> where peripheral nations selectively connect to core industrial hubs.</w:t>
      </w:r>
    </w:p>
    <w:p w:rsidR="00EB589F" w:rsidRPr="00F00CA0" w:rsidRDefault="005B5879" w:rsidP="001578D0">
      <w:pPr>
        <w:spacing w:before="100" w:beforeAutospacing="1" w:after="0"/>
        <w:jc w:val="both"/>
        <w:rPr>
          <w:rFonts w:ascii="Times New Roman" w:eastAsia="Times New Roman" w:hAnsi="Times New Roman" w:cs="Times New Roman"/>
          <w:color w:val="1F1F1F"/>
        </w:rPr>
      </w:pPr>
      <w:r>
        <w:rPr>
          <w:rFonts w:ascii="Times New Roman" w:eastAsia="Times New Roman" w:hAnsi="Times New Roman" w:cs="Times New Roman"/>
          <w:noProof/>
          <w:color w:val="1F1F1F"/>
        </w:rPr>
        <w:lastRenderedPageBreak/>
        <w:drawing>
          <wp:anchor distT="0" distB="0" distL="114300" distR="114300" simplePos="0" relativeHeight="251666432" behindDoc="1" locked="0" layoutInCell="1" allowOverlap="1">
            <wp:simplePos x="0" y="0"/>
            <wp:positionH relativeFrom="column">
              <wp:posOffset>3219450</wp:posOffset>
            </wp:positionH>
            <wp:positionV relativeFrom="paragraph">
              <wp:posOffset>628650</wp:posOffset>
            </wp:positionV>
            <wp:extent cx="2457450" cy="2257425"/>
            <wp:effectExtent l="19050" t="0" r="0" b="0"/>
            <wp:wrapTopAndBottom/>
            <wp:docPr id="11" name="Picture 10" descr="2022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2_.jpg"/>
                    <pic:cNvPicPr/>
                  </pic:nvPicPr>
                  <pic:blipFill>
                    <a:blip r:embed="rId248" cstate="print"/>
                    <a:srcRect l="12293" t="4836" r="2831"/>
                    <a:stretch>
                      <a:fillRect/>
                    </a:stretch>
                  </pic:blipFill>
                  <pic:spPr>
                    <a:xfrm>
                      <a:off x="0" y="0"/>
                      <a:ext cx="2457450" cy="2257425"/>
                    </a:xfrm>
                    <a:prstGeom prst="rect">
                      <a:avLst/>
                    </a:prstGeom>
                  </pic:spPr>
                </pic:pic>
              </a:graphicData>
            </a:graphic>
          </wp:anchor>
        </w:drawing>
      </w:r>
      <w:r>
        <w:rPr>
          <w:rFonts w:ascii="Times New Roman" w:eastAsia="Times New Roman" w:hAnsi="Times New Roman" w:cs="Times New Roman"/>
          <w:noProof/>
          <w:color w:val="1F1F1F"/>
        </w:rPr>
        <w:drawing>
          <wp:anchor distT="0" distB="0" distL="114300" distR="114300" simplePos="0" relativeHeight="251658239" behindDoc="0" locked="0" layoutInCell="1" allowOverlap="1">
            <wp:simplePos x="0" y="0"/>
            <wp:positionH relativeFrom="column">
              <wp:posOffset>495300</wp:posOffset>
            </wp:positionH>
            <wp:positionV relativeFrom="paragraph">
              <wp:posOffset>657225</wp:posOffset>
            </wp:positionV>
            <wp:extent cx="2495550" cy="2238375"/>
            <wp:effectExtent l="19050" t="0" r="0" b="0"/>
            <wp:wrapTopAndBottom/>
            <wp:docPr id="8" name="Picture 7" descr="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jpg"/>
                    <pic:cNvPicPr/>
                  </pic:nvPicPr>
                  <pic:blipFill>
                    <a:blip r:embed="rId249" cstate="print"/>
                    <a:srcRect l="9510" t="5341" b="2339"/>
                    <a:stretch>
                      <a:fillRect/>
                    </a:stretch>
                  </pic:blipFill>
                  <pic:spPr>
                    <a:xfrm>
                      <a:off x="0" y="0"/>
                      <a:ext cx="2495550" cy="2238375"/>
                    </a:xfrm>
                    <a:prstGeom prst="rect">
                      <a:avLst/>
                    </a:prstGeom>
                  </pic:spPr>
                </pic:pic>
              </a:graphicData>
            </a:graphic>
          </wp:anchor>
        </w:drawing>
      </w:r>
      <w:r w:rsidR="00EB589F" w:rsidRPr="00F00CA0">
        <w:rPr>
          <w:rFonts w:ascii="Times New Roman" w:eastAsia="Times New Roman" w:hAnsi="Times New Roman" w:cs="Times New Roman"/>
          <w:color w:val="1F1F1F"/>
        </w:rPr>
        <w:t>Comparing the 2019 baseline to the 2022 post-pandemic state shows that the four-block partition and relative density distributions remained remarkably stable. Despite the disruptions of the 2020 pandemic, the overall macro-architecture of global carbon trade preserved its four-tiered functional hierarchy.</w:t>
      </w:r>
    </w:p>
    <w:p w:rsidR="00EB589F" w:rsidRPr="006769F7" w:rsidRDefault="006769F7" w:rsidP="006769F7">
      <w:pPr>
        <w:spacing w:after="0"/>
        <w:ind w:right="-421"/>
        <w:jc w:val="center"/>
        <w:rPr>
          <w:rFonts w:ascii="Times New Roman" w:hAnsi="Times New Roman" w:cs="Times New Roman"/>
          <w:i/>
          <w:sz w:val="20"/>
          <w:szCs w:val="20"/>
          <w:lang w:val="en-IN"/>
        </w:rPr>
      </w:pPr>
      <w:r w:rsidRPr="006769F7">
        <w:rPr>
          <w:rFonts w:ascii="Times New Roman" w:hAnsi="Times New Roman" w:cs="Times New Roman"/>
          <w:i/>
          <w:sz w:val="20"/>
          <w:szCs w:val="20"/>
          <w:lang w:val="en-IN"/>
        </w:rPr>
        <w:t>Source: P</w:t>
      </w:r>
      <w:r w:rsidR="00712E7F" w:rsidRPr="006769F7">
        <w:rPr>
          <w:rFonts w:ascii="Times New Roman" w:hAnsi="Times New Roman" w:cs="Times New Roman"/>
          <w:i/>
          <w:sz w:val="20"/>
          <w:szCs w:val="20"/>
          <w:lang w:val="en-IN"/>
        </w:rPr>
        <w:t xml:space="preserve">repared by authors based on WITS trade data using </w:t>
      </w:r>
      <w:r w:rsidRPr="006769F7">
        <w:rPr>
          <w:rFonts w:ascii="Times New Roman" w:hAnsi="Times New Roman" w:cs="Times New Roman"/>
          <w:i/>
          <w:sz w:val="20"/>
          <w:szCs w:val="20"/>
          <w:lang w:val="en-IN"/>
        </w:rPr>
        <w:t>R</w:t>
      </w:r>
    </w:p>
    <w:p w:rsidR="00EB589F" w:rsidRPr="00F00CA0" w:rsidRDefault="00712E7F" w:rsidP="006769F7">
      <w:pPr>
        <w:spacing w:after="0"/>
        <w:ind w:left="-426" w:right="-421"/>
        <w:jc w:val="center"/>
        <w:rPr>
          <w:rFonts w:ascii="Times New Roman" w:hAnsi="Times New Roman" w:cs="Times New Roman"/>
          <w:lang w:val="en-IN"/>
        </w:rPr>
      </w:pPr>
      <w:r w:rsidRPr="006769F7">
        <w:rPr>
          <w:rFonts w:ascii="Times New Roman" w:hAnsi="Times New Roman" w:cs="Times New Roman"/>
          <w:b/>
          <w:lang w:val="en-IN"/>
        </w:rPr>
        <w:t>Figure 5:</w:t>
      </w:r>
      <w:r w:rsidR="00EB589F" w:rsidRPr="00F00CA0">
        <w:rPr>
          <w:rFonts w:ascii="Times New Roman" w:hAnsi="Times New Roman" w:cs="Times New Roman"/>
          <w:lang w:val="en-IN"/>
        </w:rPr>
        <w:t xml:space="preserve"> Macro-Network Topologies of Class Representatives (2019 vs. 2022)</w:t>
      </w:r>
    </w:p>
    <w:p w:rsidR="00EB589F" w:rsidRPr="00F00CA0" w:rsidRDefault="00EB589F" w:rsidP="00C70D53">
      <w:pPr>
        <w:spacing w:after="0"/>
        <w:ind w:left="-426" w:right="-421"/>
        <w:rPr>
          <w:rFonts w:ascii="Times New Roman" w:hAnsi="Times New Roman" w:cs="Times New Roman"/>
          <w:lang w:val="en-IN"/>
        </w:rPr>
      </w:pPr>
    </w:p>
    <w:p w:rsidR="00EB589F" w:rsidRPr="00F00CA0" w:rsidRDefault="00EB589F" w:rsidP="00291A15">
      <w:pPr>
        <w:spacing w:after="0"/>
        <w:ind w:left="-426" w:right="-421"/>
        <w:jc w:val="both"/>
        <w:rPr>
          <w:rFonts w:ascii="Times New Roman" w:hAnsi="Times New Roman" w:cs="Times New Roman"/>
          <w:lang w:val="en-IN"/>
        </w:rPr>
      </w:pPr>
      <w:r w:rsidRPr="00F00CA0">
        <w:rPr>
          <w:rFonts w:ascii="Times New Roman" w:hAnsi="Times New Roman" w:cs="Times New Roman"/>
          <w:lang w:val="en-IN"/>
        </w:rPr>
        <w:t xml:space="preserve">The network diagrams </w:t>
      </w:r>
      <w:r w:rsidR="00291A15">
        <w:rPr>
          <w:rFonts w:ascii="Times New Roman" w:hAnsi="Times New Roman" w:cs="Times New Roman"/>
          <w:lang w:val="en-IN"/>
        </w:rPr>
        <w:t>(Figure 5</w:t>
      </w:r>
      <w:r w:rsidRPr="00F00CA0">
        <w:rPr>
          <w:rFonts w:ascii="Times New Roman" w:hAnsi="Times New Roman" w:cs="Times New Roman"/>
          <w:lang w:val="en-IN"/>
        </w:rPr>
        <w:t xml:space="preserve">) map the empirical trade connectivity among the top representative nations across the four Stochastic Block Model (SBM) classes for 2019 and 2022. Node </w:t>
      </w:r>
      <w:r w:rsidR="00291A15" w:rsidRPr="00F00CA0">
        <w:rPr>
          <w:rFonts w:ascii="Times New Roman" w:hAnsi="Times New Roman" w:cs="Times New Roman"/>
          <w:lang w:val="en-IN"/>
        </w:rPr>
        <w:t>colours</w:t>
      </w:r>
      <w:r w:rsidRPr="00F00CA0">
        <w:rPr>
          <w:rFonts w:ascii="Times New Roman" w:hAnsi="Times New Roman" w:cs="Times New Roman"/>
          <w:lang w:val="en-IN"/>
        </w:rPr>
        <w:t xml:space="preserve"> correspond to their latent class assignment, and directed edges depict active carbon export channels.</w:t>
      </w:r>
    </w:p>
    <w:p w:rsidR="00EB589F" w:rsidRPr="00F00CA0" w:rsidRDefault="00EB589F" w:rsidP="00FF4AB8">
      <w:pPr>
        <w:spacing w:after="0"/>
        <w:ind w:right="-421"/>
        <w:rPr>
          <w:rFonts w:ascii="Times New Roman" w:hAnsi="Times New Roman" w:cs="Times New Roman"/>
          <w:lang w:val="en-IN"/>
        </w:rPr>
      </w:pPr>
    </w:p>
    <w:p w:rsidR="00EB589F" w:rsidRPr="00F00CA0" w:rsidRDefault="00FF4AB8" w:rsidP="00952A9F">
      <w:pPr>
        <w:spacing w:after="0"/>
        <w:ind w:left="-426" w:right="-421"/>
        <w:jc w:val="both"/>
        <w:rPr>
          <w:rFonts w:ascii="Times New Roman" w:hAnsi="Times New Roman" w:cs="Times New Roman"/>
          <w:lang w:val="en-IN"/>
        </w:rPr>
      </w:pPr>
      <w:r>
        <w:rPr>
          <w:rFonts w:ascii="Times New Roman" w:hAnsi="Times New Roman" w:cs="Times New Roman"/>
          <w:lang w:val="en-IN"/>
        </w:rPr>
        <w:t xml:space="preserve">Class 1 (Red) are </w:t>
      </w:r>
      <w:r w:rsidRPr="00F00CA0">
        <w:rPr>
          <w:rFonts w:ascii="Times New Roman" w:hAnsi="Times New Roman" w:cs="Times New Roman"/>
          <w:lang w:val="en-IN"/>
        </w:rPr>
        <w:t>peripheral carbon exporters</w:t>
      </w:r>
      <w:r>
        <w:rPr>
          <w:rFonts w:ascii="Times New Roman" w:hAnsi="Times New Roman" w:cs="Times New Roman"/>
          <w:lang w:val="en-IN"/>
        </w:rPr>
        <w:t xml:space="preserve"> s</w:t>
      </w:r>
      <w:r w:rsidRPr="00F00CA0">
        <w:rPr>
          <w:rFonts w:ascii="Times New Roman" w:hAnsi="Times New Roman" w:cs="Times New Roman"/>
          <w:lang w:val="en-IN"/>
        </w:rPr>
        <w:t>ituated along the outermost margins of the layout with m</w:t>
      </w:r>
      <w:r w:rsidR="005B5879">
        <w:rPr>
          <w:rFonts w:ascii="Times New Roman" w:hAnsi="Times New Roman" w:cs="Times New Roman"/>
          <w:lang w:val="en-IN"/>
        </w:rPr>
        <w:t xml:space="preserve">inimal direct interconnectivity with </w:t>
      </w:r>
      <w:r w:rsidRPr="00F00CA0">
        <w:rPr>
          <w:rFonts w:ascii="Times New Roman" w:hAnsi="Times New Roman" w:cs="Times New Roman"/>
          <w:lang w:val="en-IN"/>
        </w:rPr>
        <w:t xml:space="preserve">primarily low-capacity or geographically isolated trading entities. </w:t>
      </w:r>
      <w:proofErr w:type="gramStart"/>
      <w:r w:rsidRPr="00F00CA0">
        <w:rPr>
          <w:rFonts w:ascii="Times New Roman" w:hAnsi="Times New Roman" w:cs="Times New Roman"/>
          <w:lang w:val="en-IN"/>
        </w:rPr>
        <w:t>they</w:t>
      </w:r>
      <w:proofErr w:type="gramEnd"/>
      <w:r w:rsidRPr="00F00CA0">
        <w:rPr>
          <w:rFonts w:ascii="Times New Roman" w:hAnsi="Times New Roman" w:cs="Times New Roman"/>
          <w:lang w:val="en-IN"/>
        </w:rPr>
        <w:t xml:space="preserve"> rely almost exclusively on one-way outbound export channels directed toward class 4 systemic hubs to access the global market.</w:t>
      </w:r>
    </w:p>
    <w:p w:rsidR="00EB589F" w:rsidRPr="00F00CA0" w:rsidRDefault="00EB589F" w:rsidP="00952A9F">
      <w:pPr>
        <w:spacing w:after="0"/>
        <w:ind w:right="-421"/>
        <w:jc w:val="both"/>
        <w:rPr>
          <w:rFonts w:ascii="Times New Roman" w:hAnsi="Times New Roman" w:cs="Times New Roman"/>
          <w:lang w:val="en-IN"/>
        </w:rPr>
      </w:pPr>
    </w:p>
    <w:p w:rsidR="00EB589F" w:rsidRPr="00F00CA0" w:rsidRDefault="00FF4AB8" w:rsidP="00952A9F">
      <w:pPr>
        <w:spacing w:after="0"/>
        <w:ind w:left="-426" w:right="-421"/>
        <w:jc w:val="both"/>
        <w:rPr>
          <w:rFonts w:ascii="Times New Roman" w:hAnsi="Times New Roman" w:cs="Times New Roman"/>
          <w:lang w:val="en-IN"/>
        </w:rPr>
      </w:pPr>
      <w:r>
        <w:rPr>
          <w:rFonts w:ascii="Times New Roman" w:hAnsi="Times New Roman" w:cs="Times New Roman"/>
          <w:lang w:val="en-IN"/>
        </w:rPr>
        <w:t>Class 2 (Orange) are</w:t>
      </w:r>
      <w:r w:rsidR="00EB589F" w:rsidRPr="00F00CA0">
        <w:rPr>
          <w:rFonts w:ascii="Times New Roman" w:hAnsi="Times New Roman" w:cs="Times New Roman"/>
          <w:lang w:val="en-IN"/>
        </w:rPr>
        <w:t xml:space="preserve"> </w:t>
      </w:r>
      <w:r w:rsidRPr="00F00CA0">
        <w:rPr>
          <w:rFonts w:ascii="Times New Roman" w:hAnsi="Times New Roman" w:cs="Times New Roman"/>
          <w:lang w:val="en-IN"/>
        </w:rPr>
        <w:t>secondary regional partners</w:t>
      </w:r>
      <w:r>
        <w:rPr>
          <w:rFonts w:ascii="Times New Roman" w:hAnsi="Times New Roman" w:cs="Times New Roman"/>
          <w:lang w:val="en-IN"/>
        </w:rPr>
        <w:t xml:space="preserve"> having semi </w:t>
      </w:r>
      <w:r w:rsidRPr="00F00CA0">
        <w:rPr>
          <w:rFonts w:ascii="Times New Roman" w:hAnsi="Times New Roman" w:cs="Times New Roman"/>
          <w:lang w:val="en-IN"/>
        </w:rPr>
        <w:t>peripheral placement</w:t>
      </w:r>
      <w:r w:rsidR="00EB589F" w:rsidRPr="00F00CA0">
        <w:rPr>
          <w:rFonts w:ascii="Times New Roman" w:hAnsi="Times New Roman" w:cs="Times New Roman"/>
          <w:lang w:val="en-IN"/>
        </w:rPr>
        <w:t xml:space="preserve">, bridging peripheral Class 1 </w:t>
      </w:r>
      <w:r>
        <w:rPr>
          <w:rFonts w:ascii="Times New Roman" w:hAnsi="Times New Roman" w:cs="Times New Roman"/>
          <w:lang w:val="en-IN"/>
        </w:rPr>
        <w:t xml:space="preserve">nodes and core hubs consisting of </w:t>
      </w:r>
      <w:r w:rsidRPr="00F00CA0">
        <w:rPr>
          <w:rFonts w:ascii="Times New Roman" w:hAnsi="Times New Roman" w:cs="Times New Roman"/>
          <w:lang w:val="en-IN"/>
        </w:rPr>
        <w:t>emerging</w:t>
      </w:r>
      <w:r w:rsidR="00EB589F" w:rsidRPr="00F00CA0">
        <w:rPr>
          <w:rFonts w:ascii="Times New Roman" w:hAnsi="Times New Roman" w:cs="Times New Roman"/>
          <w:lang w:val="en-IN"/>
        </w:rPr>
        <w:t xml:space="preserve"> industrial or resource-exporting economies that serve as regional intermediate trading nodes.</w:t>
      </w:r>
    </w:p>
    <w:p w:rsidR="00EB589F" w:rsidRPr="00F00CA0" w:rsidRDefault="00EB589F" w:rsidP="00952A9F">
      <w:pPr>
        <w:spacing w:after="0"/>
        <w:ind w:left="-426" w:right="-421"/>
        <w:jc w:val="both"/>
        <w:rPr>
          <w:rFonts w:ascii="Times New Roman" w:hAnsi="Times New Roman" w:cs="Times New Roman"/>
          <w:lang w:val="en-IN"/>
        </w:rPr>
      </w:pPr>
    </w:p>
    <w:p w:rsidR="00EB589F" w:rsidRPr="00F00CA0" w:rsidRDefault="00FF4AB8" w:rsidP="00952A9F">
      <w:pPr>
        <w:spacing w:after="0"/>
        <w:ind w:left="-426" w:right="-421"/>
        <w:jc w:val="both"/>
        <w:rPr>
          <w:rFonts w:ascii="Times New Roman" w:hAnsi="Times New Roman" w:cs="Times New Roman"/>
          <w:lang w:val="en-IN"/>
        </w:rPr>
      </w:pPr>
      <w:r>
        <w:rPr>
          <w:rFonts w:ascii="Times New Roman" w:hAnsi="Times New Roman" w:cs="Times New Roman"/>
          <w:lang w:val="en-IN"/>
        </w:rPr>
        <w:t>Class 3 (Green) are</w:t>
      </w:r>
      <w:r w:rsidRPr="00F00CA0">
        <w:rPr>
          <w:rFonts w:ascii="Times New Roman" w:hAnsi="Times New Roman" w:cs="Times New Roman"/>
          <w:lang w:val="en-IN"/>
        </w:rPr>
        <w:t xml:space="preserve"> industrial transitor channels</w:t>
      </w:r>
      <w:r>
        <w:rPr>
          <w:rFonts w:ascii="Times New Roman" w:hAnsi="Times New Roman" w:cs="Times New Roman"/>
          <w:lang w:val="en-IN"/>
        </w:rPr>
        <w:t xml:space="preserve"> d</w:t>
      </w:r>
      <w:r w:rsidR="00EB589F" w:rsidRPr="00F00CA0">
        <w:rPr>
          <w:rFonts w:ascii="Times New Roman" w:hAnsi="Times New Roman" w:cs="Times New Roman"/>
          <w:lang w:val="en-IN"/>
        </w:rPr>
        <w:t>ensely cl</w:t>
      </w:r>
      <w:r>
        <w:rPr>
          <w:rFonts w:ascii="Times New Roman" w:hAnsi="Times New Roman" w:cs="Times New Roman"/>
          <w:lang w:val="en-IN"/>
        </w:rPr>
        <w:t>ustered around the central core consisting of m</w:t>
      </w:r>
      <w:r w:rsidR="00EB589F" w:rsidRPr="00F00CA0">
        <w:rPr>
          <w:rFonts w:ascii="Times New Roman" w:hAnsi="Times New Roman" w:cs="Times New Roman"/>
          <w:lang w:val="en-IN"/>
        </w:rPr>
        <w:t>id-to-high capacity man</w:t>
      </w:r>
      <w:r>
        <w:rPr>
          <w:rFonts w:ascii="Times New Roman" w:hAnsi="Times New Roman" w:cs="Times New Roman"/>
          <w:lang w:val="en-IN"/>
        </w:rPr>
        <w:t xml:space="preserve">ufacturing and trading nations </w:t>
      </w:r>
      <w:r w:rsidR="00EB589F" w:rsidRPr="00F00CA0">
        <w:rPr>
          <w:rFonts w:ascii="Times New Roman" w:hAnsi="Times New Roman" w:cs="Times New Roman"/>
          <w:lang w:val="en-IN"/>
        </w:rPr>
        <w:t>exhibit</w:t>
      </w:r>
      <w:r>
        <w:rPr>
          <w:rFonts w:ascii="Times New Roman" w:hAnsi="Times New Roman" w:cs="Times New Roman"/>
          <w:lang w:val="en-IN"/>
        </w:rPr>
        <w:t>ing</w:t>
      </w:r>
      <w:r w:rsidR="00EB589F" w:rsidRPr="00F00CA0">
        <w:rPr>
          <w:rFonts w:ascii="Times New Roman" w:hAnsi="Times New Roman" w:cs="Times New Roman"/>
          <w:lang w:val="en-IN"/>
        </w:rPr>
        <w:t xml:space="preserve"> strong bi-directional ties with Class 4 core hubs, acting as critical distribution relays that route flows between regional clusters and the global core.</w:t>
      </w:r>
    </w:p>
    <w:p w:rsidR="00EB589F" w:rsidRPr="00F00CA0" w:rsidRDefault="00EB589F" w:rsidP="00952A9F">
      <w:pPr>
        <w:spacing w:after="0"/>
        <w:ind w:right="-421"/>
        <w:jc w:val="both"/>
        <w:rPr>
          <w:rFonts w:ascii="Times New Roman" w:hAnsi="Times New Roman" w:cs="Times New Roman"/>
          <w:lang w:val="en-IN"/>
        </w:rPr>
      </w:pPr>
    </w:p>
    <w:p w:rsidR="00EB589F" w:rsidRPr="00F00CA0" w:rsidRDefault="00FF4AB8" w:rsidP="00952A9F">
      <w:pPr>
        <w:spacing w:after="0"/>
        <w:ind w:left="-426" w:right="-421"/>
        <w:jc w:val="both"/>
        <w:rPr>
          <w:rFonts w:ascii="Times New Roman" w:hAnsi="Times New Roman" w:cs="Times New Roman"/>
          <w:lang w:val="en-IN"/>
        </w:rPr>
      </w:pPr>
      <w:r>
        <w:rPr>
          <w:rFonts w:ascii="Times New Roman" w:hAnsi="Times New Roman" w:cs="Times New Roman"/>
          <w:lang w:val="en-IN"/>
        </w:rPr>
        <w:t>Class 4 (Blue) are</w:t>
      </w:r>
      <w:r w:rsidRPr="00F00CA0">
        <w:rPr>
          <w:rFonts w:ascii="Times New Roman" w:hAnsi="Times New Roman" w:cs="Times New Roman"/>
          <w:lang w:val="en-IN"/>
        </w:rPr>
        <w:t xml:space="preserve"> core systemic hubs</w:t>
      </w:r>
      <w:r>
        <w:rPr>
          <w:rFonts w:ascii="Times New Roman" w:hAnsi="Times New Roman" w:cs="Times New Roman"/>
          <w:lang w:val="en-IN"/>
        </w:rPr>
        <w:t xml:space="preserve"> occupying</w:t>
      </w:r>
      <w:r w:rsidR="00EB589F" w:rsidRPr="00F00CA0">
        <w:rPr>
          <w:rFonts w:ascii="Times New Roman" w:hAnsi="Times New Roman" w:cs="Times New Roman"/>
          <w:lang w:val="en-IN"/>
        </w:rPr>
        <w:t xml:space="preserve"> the absolute geometric </w:t>
      </w:r>
      <w:r w:rsidRPr="00F00CA0">
        <w:rPr>
          <w:rFonts w:ascii="Times New Roman" w:hAnsi="Times New Roman" w:cs="Times New Roman"/>
          <w:lang w:val="en-IN"/>
        </w:rPr>
        <w:t>centre</w:t>
      </w:r>
      <w:r w:rsidR="00EB589F" w:rsidRPr="00F00CA0">
        <w:rPr>
          <w:rFonts w:ascii="Times New Roman" w:hAnsi="Times New Roman" w:cs="Times New Roman"/>
          <w:lang w:val="en-IN"/>
        </w:rPr>
        <w:t xml:space="preserve"> of the network with the highest n</w:t>
      </w:r>
      <w:r>
        <w:rPr>
          <w:rFonts w:ascii="Times New Roman" w:hAnsi="Times New Roman" w:cs="Times New Roman"/>
          <w:lang w:val="en-IN"/>
        </w:rPr>
        <w:t>ode degree and edge density includi</w:t>
      </w:r>
      <w:r w:rsidR="00952A9F">
        <w:rPr>
          <w:rFonts w:ascii="Times New Roman" w:hAnsi="Times New Roman" w:cs="Times New Roman"/>
          <w:lang w:val="en-IN"/>
        </w:rPr>
        <w:t>ng m</w:t>
      </w:r>
      <w:r w:rsidR="00EB589F" w:rsidRPr="00F00CA0">
        <w:rPr>
          <w:rFonts w:ascii="Times New Roman" w:hAnsi="Times New Roman" w:cs="Times New Roman"/>
          <w:lang w:val="en-IN"/>
        </w:rPr>
        <w:t>ajor industrial powerhouses (characterized by high industrial share under SDG 9 and large greenhouse gas footprints under SDG 13). They form a tightly knit, fully connected central clique while simultaneously extending export and import links to every other class in the system.</w:t>
      </w:r>
    </w:p>
    <w:p w:rsidR="00EB589F" w:rsidRPr="00F00CA0" w:rsidRDefault="00EB589F" w:rsidP="00952A9F">
      <w:pPr>
        <w:spacing w:after="0"/>
        <w:ind w:right="-421"/>
        <w:rPr>
          <w:rFonts w:ascii="Times New Roman" w:hAnsi="Times New Roman" w:cs="Times New Roman"/>
          <w:lang w:val="en-IN"/>
        </w:rPr>
      </w:pPr>
    </w:p>
    <w:p w:rsidR="00715C3D" w:rsidRPr="00371A70" w:rsidRDefault="00715C3D" w:rsidP="005B5879">
      <w:pPr>
        <w:spacing w:before="100" w:beforeAutospacing="1" w:after="0" w:line="240" w:lineRule="auto"/>
        <w:ind w:left="-426" w:right="-421"/>
        <w:outlineLvl w:val="2"/>
        <w:rPr>
          <w:rFonts w:ascii="Times New Roman" w:eastAsia="Times New Roman" w:hAnsi="Times New Roman" w:cs="Times New Roman"/>
          <w:b/>
          <w:bCs/>
          <w:color w:val="1F1F1F"/>
          <w:sz w:val="27"/>
          <w:szCs w:val="27"/>
        </w:rPr>
      </w:pPr>
      <w:r w:rsidRPr="00060693">
        <w:rPr>
          <w:rFonts w:ascii="Times New Roman" w:eastAsia="Times New Roman" w:hAnsi="Times New Roman" w:cs="Times New Roman"/>
          <w:b/>
          <w:bCs/>
          <w:color w:val="1F1F1F"/>
          <w:sz w:val="27"/>
          <w:szCs w:val="27"/>
          <w:highlight w:val="yellow"/>
        </w:rPr>
        <w:t>2019</w:t>
      </w:r>
    </w:p>
    <w:p w:rsidR="00715C3D" w:rsidRPr="005848F8" w:rsidRDefault="00715C3D" w:rsidP="005B5879">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371A70">
        <w:rPr>
          <w:rFonts w:ascii="Times New Roman" w:eastAsia="Times New Roman" w:hAnsi="Times New Roman" w:cs="Times New Roman"/>
          <w:bCs/>
          <w:color w:val="1F1F1F"/>
          <w:sz w:val="24"/>
          <w:szCs w:val="24"/>
          <w:bdr w:val="none" w:sz="0" w:space="0" w:color="auto" w:frame="1"/>
        </w:rPr>
        <w:lastRenderedPageBreak/>
        <w:t>The Most Prominent</w:t>
      </w:r>
      <w:r>
        <w:rPr>
          <w:rFonts w:ascii="Times New Roman" w:eastAsia="Times New Roman" w:hAnsi="Times New Roman" w:cs="Times New Roman"/>
          <w:b/>
          <w:bCs/>
          <w:color w:val="1F1F1F"/>
          <w:sz w:val="24"/>
          <w:szCs w:val="24"/>
          <w:bdr w:val="none" w:sz="0" w:space="0" w:color="auto" w:frame="1"/>
        </w:rPr>
        <w:t xml:space="preserve"> </w:t>
      </w:r>
      <w:r w:rsidRPr="00952A9F">
        <w:rPr>
          <w:rFonts w:ascii="Times New Roman" w:eastAsia="Times New Roman" w:hAnsi="Times New Roman" w:cs="Times New Roman"/>
          <w:sz w:val="24"/>
          <w:szCs w:val="24"/>
        </w:rPr>
        <w:t>blue class (Class 4) forms the most densely interconnected region of the network and includes major industrial economies such as China (CHN), the United States (USA), Germany (DEU), South Korea (K</w:t>
      </w:r>
      <w:r>
        <w:rPr>
          <w:rFonts w:ascii="Times New Roman" w:eastAsia="Times New Roman" w:hAnsi="Times New Roman" w:cs="Times New Roman"/>
          <w:sz w:val="24"/>
          <w:szCs w:val="24"/>
        </w:rPr>
        <w:t xml:space="preserve">OR), Russia (RUS), Italy (ITA). </w:t>
      </w:r>
      <w:r w:rsidRPr="00952A9F">
        <w:rPr>
          <w:rFonts w:ascii="Times New Roman" w:eastAsia="Times New Roman" w:hAnsi="Times New Roman" w:cs="Times New Roman"/>
          <w:sz w:val="24"/>
          <w:szCs w:val="24"/>
        </w:rPr>
        <w:t xml:space="preserve">These countries exhibit extensive incoming and outgoing trade connections, suggesting that they function as the principal hubs of embodied carbon exchange. The high concentration of edges among these countries indicates that they are strongly integrated into global production networks, simultaneously acting as major exporters and importers of carbon-intensive goods. Their central position implies high structural importance because they facilitate carbon flows between many other countries. This class therefore represents the </w:t>
      </w:r>
      <w:r w:rsidRPr="00952A9F">
        <w:rPr>
          <w:rFonts w:ascii="Times New Roman" w:eastAsia="Times New Roman" w:hAnsi="Times New Roman" w:cs="Times New Roman"/>
          <w:bCs/>
          <w:sz w:val="24"/>
          <w:szCs w:val="24"/>
        </w:rPr>
        <w:t>global carbon trade core</w:t>
      </w:r>
      <w:r w:rsidRPr="00952A9F">
        <w:rPr>
          <w:rFonts w:ascii="Times New Roman" w:eastAsia="Times New Roman" w:hAnsi="Times New Roman" w:cs="Times New Roman"/>
          <w:sz w:val="24"/>
          <w:szCs w:val="24"/>
        </w:rPr>
        <w:t xml:space="preserve">, where economic size, industrial capacity, and diversified trade relationships generate high network centrality. </w:t>
      </w:r>
      <w:r w:rsidRPr="00952A9F">
        <w:rPr>
          <w:rFonts w:ascii="Times New Roman" w:eastAsia="Times New Roman" w:hAnsi="Times New Roman" w:cs="Times New Roman"/>
          <w:color w:val="1F1F1F"/>
          <w:sz w:val="24"/>
          <w:szCs w:val="24"/>
        </w:rPr>
        <w:t>Class 4 occupies the highest structural hierarchy with the largest degree centrality, the highest eigenvector centrality, and maximum intra-block edge probability. These six industrial powerhouses a</w:t>
      </w:r>
      <w:r>
        <w:rPr>
          <w:rFonts w:ascii="Times New Roman" w:eastAsia="Times New Roman" w:hAnsi="Times New Roman" w:cs="Times New Roman"/>
          <w:color w:val="1F1F1F"/>
          <w:sz w:val="24"/>
          <w:szCs w:val="24"/>
        </w:rPr>
        <w:t>ct as the global gravity wells</w:t>
      </w:r>
      <w:r w:rsidRPr="00952A9F">
        <w:rPr>
          <w:rFonts w:ascii="Times New Roman" w:eastAsia="Times New Roman" w:hAnsi="Times New Roman" w:cs="Times New Roman"/>
          <w:color w:val="1F1F1F"/>
          <w:sz w:val="24"/>
          <w:szCs w:val="24"/>
        </w:rPr>
        <w:t xml:space="preserve"> of carbon trade. They maintain dense bidirectional links among themselves and serve as the primary destination or origin for trade flows across every other block in the global system.</w:t>
      </w:r>
    </w:p>
    <w:p w:rsidR="00715C3D" w:rsidRDefault="00715C3D" w:rsidP="005B5879">
      <w:pPr>
        <w:spacing w:before="100" w:beforeAutospacing="1" w:after="100" w:afterAutospacing="1" w:line="240" w:lineRule="auto"/>
        <w:ind w:left="-426" w:right="-421"/>
        <w:jc w:val="both"/>
        <w:outlineLvl w:val="1"/>
        <w:rPr>
          <w:rFonts w:ascii="Times New Roman" w:eastAsia="Times New Roman" w:hAnsi="Times New Roman" w:cs="Times New Roman"/>
          <w:b/>
          <w:bCs/>
          <w:sz w:val="24"/>
          <w:szCs w:val="24"/>
        </w:rPr>
      </w:pPr>
      <w:r w:rsidRPr="00371A70">
        <w:rPr>
          <w:rFonts w:ascii="Times New Roman" w:eastAsia="Times New Roman" w:hAnsi="Times New Roman" w:cs="Times New Roman"/>
          <w:bCs/>
          <w:color w:val="1F1F1F"/>
          <w:sz w:val="24"/>
          <w:szCs w:val="24"/>
          <w:bdr w:val="none" w:sz="0" w:space="0" w:color="auto" w:frame="1"/>
        </w:rPr>
        <w:t>High Prominence</w:t>
      </w:r>
      <w:r w:rsidRPr="00371A70">
        <w:rPr>
          <w:rFonts w:ascii="Times New Roman" w:eastAsia="Times New Roman" w:hAnsi="Times New Roman" w:cs="Times New Roman"/>
          <w:bCs/>
          <w:sz w:val="24"/>
          <w:szCs w:val="24"/>
        </w:rPr>
        <w:t xml:space="preserve"> orange</w:t>
      </w:r>
      <w:r>
        <w:rPr>
          <w:rFonts w:ascii="Times New Roman" w:eastAsia="Times New Roman" w:hAnsi="Times New Roman" w:cs="Times New Roman"/>
          <w:b/>
          <w:bCs/>
          <w:sz w:val="24"/>
          <w:szCs w:val="24"/>
        </w:rPr>
        <w:t xml:space="preserve"> </w:t>
      </w:r>
      <w:r w:rsidRPr="00371A70">
        <w:rPr>
          <w:rFonts w:ascii="Times New Roman" w:eastAsia="Times New Roman" w:hAnsi="Times New Roman" w:cs="Times New Roman"/>
          <w:bCs/>
          <w:sz w:val="24"/>
          <w:szCs w:val="24"/>
        </w:rPr>
        <w:t xml:space="preserve">(Class 2) </w:t>
      </w:r>
      <w:r w:rsidRPr="00371A70">
        <w:rPr>
          <w:rFonts w:ascii="Times New Roman" w:eastAsia="Times New Roman" w:hAnsi="Times New Roman" w:cs="Times New Roman"/>
          <w:sz w:val="24"/>
          <w:szCs w:val="24"/>
        </w:rPr>
        <w:t>countries</w:t>
      </w:r>
      <w:r w:rsidRPr="005848F8">
        <w:rPr>
          <w:rFonts w:ascii="Times New Roman" w:eastAsia="Times New Roman" w:hAnsi="Times New Roman" w:cs="Times New Roman"/>
          <w:sz w:val="24"/>
          <w:szCs w:val="24"/>
        </w:rPr>
        <w:t xml:space="preserve"> such as </w:t>
      </w:r>
      <w:r w:rsidRPr="005848F8">
        <w:rPr>
          <w:rFonts w:ascii="Times New Roman" w:eastAsia="Times New Roman" w:hAnsi="Times New Roman" w:cs="Times New Roman"/>
          <w:bCs/>
          <w:sz w:val="24"/>
          <w:szCs w:val="24"/>
        </w:rPr>
        <w:t>Japan (JPN), Thailand (THA), Canada (CAN), Poland (POL),</w:t>
      </w:r>
      <w:r w:rsidRPr="00371A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Hungary (HUN)</w:t>
      </w:r>
      <w:r w:rsidRPr="005848F8">
        <w:rPr>
          <w:rFonts w:ascii="Times New Roman" w:eastAsia="Times New Roman" w:hAnsi="Times New Roman" w:cs="Times New Roman"/>
          <w:bCs/>
          <w:sz w:val="24"/>
          <w:szCs w:val="24"/>
        </w:rPr>
        <w:t xml:space="preserve"> and the Czech Republic (CZE)</w:t>
      </w:r>
      <w:r w:rsidRPr="005848F8">
        <w:rPr>
          <w:rFonts w:ascii="Times New Roman" w:eastAsia="Times New Roman" w:hAnsi="Times New Roman" w:cs="Times New Roman"/>
          <w:sz w:val="24"/>
          <w:szCs w:val="24"/>
        </w:rPr>
        <w:t xml:space="preserve"> maintain strong interactions with the blue core while also connecting to peripheral countries. Their position suggests that they serve as </w:t>
      </w:r>
      <w:r w:rsidRPr="005848F8">
        <w:rPr>
          <w:rFonts w:ascii="Times New Roman" w:eastAsia="Times New Roman" w:hAnsi="Times New Roman" w:cs="Times New Roman"/>
          <w:bCs/>
          <w:sz w:val="24"/>
          <w:szCs w:val="24"/>
        </w:rPr>
        <w:t>intermediate connectors</w:t>
      </w:r>
      <w:r w:rsidRPr="005848F8">
        <w:rPr>
          <w:rFonts w:ascii="Times New Roman" w:eastAsia="Times New Roman" w:hAnsi="Times New Roman" w:cs="Times New Roman"/>
          <w:sz w:val="24"/>
          <w:szCs w:val="24"/>
        </w:rPr>
        <w:t>, supporting regional and global supply chains without dominating the network. Rather than acting as global hubs, these countries facilitate carbon transfers between the central economies and smaller trading partners</w:t>
      </w:r>
      <w:r w:rsidRPr="00371A70">
        <w:rPr>
          <w:rFonts w:ascii="Times New Roman" w:eastAsia="Times New Roman" w:hAnsi="Times New Roman" w:cs="Times New Roman"/>
          <w:sz w:val="24"/>
          <w:szCs w:val="24"/>
        </w:rPr>
        <w:t xml:space="preserve">.  </w:t>
      </w:r>
      <w:r w:rsidRPr="00371A70">
        <w:rPr>
          <w:rFonts w:ascii="Times New Roman" w:eastAsia="Times New Roman" w:hAnsi="Times New Roman" w:cs="Times New Roman"/>
          <w:color w:val="1F1F1F"/>
          <w:sz w:val="24"/>
          <w:szCs w:val="24"/>
        </w:rPr>
        <w:t xml:space="preserve">These nations directly orbit the central Blue core, forming an indispensable inner ring. They possess high trading capacity and function as vital </w:t>
      </w:r>
      <w:r w:rsidRPr="00371A70">
        <w:rPr>
          <w:rFonts w:ascii="Times New Roman" w:eastAsia="Times New Roman" w:hAnsi="Times New Roman" w:cs="Times New Roman"/>
          <w:bCs/>
          <w:color w:val="1F1F1F"/>
          <w:sz w:val="24"/>
          <w:szCs w:val="24"/>
          <w:bdr w:val="none" w:sz="0" w:space="0" w:color="auto" w:frame="1"/>
        </w:rPr>
        <w:t>regional transmission belts</w:t>
      </w:r>
      <w:r w:rsidRPr="00371A70">
        <w:rPr>
          <w:rFonts w:ascii="Times New Roman" w:eastAsia="Times New Roman" w:hAnsi="Times New Roman" w:cs="Times New Roman"/>
          <w:color w:val="1F1F1F"/>
          <w:sz w:val="24"/>
          <w:szCs w:val="24"/>
        </w:rPr>
        <w:t>, buffering and routing carbon-embodied flows between major continental hubs and surrounding regional partners</w:t>
      </w:r>
      <w:r w:rsidRPr="009D36F8">
        <w:rPr>
          <w:rFonts w:ascii="Times New Roman" w:eastAsia="Times New Roman" w:hAnsi="Times New Roman" w:cs="Times New Roman"/>
          <w:color w:val="1F1F1F"/>
          <w:sz w:val="24"/>
          <w:szCs w:val="24"/>
        </w:rPr>
        <w:t>.</w:t>
      </w:r>
    </w:p>
    <w:p w:rsidR="00715C3D" w:rsidRPr="00AD20C7" w:rsidRDefault="00715C3D" w:rsidP="005B5879">
      <w:pPr>
        <w:spacing w:before="100" w:beforeAutospacing="1" w:after="100" w:afterAutospacing="1" w:line="240" w:lineRule="auto"/>
        <w:ind w:left="-426" w:right="-421"/>
        <w:jc w:val="both"/>
        <w:outlineLvl w:val="1"/>
        <w:rPr>
          <w:rFonts w:ascii="Times New Roman" w:eastAsia="Times New Roman" w:hAnsi="Times New Roman" w:cs="Times New Roman"/>
          <w:b/>
          <w:bCs/>
          <w:sz w:val="24"/>
          <w:szCs w:val="24"/>
        </w:rPr>
      </w:pPr>
      <w:r w:rsidRPr="00AD20C7">
        <w:rPr>
          <w:rFonts w:ascii="Times New Roman" w:eastAsia="Times New Roman" w:hAnsi="Times New Roman" w:cs="Times New Roman"/>
          <w:bCs/>
          <w:color w:val="1F1F1F"/>
          <w:sz w:val="24"/>
          <w:szCs w:val="24"/>
          <w:bdr w:val="none" w:sz="0" w:space="0" w:color="auto" w:frame="1"/>
        </w:rPr>
        <w:t>Moderate Prominence</w:t>
      </w:r>
      <w:r w:rsidRPr="00AD20C7">
        <w:rPr>
          <w:rFonts w:ascii="Times New Roman" w:eastAsia="Times New Roman" w:hAnsi="Times New Roman" w:cs="Times New Roman"/>
          <w:bCs/>
          <w:sz w:val="24"/>
          <w:szCs w:val="24"/>
        </w:rPr>
        <w:t xml:space="preserve"> </w:t>
      </w:r>
      <w:r w:rsidRPr="00AD20C7">
        <w:rPr>
          <w:rFonts w:ascii="Times New Roman" w:eastAsia="Times New Roman" w:hAnsi="Times New Roman" w:cs="Times New Roman"/>
          <w:sz w:val="24"/>
          <w:szCs w:val="24"/>
        </w:rPr>
        <w:t xml:space="preserve">red </w:t>
      </w:r>
      <w:r w:rsidRPr="00AD20C7">
        <w:rPr>
          <w:rFonts w:ascii="Times New Roman" w:eastAsia="Times New Roman" w:hAnsi="Times New Roman" w:cs="Times New Roman"/>
          <w:bCs/>
          <w:sz w:val="24"/>
          <w:szCs w:val="24"/>
        </w:rPr>
        <w:t xml:space="preserve">(Class 1) </w:t>
      </w:r>
      <w:r w:rsidRPr="00AD20C7">
        <w:rPr>
          <w:rFonts w:ascii="Times New Roman" w:eastAsia="Times New Roman" w:hAnsi="Times New Roman" w:cs="Times New Roman"/>
          <w:sz w:val="24"/>
          <w:szCs w:val="24"/>
        </w:rPr>
        <w:t>contains</w:t>
      </w:r>
      <w:r w:rsidRPr="005848F8">
        <w:rPr>
          <w:rFonts w:ascii="Times New Roman" w:eastAsia="Times New Roman" w:hAnsi="Times New Roman" w:cs="Times New Roman"/>
          <w:sz w:val="24"/>
          <w:szCs w:val="24"/>
        </w:rPr>
        <w:t xml:space="preserve"> countries including </w:t>
      </w:r>
      <w:r w:rsidRPr="005848F8">
        <w:rPr>
          <w:rFonts w:ascii="Times New Roman" w:eastAsia="Times New Roman" w:hAnsi="Times New Roman" w:cs="Times New Roman"/>
          <w:bCs/>
          <w:sz w:val="24"/>
          <w:szCs w:val="24"/>
        </w:rPr>
        <w:t>Mexico (MEX), Saudi Arabia (SAU), Bahrain (BHR), Iran (IRN), Ukraine (UKR), and Slovakia (SVK).</w:t>
      </w:r>
      <w:r w:rsidRPr="005848F8">
        <w:rPr>
          <w:rFonts w:ascii="Times New Roman" w:eastAsia="Times New Roman" w:hAnsi="Times New Roman" w:cs="Times New Roman"/>
          <w:sz w:val="24"/>
          <w:szCs w:val="24"/>
        </w:rPr>
        <w:t xml:space="preserve"> These countries occupy intermediate-to-peripheral positions with fewer overall connections than the core. Their trade relationships appear concentrated toward major economies rather than broadly diversified across the network. Several of these countries are major exporters of energy resources or specialized manufactured products, indicating that their importance derives from strategic bilateral trade rather than widespread network connectivity.</w:t>
      </w:r>
      <w:r>
        <w:rPr>
          <w:rFonts w:ascii="Times New Roman" w:eastAsia="Times New Roman" w:hAnsi="Times New Roman" w:cs="Times New Roman"/>
          <w:sz w:val="24"/>
          <w:szCs w:val="24"/>
        </w:rPr>
        <w:t xml:space="preserve"> </w:t>
      </w:r>
      <w:r w:rsidRPr="009D36F8">
        <w:rPr>
          <w:rFonts w:ascii="Times New Roman" w:eastAsia="Times New Roman" w:hAnsi="Times New Roman" w:cs="Times New Roman"/>
          <w:color w:val="1F1F1F"/>
          <w:sz w:val="24"/>
          <w:szCs w:val="24"/>
        </w:rPr>
        <w:t>These nations are defined by speci</w:t>
      </w:r>
      <w:r>
        <w:rPr>
          <w:rFonts w:ascii="Times New Roman" w:eastAsia="Times New Roman" w:hAnsi="Times New Roman" w:cs="Times New Roman"/>
          <w:color w:val="1F1F1F"/>
          <w:sz w:val="24"/>
          <w:szCs w:val="24"/>
        </w:rPr>
        <w:t xml:space="preserve">alized carbon-intensive exports </w:t>
      </w:r>
      <w:r w:rsidRPr="009D36F8">
        <w:rPr>
          <w:rFonts w:ascii="Times New Roman" w:eastAsia="Times New Roman" w:hAnsi="Times New Roman" w:cs="Times New Roman"/>
          <w:color w:val="1F1F1F"/>
          <w:sz w:val="24"/>
          <w:szCs w:val="24"/>
        </w:rPr>
        <w:t>primarily fossil fuels, raw metals, or regional automotive/industrial parts. They connect inward via strong directed export vectors aimed squarely at Class 4 and Class 2 hubs.</w:t>
      </w:r>
    </w:p>
    <w:p w:rsidR="00715C3D" w:rsidRPr="00AD20C7" w:rsidRDefault="00715C3D" w:rsidP="005B5879">
      <w:pPr>
        <w:spacing w:before="100" w:beforeAutospacing="1" w:after="100" w:afterAutospacing="1" w:line="240" w:lineRule="auto"/>
        <w:ind w:left="-426" w:right="-421"/>
        <w:jc w:val="both"/>
        <w:outlineLvl w:val="1"/>
        <w:rPr>
          <w:rFonts w:ascii="Times New Roman" w:eastAsia="Times New Roman" w:hAnsi="Times New Roman" w:cs="Times New Roman"/>
          <w:b/>
          <w:bCs/>
          <w:sz w:val="24"/>
          <w:szCs w:val="24"/>
        </w:rPr>
      </w:pPr>
      <w:r w:rsidRPr="00AD20C7">
        <w:rPr>
          <w:rFonts w:ascii="Times New Roman" w:eastAsia="Times New Roman" w:hAnsi="Times New Roman" w:cs="Times New Roman"/>
          <w:bCs/>
          <w:color w:val="1F1F1F"/>
          <w:sz w:val="24"/>
          <w:szCs w:val="24"/>
          <w:bdr w:val="none" w:sz="0" w:space="0" w:color="auto" w:frame="1"/>
        </w:rPr>
        <w:t xml:space="preserve">The Least Prominent </w:t>
      </w:r>
      <w:r w:rsidRPr="00AD20C7">
        <w:rPr>
          <w:rFonts w:ascii="Times New Roman" w:eastAsia="Times New Roman" w:hAnsi="Times New Roman" w:cs="Times New Roman"/>
          <w:bCs/>
          <w:sz w:val="24"/>
          <w:szCs w:val="24"/>
        </w:rPr>
        <w:t>green</w:t>
      </w:r>
      <w:r w:rsidRPr="00AD20C7">
        <w:rPr>
          <w:rFonts w:ascii="Times New Roman" w:eastAsia="Times New Roman" w:hAnsi="Times New Roman" w:cs="Times New Roman"/>
          <w:bCs/>
          <w:color w:val="1F1F1F"/>
          <w:sz w:val="24"/>
          <w:szCs w:val="24"/>
          <w:bdr w:val="none" w:sz="0" w:space="0" w:color="auto" w:frame="1"/>
        </w:rPr>
        <w:t xml:space="preserve"> (</w:t>
      </w:r>
      <w:r w:rsidRPr="00AD20C7">
        <w:rPr>
          <w:rFonts w:ascii="Times New Roman" w:eastAsia="Times New Roman" w:hAnsi="Times New Roman" w:cs="Times New Roman"/>
          <w:bCs/>
          <w:sz w:val="24"/>
          <w:szCs w:val="24"/>
        </w:rPr>
        <w:t>Class 3)</w:t>
      </w:r>
      <w:r w:rsidRPr="005848F8">
        <w:rPr>
          <w:rFonts w:ascii="Times New Roman" w:eastAsia="Times New Roman" w:hAnsi="Times New Roman" w:cs="Times New Roman"/>
          <w:b/>
          <w:bCs/>
          <w:sz w:val="24"/>
          <w:szCs w:val="24"/>
        </w:rPr>
        <w:t xml:space="preserve"> </w:t>
      </w:r>
      <w:r w:rsidRPr="005848F8">
        <w:rPr>
          <w:rFonts w:ascii="Times New Roman" w:eastAsia="Times New Roman" w:hAnsi="Times New Roman" w:cs="Times New Roman"/>
          <w:sz w:val="24"/>
          <w:szCs w:val="24"/>
        </w:rPr>
        <w:t xml:space="preserve">consists mainly of countries located around the outer boundary of the network, including </w:t>
      </w:r>
      <w:r w:rsidRPr="005848F8">
        <w:rPr>
          <w:rFonts w:ascii="Times New Roman" w:eastAsia="Times New Roman" w:hAnsi="Times New Roman" w:cs="Times New Roman"/>
          <w:bCs/>
          <w:sz w:val="24"/>
          <w:szCs w:val="24"/>
        </w:rPr>
        <w:t>Mali (MLI), Myanmar (MMR), Nepal (NPL), Ghana (GHA), Uganda (UGA), and Cyprus (CYP).</w:t>
      </w:r>
      <w:r w:rsidRPr="005848F8">
        <w:rPr>
          <w:rFonts w:ascii="Times New Roman" w:eastAsia="Times New Roman" w:hAnsi="Times New Roman" w:cs="Times New Roman"/>
          <w:sz w:val="24"/>
          <w:szCs w:val="24"/>
        </w:rPr>
        <w:t xml:space="preserve"> These countries possess relatively few trade connections and rely heavily on relationships with central economies. Their peripheral placement suggests limited participation in global carbon-intensive production networks. Most trade involving these countries occurs through one or two major partners rather than through extensive multilateral exchange.</w:t>
      </w:r>
      <w:r>
        <w:rPr>
          <w:rFonts w:ascii="Times New Roman" w:eastAsia="Times New Roman" w:hAnsi="Times New Roman" w:cs="Times New Roman"/>
          <w:sz w:val="24"/>
          <w:szCs w:val="24"/>
        </w:rPr>
        <w:t xml:space="preserve"> </w:t>
      </w:r>
      <w:r w:rsidRPr="000107A1">
        <w:rPr>
          <w:rFonts w:ascii="Times New Roman" w:eastAsia="Times New Roman" w:hAnsi="Times New Roman" w:cs="Times New Roman"/>
          <w:color w:val="1F1F1F"/>
          <w:sz w:val="24"/>
          <w:szCs w:val="24"/>
        </w:rPr>
        <w:t xml:space="preserve">Class 3 sits at the absolute geometric margin of the layout, exhibiting near-zero intra-class </w:t>
      </w:r>
      <w:proofErr w:type="gramStart"/>
      <w:r w:rsidRPr="000107A1">
        <w:rPr>
          <w:rFonts w:ascii="Times New Roman" w:eastAsia="Times New Roman" w:hAnsi="Times New Roman" w:cs="Times New Roman"/>
          <w:color w:val="1F1F1F"/>
          <w:sz w:val="24"/>
          <w:szCs w:val="24"/>
        </w:rPr>
        <w:t>trade  and</w:t>
      </w:r>
      <w:proofErr w:type="gramEnd"/>
      <w:r w:rsidRPr="000107A1">
        <w:rPr>
          <w:rFonts w:ascii="Times New Roman" w:eastAsia="Times New Roman" w:hAnsi="Times New Roman" w:cs="Times New Roman"/>
          <w:color w:val="1F1F1F"/>
          <w:sz w:val="24"/>
          <w:szCs w:val="24"/>
        </w:rPr>
        <w:t xml:space="preserve"> the lowest overall degree connectivity.</w:t>
      </w:r>
      <w:r>
        <w:rPr>
          <w:rFonts w:ascii="Times New Roman" w:eastAsia="Times New Roman" w:hAnsi="Times New Roman" w:cs="Times New Roman"/>
          <w:color w:val="1F1F1F"/>
          <w:sz w:val="24"/>
          <w:szCs w:val="24"/>
        </w:rPr>
        <w:t xml:space="preserve"> </w:t>
      </w:r>
      <w:r w:rsidRPr="000107A1">
        <w:rPr>
          <w:rFonts w:ascii="Times New Roman" w:eastAsia="Times New Roman" w:hAnsi="Times New Roman" w:cs="Times New Roman"/>
          <w:color w:val="1F1F1F"/>
          <w:sz w:val="24"/>
          <w:szCs w:val="24"/>
        </w:rPr>
        <w:t xml:space="preserve">Comprising developing economies, island nations, or states with high domestic clean energy </w:t>
      </w:r>
      <w:r w:rsidRPr="00AD20C7">
        <w:rPr>
          <w:rFonts w:ascii="Times New Roman" w:eastAsia="Times New Roman" w:hAnsi="Times New Roman" w:cs="Times New Roman"/>
          <w:color w:val="1F1F1F"/>
          <w:sz w:val="24"/>
          <w:szCs w:val="24"/>
        </w:rPr>
        <w:t>adoption (</w:t>
      </w:r>
      <w:r w:rsidRPr="00AD20C7">
        <w:rPr>
          <w:rFonts w:ascii="Times New Roman" w:eastAsia="Times New Roman" w:hAnsi="Times New Roman" w:cs="Times New Roman"/>
          <w:bCs/>
          <w:color w:val="1F1F1F"/>
          <w:sz w:val="24"/>
          <w:szCs w:val="24"/>
          <w:bdr w:val="none" w:sz="0" w:space="0" w:color="auto" w:frame="1"/>
        </w:rPr>
        <w:t>SDG 7</w:t>
      </w:r>
      <w:r w:rsidRPr="00AD20C7">
        <w:rPr>
          <w:rFonts w:ascii="Times New Roman" w:eastAsia="Times New Roman" w:hAnsi="Times New Roman" w:cs="Times New Roman"/>
          <w:color w:val="1F1F1F"/>
          <w:sz w:val="24"/>
          <w:szCs w:val="24"/>
        </w:rPr>
        <w:t>), these</w:t>
      </w:r>
      <w:r w:rsidRPr="000107A1">
        <w:rPr>
          <w:rFonts w:ascii="Times New Roman" w:eastAsia="Times New Roman" w:hAnsi="Times New Roman" w:cs="Times New Roman"/>
          <w:color w:val="1F1F1F"/>
          <w:sz w:val="24"/>
          <w:szCs w:val="24"/>
        </w:rPr>
        <w:t xml:space="preserve"> nodes are structural "endpoints." They do not maintain regional trade loops, relying instead on sparse, single-destination export channels pointing toward central core hubs.</w:t>
      </w:r>
      <w:r>
        <w:rPr>
          <w:rFonts w:ascii="Times New Roman" w:eastAsia="Times New Roman" w:hAnsi="Times New Roman" w:cs="Times New Roman"/>
          <w:b/>
          <w:bCs/>
          <w:sz w:val="24"/>
          <w:szCs w:val="24"/>
        </w:rPr>
        <w:t xml:space="preserve"> </w:t>
      </w:r>
      <w:r w:rsidRPr="005848F8">
        <w:rPr>
          <w:rFonts w:ascii="Times New Roman" w:eastAsia="Times New Roman" w:hAnsi="Times New Roman" w:cs="Times New Roman"/>
          <w:sz w:val="24"/>
          <w:szCs w:val="24"/>
        </w:rPr>
        <w:t xml:space="preserve">This configuration is characteristic of a </w:t>
      </w:r>
      <w:r w:rsidRPr="00AD20C7">
        <w:rPr>
          <w:rFonts w:ascii="Times New Roman" w:eastAsia="Times New Roman" w:hAnsi="Times New Roman" w:cs="Times New Roman"/>
          <w:bCs/>
          <w:sz w:val="24"/>
          <w:szCs w:val="24"/>
        </w:rPr>
        <w:t>hub-and-spoke international trade system</w:t>
      </w:r>
      <w:r w:rsidRPr="005848F8">
        <w:rPr>
          <w:rFonts w:ascii="Times New Roman" w:eastAsia="Times New Roman" w:hAnsi="Times New Roman" w:cs="Times New Roman"/>
          <w:sz w:val="24"/>
          <w:szCs w:val="24"/>
        </w:rPr>
        <w:t>.</w:t>
      </w:r>
    </w:p>
    <w:p w:rsidR="00715C3D" w:rsidRPr="005848F8" w:rsidRDefault="00715C3D" w:rsidP="005B5879">
      <w:pPr>
        <w:spacing w:before="100" w:beforeAutospacing="1" w:after="100" w:afterAutospacing="1" w:line="240" w:lineRule="auto"/>
        <w:ind w:left="-426" w:right="-421"/>
        <w:outlineLvl w:val="0"/>
        <w:rPr>
          <w:rFonts w:ascii="Times New Roman" w:eastAsia="Times New Roman" w:hAnsi="Times New Roman" w:cs="Times New Roman"/>
          <w:b/>
          <w:bCs/>
          <w:kern w:val="36"/>
          <w:sz w:val="24"/>
          <w:szCs w:val="24"/>
        </w:rPr>
      </w:pPr>
      <w:r w:rsidRPr="005B5879">
        <w:rPr>
          <w:rFonts w:ascii="Times New Roman" w:eastAsia="Times New Roman" w:hAnsi="Times New Roman" w:cs="Times New Roman"/>
          <w:b/>
          <w:bCs/>
          <w:kern w:val="36"/>
          <w:sz w:val="24"/>
          <w:szCs w:val="24"/>
          <w:highlight w:val="yellow"/>
        </w:rPr>
        <w:t>2022</w:t>
      </w:r>
    </w:p>
    <w:p w:rsidR="00715C3D" w:rsidRPr="005848F8" w:rsidRDefault="00715C3D" w:rsidP="005B5879">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5848F8">
        <w:rPr>
          <w:rFonts w:ascii="Times New Roman" w:eastAsia="Times New Roman" w:hAnsi="Times New Roman" w:cs="Times New Roman"/>
          <w:sz w:val="24"/>
          <w:szCs w:val="24"/>
        </w:rPr>
        <w:lastRenderedPageBreak/>
        <w:t xml:space="preserve">By 2022, the orange class contains many dominant economies </w:t>
      </w:r>
      <w:r w:rsidRPr="00241A6C">
        <w:rPr>
          <w:rFonts w:ascii="Times New Roman" w:eastAsia="Times New Roman" w:hAnsi="Times New Roman" w:cs="Times New Roman"/>
          <w:sz w:val="24"/>
          <w:szCs w:val="24"/>
        </w:rPr>
        <w:t xml:space="preserve">including </w:t>
      </w:r>
      <w:r w:rsidRPr="00241A6C">
        <w:rPr>
          <w:rFonts w:ascii="Times New Roman" w:eastAsia="Times New Roman" w:hAnsi="Times New Roman" w:cs="Times New Roman"/>
          <w:bCs/>
          <w:sz w:val="24"/>
          <w:szCs w:val="24"/>
        </w:rPr>
        <w:t>China (CHN), India (IND), South Korea (KOR), the United States (USA), Canada (CAN), and Poland (POL).</w:t>
      </w:r>
      <w:r w:rsidRPr="00241A6C">
        <w:rPr>
          <w:rFonts w:ascii="Times New Roman" w:eastAsia="Times New Roman" w:hAnsi="Times New Roman" w:cs="Times New Roman"/>
          <w:sz w:val="24"/>
          <w:szCs w:val="24"/>
        </w:rPr>
        <w:t xml:space="preserve"> Compared with 2019, the core appears more compact and integrated. This indicates stronger</w:t>
      </w:r>
      <w:r w:rsidRPr="005848F8">
        <w:rPr>
          <w:rFonts w:ascii="Times New Roman" w:eastAsia="Times New Roman" w:hAnsi="Times New Roman" w:cs="Times New Roman"/>
          <w:sz w:val="24"/>
          <w:szCs w:val="24"/>
        </w:rPr>
        <w:t xml:space="preserve"> interactions among the world's largest manufacturing economies following recovery from the COVID-19 pandemic. Increased trade intensity among these countries suggests renewed integration of global supply chains.</w:t>
      </w:r>
    </w:p>
    <w:p w:rsidR="00715C3D" w:rsidRPr="00241A6C" w:rsidRDefault="00715C3D" w:rsidP="005B5879">
      <w:pPr>
        <w:spacing w:before="100" w:beforeAutospacing="1" w:after="100" w:afterAutospacing="1" w:line="240" w:lineRule="auto"/>
        <w:ind w:left="-426" w:right="-421"/>
        <w:jc w:val="both"/>
        <w:outlineLvl w:val="1"/>
        <w:rPr>
          <w:rFonts w:ascii="Times New Roman" w:eastAsia="Times New Roman" w:hAnsi="Times New Roman" w:cs="Times New Roman"/>
          <w:b/>
          <w:bCs/>
          <w:sz w:val="24"/>
          <w:szCs w:val="24"/>
        </w:rPr>
      </w:pPr>
      <w:r w:rsidRPr="00241A6C">
        <w:rPr>
          <w:rFonts w:ascii="Times New Roman" w:eastAsia="Times New Roman" w:hAnsi="Times New Roman" w:cs="Times New Roman"/>
          <w:bCs/>
          <w:sz w:val="24"/>
          <w:szCs w:val="24"/>
        </w:rPr>
        <w:t xml:space="preserve">Blue class </w:t>
      </w:r>
      <w:r w:rsidRPr="00241A6C">
        <w:rPr>
          <w:rFonts w:ascii="Times New Roman" w:eastAsia="Times New Roman" w:hAnsi="Times New Roman" w:cs="Times New Roman"/>
          <w:sz w:val="24"/>
          <w:szCs w:val="24"/>
        </w:rPr>
        <w:t>countries</w:t>
      </w:r>
      <w:r w:rsidRPr="005848F8">
        <w:rPr>
          <w:rFonts w:ascii="Times New Roman" w:eastAsia="Times New Roman" w:hAnsi="Times New Roman" w:cs="Times New Roman"/>
          <w:sz w:val="24"/>
          <w:szCs w:val="24"/>
        </w:rPr>
        <w:t xml:space="preserve"> </w:t>
      </w:r>
      <w:r w:rsidRPr="00241A6C">
        <w:rPr>
          <w:rFonts w:ascii="Times New Roman" w:eastAsia="Times New Roman" w:hAnsi="Times New Roman" w:cs="Times New Roman"/>
          <w:sz w:val="24"/>
          <w:szCs w:val="24"/>
        </w:rPr>
        <w:t xml:space="preserve">including </w:t>
      </w:r>
      <w:r w:rsidRPr="00241A6C">
        <w:rPr>
          <w:rFonts w:ascii="Times New Roman" w:eastAsia="Times New Roman" w:hAnsi="Times New Roman" w:cs="Times New Roman"/>
          <w:bCs/>
          <w:sz w:val="24"/>
          <w:szCs w:val="24"/>
        </w:rPr>
        <w:t>Japan (JPN), Germany (DEU), Hungary (HUN), Czech Republic (CZE), Egypt (EGY), and Thailand (THA)</w:t>
      </w:r>
      <w:r w:rsidRPr="005848F8">
        <w:rPr>
          <w:rFonts w:ascii="Times New Roman" w:eastAsia="Times New Roman" w:hAnsi="Times New Roman" w:cs="Times New Roman"/>
          <w:sz w:val="24"/>
          <w:szCs w:val="24"/>
        </w:rPr>
        <w:t xml:space="preserve"> form another highly connected block.</w:t>
      </w:r>
      <w:r>
        <w:rPr>
          <w:rFonts w:ascii="Times New Roman" w:eastAsia="Times New Roman" w:hAnsi="Times New Roman" w:cs="Times New Roman"/>
          <w:sz w:val="24"/>
          <w:szCs w:val="24"/>
        </w:rPr>
        <w:t xml:space="preserve"> </w:t>
      </w:r>
      <w:r w:rsidRPr="005848F8">
        <w:rPr>
          <w:rFonts w:ascii="Times New Roman" w:eastAsia="Times New Roman" w:hAnsi="Times New Roman" w:cs="Times New Roman"/>
          <w:sz w:val="24"/>
          <w:szCs w:val="24"/>
        </w:rPr>
        <w:t>These countries remain close to the network center and continue functioning as important intermediaries connecting the core with regional partners</w:t>
      </w:r>
      <w:r>
        <w:rPr>
          <w:rFonts w:ascii="Times New Roman" w:eastAsia="Times New Roman" w:hAnsi="Times New Roman" w:cs="Times New Roman"/>
          <w:sz w:val="24"/>
          <w:szCs w:val="24"/>
        </w:rPr>
        <w:t xml:space="preserve"> also mirroring the structural definition of orange class</w:t>
      </w:r>
      <w:r w:rsidRPr="005848F8">
        <w:rPr>
          <w:rFonts w:ascii="Times New Roman" w:eastAsia="Times New Roman" w:hAnsi="Times New Roman" w:cs="Times New Roman"/>
          <w:sz w:val="24"/>
          <w:szCs w:val="24"/>
        </w:rPr>
        <w:t>.</w:t>
      </w:r>
    </w:p>
    <w:p w:rsidR="00715C3D" w:rsidRPr="005848F8" w:rsidRDefault="00715C3D" w:rsidP="005B5879">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5848F8">
        <w:rPr>
          <w:rFonts w:ascii="Times New Roman" w:eastAsia="Times New Roman" w:hAnsi="Times New Roman" w:cs="Times New Roman"/>
          <w:sz w:val="24"/>
          <w:szCs w:val="24"/>
        </w:rPr>
        <w:t xml:space="preserve">The green class now includes countries such as </w:t>
      </w:r>
      <w:r w:rsidRPr="005848F8">
        <w:rPr>
          <w:rFonts w:ascii="Times New Roman" w:eastAsia="Times New Roman" w:hAnsi="Times New Roman" w:cs="Times New Roman"/>
          <w:bCs/>
          <w:sz w:val="24"/>
          <w:szCs w:val="24"/>
        </w:rPr>
        <w:t>Australia (AUS), Argentina (ARG), Colombia (COL), Mexico (MEX), Slovenia (SVN), and the United Arab Emirates (ARE).</w:t>
      </w:r>
      <w:r w:rsidRPr="005848F8">
        <w:rPr>
          <w:rFonts w:ascii="Times New Roman" w:eastAsia="Times New Roman" w:hAnsi="Times New Roman" w:cs="Times New Roman"/>
          <w:sz w:val="24"/>
          <w:szCs w:val="24"/>
        </w:rPr>
        <w:t xml:space="preserve"> Unlike 2019, several economically significant countries have shifted into this group. Their closer proximity to the network center suggests increasing integration into international carbon trade, particularly through regional production systems and expanding trade partnerships. Australia</w:t>
      </w:r>
      <w:r>
        <w:rPr>
          <w:rFonts w:ascii="Times New Roman" w:eastAsia="Times New Roman" w:hAnsi="Times New Roman" w:cs="Times New Roman"/>
          <w:sz w:val="24"/>
          <w:szCs w:val="24"/>
        </w:rPr>
        <w:t>, Mexico</w:t>
      </w:r>
      <w:r w:rsidRPr="005848F8">
        <w:rPr>
          <w:rFonts w:ascii="Times New Roman" w:eastAsia="Times New Roman" w:hAnsi="Times New Roman" w:cs="Times New Roman"/>
          <w:sz w:val="24"/>
          <w:szCs w:val="24"/>
        </w:rPr>
        <w:t xml:space="preserve"> and the UAE, for example, appear to serve as bridges between regional markets and the global trading core.</w:t>
      </w:r>
    </w:p>
    <w:p w:rsidR="00715C3D" w:rsidRPr="005848F8" w:rsidRDefault="00715C3D" w:rsidP="005B5879">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5848F8">
        <w:rPr>
          <w:rFonts w:ascii="Times New Roman" w:eastAsia="Times New Roman" w:hAnsi="Times New Roman" w:cs="Times New Roman"/>
          <w:sz w:val="24"/>
          <w:szCs w:val="24"/>
        </w:rPr>
        <w:t xml:space="preserve">The red class contains countries such as </w:t>
      </w:r>
      <w:r w:rsidRPr="005848F8">
        <w:rPr>
          <w:rFonts w:ascii="Times New Roman" w:eastAsia="Times New Roman" w:hAnsi="Times New Roman" w:cs="Times New Roman"/>
          <w:bCs/>
          <w:sz w:val="24"/>
          <w:szCs w:val="24"/>
        </w:rPr>
        <w:t>Suriname (SUR), Ghana (GHA), Djibouti (DJI), Tanzania (TZA), Cyprus (CYP), and the Dominican Republic (DOM).</w:t>
      </w:r>
      <w:r w:rsidRPr="005848F8">
        <w:rPr>
          <w:rFonts w:ascii="Times New Roman" w:eastAsia="Times New Roman" w:hAnsi="Times New Roman" w:cs="Times New Roman"/>
          <w:sz w:val="24"/>
          <w:szCs w:val="24"/>
        </w:rPr>
        <w:t xml:space="preserve"> These countries remain positioned on the outer boundary with relatively few direct trade relationships. Their peripheral placement indicates continued dependence on larger economies for participation in embodied carbon trade.</w:t>
      </w:r>
    </w:p>
    <w:p w:rsidR="00715C3D" w:rsidRPr="005848F8" w:rsidRDefault="00715C3D" w:rsidP="005B5879">
      <w:pPr>
        <w:spacing w:before="100" w:beforeAutospacing="1" w:after="0" w:line="240" w:lineRule="auto"/>
        <w:ind w:left="-426" w:right="-421"/>
        <w:outlineLvl w:val="2"/>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highlight w:val="yellow"/>
        </w:rPr>
        <w:t>Verif</w:t>
      </w:r>
      <w:r w:rsidRPr="005848F8">
        <w:rPr>
          <w:rFonts w:ascii="Times New Roman" w:eastAsia="Times New Roman" w:hAnsi="Times New Roman" w:cs="Times New Roman"/>
          <w:b/>
          <w:bCs/>
          <w:color w:val="1F1F1F"/>
          <w:sz w:val="24"/>
          <w:szCs w:val="24"/>
          <w:highlight w:val="yellow"/>
        </w:rPr>
        <w:t>ied 2022 SBM Latent Class Mapping</w:t>
      </w:r>
    </w:p>
    <w:p w:rsidR="00715C3D" w:rsidRPr="00715C3D" w:rsidRDefault="00715C3D" w:rsidP="005B5879">
      <w:pPr>
        <w:spacing w:before="100" w:beforeAutospacing="1" w:after="0" w:line="240" w:lineRule="auto"/>
        <w:ind w:left="-426" w:right="-421"/>
        <w:jc w:val="both"/>
        <w:outlineLvl w:val="2"/>
        <w:rPr>
          <w:rFonts w:ascii="Times New Roman" w:eastAsia="Times New Roman" w:hAnsi="Times New Roman" w:cs="Times New Roman"/>
          <w:bCs/>
          <w:color w:val="1F1F1F"/>
          <w:sz w:val="24"/>
          <w:szCs w:val="24"/>
        </w:rPr>
      </w:pPr>
      <w:r w:rsidRPr="00715C3D">
        <w:rPr>
          <w:rFonts w:ascii="Times New Roman" w:eastAsia="Times New Roman" w:hAnsi="Times New Roman" w:cs="Times New Roman"/>
          <w:color w:val="1F1F1F"/>
          <w:sz w:val="24"/>
          <w:szCs w:val="24"/>
        </w:rPr>
        <w:t xml:space="preserve">In 2022, the network establishes a clear operational division between the </w:t>
      </w:r>
      <w:r w:rsidRPr="00715C3D">
        <w:rPr>
          <w:rFonts w:ascii="Times New Roman" w:eastAsia="Times New Roman" w:hAnsi="Times New Roman" w:cs="Times New Roman"/>
          <w:bCs/>
          <w:color w:val="1F1F1F"/>
          <w:sz w:val="24"/>
          <w:szCs w:val="24"/>
          <w:bdr w:val="none" w:sz="0" w:space="0" w:color="auto" w:frame="1"/>
        </w:rPr>
        <w:t xml:space="preserve">Orange Class 2 </w:t>
      </w:r>
      <w:r w:rsidRPr="00715C3D">
        <w:rPr>
          <w:rFonts w:ascii="Times New Roman" w:eastAsia="Times New Roman" w:hAnsi="Times New Roman" w:cs="Times New Roman"/>
          <w:color w:val="1F1F1F"/>
          <w:sz w:val="24"/>
          <w:szCs w:val="24"/>
        </w:rPr>
        <w:t xml:space="preserve">(containing primary industrial emitters and economies like </w:t>
      </w:r>
      <w:r w:rsidRPr="00715C3D">
        <w:rPr>
          <w:rFonts w:ascii="Times New Roman" w:eastAsia="Times New Roman" w:hAnsi="Times New Roman" w:cs="Times New Roman"/>
          <w:bCs/>
          <w:color w:val="1F1F1F"/>
          <w:sz w:val="24"/>
          <w:szCs w:val="24"/>
          <w:bdr w:val="none" w:sz="0" w:space="0" w:color="auto" w:frame="1"/>
        </w:rPr>
        <w:t>USA, CHN, DEU, IND, KOR</w:t>
      </w:r>
      <w:r w:rsidRPr="00715C3D">
        <w:rPr>
          <w:rFonts w:ascii="Times New Roman" w:eastAsia="Times New Roman" w:hAnsi="Times New Roman" w:cs="Times New Roman"/>
          <w:color w:val="1F1F1F"/>
          <w:sz w:val="24"/>
          <w:szCs w:val="24"/>
        </w:rPr>
        <w:t xml:space="preserve"> and the </w:t>
      </w:r>
      <w:r w:rsidRPr="00715C3D">
        <w:rPr>
          <w:rFonts w:ascii="Times New Roman" w:eastAsia="Times New Roman" w:hAnsi="Times New Roman" w:cs="Times New Roman"/>
          <w:bCs/>
          <w:color w:val="1F1F1F"/>
          <w:sz w:val="24"/>
          <w:szCs w:val="24"/>
          <w:bdr w:val="none" w:sz="0" w:space="0" w:color="auto" w:frame="1"/>
        </w:rPr>
        <w:t>Blue Class 4 core</w:t>
      </w:r>
      <w:r w:rsidRPr="00715C3D">
        <w:rPr>
          <w:rFonts w:ascii="Times New Roman" w:eastAsia="Times New Roman" w:hAnsi="Times New Roman" w:cs="Times New Roman"/>
          <w:color w:val="1F1F1F"/>
          <w:sz w:val="24"/>
          <w:szCs w:val="24"/>
        </w:rPr>
        <w:t xml:space="preserve"> containing processing and transitor hubs like </w:t>
      </w:r>
      <w:r w:rsidRPr="00715C3D">
        <w:rPr>
          <w:rFonts w:ascii="Times New Roman" w:eastAsia="Times New Roman" w:hAnsi="Times New Roman" w:cs="Times New Roman"/>
          <w:bCs/>
          <w:color w:val="1F1F1F"/>
          <w:sz w:val="24"/>
          <w:szCs w:val="24"/>
          <w:bdr w:val="none" w:sz="0" w:space="0" w:color="auto" w:frame="1"/>
        </w:rPr>
        <w:t>CAN, JPN, CZE, THA, HUN, EGY</w:t>
      </w:r>
      <w:r w:rsidRPr="00715C3D">
        <w:rPr>
          <w:rFonts w:ascii="Times New Roman" w:eastAsia="Times New Roman" w:hAnsi="Times New Roman" w:cs="Times New Roman"/>
          <w:color w:val="1F1F1F"/>
          <w:sz w:val="24"/>
          <w:szCs w:val="24"/>
        </w:rPr>
        <w:t>. The heavy manufacturing engines supply and interface directly with the Blue central processing hubs.</w:t>
      </w:r>
      <w:r>
        <w:rPr>
          <w:rFonts w:ascii="Times New Roman" w:eastAsia="Times New Roman" w:hAnsi="Times New Roman" w:cs="Times New Roman"/>
          <w:bCs/>
          <w:color w:val="1F1F1F"/>
          <w:sz w:val="24"/>
          <w:szCs w:val="24"/>
        </w:rPr>
        <w:t xml:space="preserve"> </w:t>
      </w:r>
      <w:r w:rsidRPr="00715C3D">
        <w:rPr>
          <w:rFonts w:ascii="Times New Roman" w:eastAsia="Times New Roman" w:hAnsi="Times New Roman" w:cs="Times New Roman"/>
          <w:color w:val="1F1F1F"/>
          <w:sz w:val="24"/>
          <w:szCs w:val="24"/>
        </w:rPr>
        <w:t xml:space="preserve">Economies like </w:t>
      </w:r>
      <w:r>
        <w:rPr>
          <w:rFonts w:ascii="Times New Roman" w:eastAsia="Times New Roman" w:hAnsi="Times New Roman" w:cs="Times New Roman"/>
          <w:bCs/>
          <w:color w:val="1F1F1F"/>
          <w:sz w:val="24"/>
          <w:szCs w:val="24"/>
          <w:bdr w:val="none" w:sz="0" w:space="0" w:color="auto" w:frame="1"/>
        </w:rPr>
        <w:t xml:space="preserve">Mexico </w:t>
      </w:r>
      <w:r w:rsidRPr="00715C3D">
        <w:rPr>
          <w:rFonts w:ascii="Times New Roman" w:eastAsia="Times New Roman" w:hAnsi="Times New Roman" w:cs="Times New Roman"/>
          <w:bCs/>
          <w:color w:val="1F1F1F"/>
          <w:sz w:val="24"/>
          <w:szCs w:val="24"/>
          <w:bdr w:val="none" w:sz="0" w:space="0" w:color="auto" w:frame="1"/>
        </w:rPr>
        <w:t>MEX</w:t>
      </w:r>
      <w:r w:rsidRPr="00715C3D">
        <w:rPr>
          <w:rFonts w:ascii="Times New Roman" w:eastAsia="Times New Roman" w:hAnsi="Times New Roman" w:cs="Times New Roman"/>
          <w:color w:val="1F1F1F"/>
          <w:sz w:val="24"/>
          <w:szCs w:val="24"/>
        </w:rPr>
        <w:t xml:space="preserve">, </w:t>
      </w:r>
      <w:r w:rsidRPr="00715C3D">
        <w:rPr>
          <w:rFonts w:ascii="Times New Roman" w:eastAsia="Times New Roman" w:hAnsi="Times New Roman" w:cs="Times New Roman"/>
          <w:bCs/>
          <w:color w:val="1F1F1F"/>
          <w:sz w:val="24"/>
          <w:szCs w:val="24"/>
          <w:bdr w:val="none" w:sz="0" w:space="0" w:color="auto" w:frame="1"/>
        </w:rPr>
        <w:t>AUS</w:t>
      </w:r>
      <w:r w:rsidRPr="00715C3D">
        <w:rPr>
          <w:rFonts w:ascii="Times New Roman" w:eastAsia="Times New Roman" w:hAnsi="Times New Roman" w:cs="Times New Roman"/>
          <w:color w:val="1F1F1F"/>
          <w:sz w:val="24"/>
          <w:szCs w:val="24"/>
        </w:rPr>
        <w:t xml:space="preserve">, and </w:t>
      </w:r>
      <w:r w:rsidRPr="00715C3D">
        <w:rPr>
          <w:rFonts w:ascii="Times New Roman" w:eastAsia="Times New Roman" w:hAnsi="Times New Roman" w:cs="Times New Roman"/>
          <w:bCs/>
          <w:color w:val="1F1F1F"/>
          <w:sz w:val="24"/>
          <w:szCs w:val="24"/>
          <w:bdr w:val="none" w:sz="0" w:space="0" w:color="auto" w:frame="1"/>
        </w:rPr>
        <w:t>ARE</w:t>
      </w:r>
      <w:r w:rsidRPr="00715C3D">
        <w:rPr>
          <w:rFonts w:ascii="Times New Roman" w:eastAsia="Times New Roman" w:hAnsi="Times New Roman" w:cs="Times New Roman"/>
          <w:color w:val="1F1F1F"/>
          <w:sz w:val="24"/>
          <w:szCs w:val="24"/>
        </w:rPr>
        <w:t xml:space="preserve"> moved into the </w:t>
      </w:r>
      <w:r w:rsidRPr="00715C3D">
        <w:rPr>
          <w:rFonts w:ascii="Times New Roman" w:eastAsia="Times New Roman" w:hAnsi="Times New Roman" w:cs="Times New Roman"/>
          <w:bCs/>
          <w:color w:val="1F1F1F"/>
          <w:sz w:val="24"/>
          <w:szCs w:val="24"/>
          <w:bdr w:val="none" w:sz="0" w:space="0" w:color="auto" w:frame="1"/>
        </w:rPr>
        <w:t>Green Class 3</w:t>
      </w:r>
      <w:r w:rsidRPr="00715C3D">
        <w:rPr>
          <w:rFonts w:ascii="Times New Roman" w:eastAsia="Times New Roman" w:hAnsi="Times New Roman" w:cs="Times New Roman"/>
          <w:color w:val="1F1F1F"/>
          <w:sz w:val="24"/>
          <w:szCs w:val="24"/>
        </w:rPr>
        <w:t xml:space="preserve"> block, forming an active protective shield around the core. This reflects post-pandemic supply chain near shoring and regionalization.</w:t>
      </w:r>
      <w:r>
        <w:rPr>
          <w:rFonts w:ascii="Times New Roman" w:eastAsia="Times New Roman" w:hAnsi="Times New Roman" w:cs="Times New Roman"/>
          <w:color w:val="1F1F1F"/>
          <w:sz w:val="24"/>
          <w:szCs w:val="24"/>
        </w:rPr>
        <w:t xml:space="preserve"> </w:t>
      </w:r>
      <w:r w:rsidRPr="005848F8">
        <w:rPr>
          <w:rFonts w:ascii="Times New Roman" w:eastAsia="Times New Roman" w:hAnsi="Times New Roman" w:cs="Times New Roman"/>
          <w:color w:val="1F1F1F"/>
          <w:sz w:val="24"/>
          <w:szCs w:val="24"/>
        </w:rPr>
        <w:t xml:space="preserve">Developing peripheral nations </w:t>
      </w:r>
      <w:r>
        <w:rPr>
          <w:rFonts w:ascii="Times New Roman" w:eastAsia="Times New Roman" w:hAnsi="Times New Roman" w:cs="Times New Roman"/>
          <w:color w:val="1F1F1F"/>
          <w:sz w:val="24"/>
          <w:szCs w:val="24"/>
        </w:rPr>
        <w:t xml:space="preserve">including </w:t>
      </w:r>
      <w:r w:rsidRPr="00715C3D">
        <w:rPr>
          <w:rFonts w:ascii="Times New Roman" w:eastAsia="Times New Roman" w:hAnsi="Times New Roman" w:cs="Times New Roman"/>
          <w:bCs/>
          <w:color w:val="1F1F1F"/>
          <w:sz w:val="24"/>
          <w:szCs w:val="24"/>
          <w:bdr w:val="none" w:sz="0" w:space="0" w:color="auto" w:frame="1"/>
        </w:rPr>
        <w:t>SUR, GHA, DOM, TZA, DJI</w:t>
      </w:r>
      <w:r w:rsidRPr="005848F8">
        <w:rPr>
          <w:rFonts w:ascii="Times New Roman" w:eastAsia="Times New Roman" w:hAnsi="Times New Roman" w:cs="Times New Roman"/>
          <w:color w:val="1F1F1F"/>
          <w:sz w:val="24"/>
          <w:szCs w:val="24"/>
        </w:rPr>
        <w:t xml:space="preserve"> remain along the outer margins. Their lack of internal trade and strict reliance on one-way outbound vectors to central hubs confirm that post-crisis recovery reinforced a centralized, disassortative global trade hierarchy.</w:t>
      </w:r>
    </w:p>
    <w:p w:rsidR="00715C3D" w:rsidRPr="005848F8" w:rsidRDefault="00715C3D" w:rsidP="005B5879">
      <w:pPr>
        <w:spacing w:before="100" w:beforeAutospacing="1" w:after="0" w:line="240" w:lineRule="auto"/>
        <w:ind w:left="-426" w:right="-421"/>
        <w:rPr>
          <w:rFonts w:ascii="Times New Roman" w:eastAsia="Times New Roman" w:hAnsi="Times New Roman" w:cs="Times New Roman"/>
          <w:color w:val="1F1F1F"/>
          <w:sz w:val="24"/>
          <w:szCs w:val="24"/>
        </w:rPr>
      </w:pPr>
      <w:r w:rsidRPr="005848F8">
        <w:rPr>
          <w:rFonts w:ascii="Times New Roman" w:eastAsia="Times New Roman" w:hAnsi="Times New Roman" w:cs="Times New Roman"/>
          <w:b/>
          <w:bCs/>
          <w:color w:val="1F1F1F"/>
          <w:sz w:val="24"/>
          <w:szCs w:val="24"/>
          <w:highlight w:val="yellow"/>
          <w:bdr w:val="none" w:sz="0" w:space="0" w:color="auto" w:frame="1"/>
        </w:rPr>
        <w:t xml:space="preserve">Yes, </w:t>
      </w:r>
    </w:p>
    <w:p w:rsidR="00715C3D" w:rsidRPr="00715C3D" w:rsidRDefault="00715C3D" w:rsidP="005B5879">
      <w:pPr>
        <w:spacing w:before="100" w:beforeAutospacing="1" w:after="0" w:line="240" w:lineRule="auto"/>
        <w:ind w:left="-426" w:right="-421"/>
        <w:jc w:val="both"/>
        <w:outlineLvl w:val="2"/>
        <w:rPr>
          <w:rFonts w:ascii="Times New Roman" w:eastAsia="Times New Roman" w:hAnsi="Times New Roman" w:cs="Times New Roman"/>
          <w:bCs/>
          <w:color w:val="1F1F1F"/>
          <w:sz w:val="24"/>
          <w:szCs w:val="24"/>
        </w:rPr>
      </w:pPr>
      <w:r w:rsidRPr="00AD20C7">
        <w:rPr>
          <w:rFonts w:ascii="Times New Roman" w:eastAsia="Times New Roman" w:hAnsi="Times New Roman" w:cs="Times New Roman"/>
          <w:bCs/>
          <w:color w:val="1F1F1F"/>
          <w:sz w:val="24"/>
          <w:szCs w:val="24"/>
        </w:rPr>
        <w:t xml:space="preserve">The dynamic evolution of Class 3 (Green) during </w:t>
      </w:r>
      <w:r w:rsidRPr="00AD20C7">
        <w:rPr>
          <w:rFonts w:ascii="Times New Roman" w:eastAsia="Times New Roman" w:hAnsi="Times New Roman" w:cs="Times New Roman"/>
          <w:bCs/>
          <w:color w:val="1F1F1F"/>
          <w:sz w:val="24"/>
          <w:szCs w:val="24"/>
          <w:bdr w:val="none" w:sz="0" w:space="0" w:color="auto" w:frame="1"/>
        </w:rPr>
        <w:t>2019</w:t>
      </w:r>
      <w:r w:rsidRPr="00AD20C7">
        <w:rPr>
          <w:rFonts w:ascii="Times New Roman" w:eastAsia="Times New Roman" w:hAnsi="Times New Roman" w:cs="Times New Roman"/>
          <w:bCs/>
          <w:color w:val="1F1F1F"/>
          <w:sz w:val="24"/>
          <w:szCs w:val="24"/>
        </w:rPr>
        <w:t xml:space="preserve"> </w:t>
      </w:r>
      <w:proofErr w:type="gramStart"/>
      <w:r w:rsidRPr="00AD20C7">
        <w:rPr>
          <w:rFonts w:ascii="Times New Roman" w:eastAsia="Times New Roman" w:hAnsi="Times New Roman" w:cs="Times New Roman"/>
          <w:bCs/>
          <w:color w:val="1F1F1F"/>
          <w:sz w:val="24"/>
          <w:szCs w:val="24"/>
        </w:rPr>
        <w:t>consists</w:t>
      </w:r>
      <w:proofErr w:type="gramEnd"/>
      <w:r w:rsidRPr="00AD20C7">
        <w:rPr>
          <w:rFonts w:ascii="Times New Roman" w:eastAsia="Times New Roman" w:hAnsi="Times New Roman" w:cs="Times New Roman"/>
          <w:color w:val="1F1F1F"/>
          <w:sz w:val="24"/>
          <w:szCs w:val="24"/>
        </w:rPr>
        <w:t xml:space="preserve"> small developing nations / isolated traders (</w:t>
      </w:r>
      <w:r w:rsidRPr="00AD20C7">
        <w:rPr>
          <w:rFonts w:ascii="Times New Roman" w:eastAsia="Times New Roman" w:hAnsi="Times New Roman" w:cs="Times New Roman"/>
          <w:bCs/>
          <w:color w:val="1F1F1F"/>
          <w:sz w:val="24"/>
          <w:szCs w:val="24"/>
          <w:bdr w:val="none" w:sz="0" w:space="0" w:color="auto" w:frame="1"/>
        </w:rPr>
        <w:t>MMR, MLI, CYP, NPL, GHA, UGA</w:t>
      </w:r>
      <w:r w:rsidRPr="00AD20C7">
        <w:rPr>
          <w:rFonts w:ascii="Times New Roman" w:eastAsia="Times New Roman" w:hAnsi="Times New Roman" w:cs="Times New Roman"/>
          <w:color w:val="1F1F1F"/>
          <w:sz w:val="24"/>
          <w:szCs w:val="24"/>
        </w:rPr>
        <w:t xml:space="preserve">) with </w:t>
      </w:r>
      <w:r w:rsidRPr="00AD20C7">
        <w:rPr>
          <w:rFonts w:ascii="Times New Roman" w:eastAsia="Times New Roman" w:hAnsi="Times New Roman" w:cs="Times New Roman"/>
          <w:iCs/>
          <w:color w:val="1F1F1F"/>
          <w:sz w:val="24"/>
          <w:szCs w:val="24"/>
          <w:bdr w:val="none" w:sz="0" w:space="0" w:color="auto" w:frame="1"/>
        </w:rPr>
        <w:t>network sole as</w:t>
      </w:r>
      <w:r w:rsidRPr="00AD20C7">
        <w:rPr>
          <w:rFonts w:ascii="Times New Roman" w:eastAsia="Times New Roman" w:hAnsi="Times New Roman" w:cs="Times New Roman"/>
          <w:color w:val="1F1F1F"/>
          <w:sz w:val="24"/>
          <w:szCs w:val="24"/>
        </w:rPr>
        <w:t xml:space="preserve"> structural endpoints with minimal trade footprint.</w:t>
      </w:r>
      <w:r w:rsidRPr="00AD20C7">
        <w:rPr>
          <w:rFonts w:ascii="Times New Roman" w:eastAsia="Times New Roman" w:hAnsi="Times New Roman" w:cs="Times New Roman"/>
          <w:bCs/>
          <w:color w:val="1F1F1F"/>
          <w:sz w:val="24"/>
          <w:szCs w:val="24"/>
        </w:rPr>
        <w:t xml:space="preserve"> </w:t>
      </w:r>
      <w:r w:rsidRPr="00AD20C7">
        <w:rPr>
          <w:rFonts w:ascii="Times New Roman" w:eastAsia="Times New Roman" w:hAnsi="Times New Roman" w:cs="Times New Roman"/>
          <w:bCs/>
          <w:color w:val="1F1F1F"/>
          <w:sz w:val="24"/>
          <w:szCs w:val="24"/>
          <w:bdr w:val="none" w:sz="0" w:space="0" w:color="auto" w:frame="1"/>
        </w:rPr>
        <w:t>Whereas, 2022 Position reclines towards inward intermediate bridging ring where</w:t>
      </w:r>
      <w:r w:rsidRPr="00AD20C7">
        <w:rPr>
          <w:rFonts w:ascii="Times New Roman" w:eastAsia="Times New Roman" w:hAnsi="Times New Roman" w:cs="Times New Roman"/>
          <w:color w:val="1F1F1F"/>
          <w:sz w:val="24"/>
          <w:szCs w:val="24"/>
        </w:rPr>
        <w:t xml:space="preserve"> key regional connectors and manufacturing relays such as </w:t>
      </w:r>
      <w:r w:rsidRPr="00AD20C7">
        <w:rPr>
          <w:rFonts w:ascii="Times New Roman" w:eastAsia="Times New Roman" w:hAnsi="Times New Roman" w:cs="Times New Roman"/>
          <w:bCs/>
          <w:color w:val="1F1F1F"/>
          <w:sz w:val="24"/>
          <w:szCs w:val="24"/>
          <w:bdr w:val="none" w:sz="0" w:space="0" w:color="auto" w:frame="1"/>
        </w:rPr>
        <w:t>Australia [AUS], Argentina [ARG], Colombia [COL], Mexico [MEX], UAE [ARE], Slovenia [SVN]</w:t>
      </w:r>
      <w:r w:rsidRPr="00AD20C7">
        <w:rPr>
          <w:rFonts w:ascii="Times New Roman" w:eastAsia="Times New Roman" w:hAnsi="Times New Roman" w:cs="Times New Roman"/>
          <w:color w:val="1F1F1F"/>
          <w:sz w:val="24"/>
          <w:szCs w:val="24"/>
        </w:rPr>
        <w:t xml:space="preserve"> demonstrated </w:t>
      </w:r>
      <w:r w:rsidRPr="00AD20C7">
        <w:rPr>
          <w:rFonts w:ascii="Times New Roman" w:eastAsia="Times New Roman" w:hAnsi="Times New Roman" w:cs="Times New Roman"/>
          <w:iCs/>
          <w:color w:val="1F1F1F"/>
          <w:sz w:val="24"/>
          <w:szCs w:val="24"/>
          <w:bdr w:val="none" w:sz="0" w:space="0" w:color="auto" w:frame="1"/>
        </w:rPr>
        <w:t>structural shifts</w:t>
      </w:r>
      <w:r w:rsidRPr="00AD20C7">
        <w:rPr>
          <w:rFonts w:ascii="Times New Roman" w:eastAsia="Times New Roman" w:hAnsi="Times New Roman" w:cs="Times New Roman"/>
          <w:color w:val="1F1F1F"/>
          <w:sz w:val="24"/>
          <w:szCs w:val="24"/>
        </w:rPr>
        <w:t xml:space="preserve"> during the post-pandemic recovery and supply chain restructuring, these regional trade hubs expanded their bilateral connections with the core. Their increased connectivity pulled them </w:t>
      </w:r>
      <w:r w:rsidRPr="00AD20C7">
        <w:rPr>
          <w:rFonts w:ascii="Times New Roman" w:eastAsia="Times New Roman" w:hAnsi="Times New Roman" w:cs="Times New Roman"/>
          <w:bCs/>
          <w:color w:val="1F1F1F"/>
          <w:sz w:val="24"/>
          <w:szCs w:val="24"/>
          <w:bdr w:val="none" w:sz="0" w:space="0" w:color="auto" w:frame="1"/>
        </w:rPr>
        <w:t>inward from the outer margins into the semi-core space</w:t>
      </w:r>
      <w:r w:rsidRPr="00AD20C7">
        <w:rPr>
          <w:rFonts w:ascii="Times New Roman" w:eastAsia="Times New Roman" w:hAnsi="Times New Roman" w:cs="Times New Roman"/>
          <w:color w:val="1F1F1F"/>
          <w:sz w:val="24"/>
          <w:szCs w:val="24"/>
        </w:rPr>
        <w:t>, acting as critical trade buffers (near-shoring / regionalization).</w:t>
      </w:r>
      <w:r>
        <w:rPr>
          <w:rFonts w:ascii="Times New Roman" w:eastAsia="Times New Roman" w:hAnsi="Times New Roman" w:cs="Times New Roman"/>
          <w:bCs/>
          <w:color w:val="1F1F1F"/>
          <w:sz w:val="24"/>
          <w:szCs w:val="24"/>
        </w:rPr>
        <w:t xml:space="preserve"> Also, </w:t>
      </w:r>
      <w:r w:rsidRPr="00715C3D">
        <w:rPr>
          <w:rFonts w:ascii="Times New Roman" w:eastAsia="Times New Roman" w:hAnsi="Times New Roman" w:cs="Times New Roman"/>
          <w:bCs/>
          <w:color w:val="1F1F1F"/>
          <w:sz w:val="24"/>
          <w:szCs w:val="24"/>
        </w:rPr>
        <w:t xml:space="preserve">Class 1 (Red Nodes) during </w:t>
      </w:r>
      <w:r>
        <w:rPr>
          <w:rFonts w:ascii="Times New Roman" w:eastAsia="Times New Roman" w:hAnsi="Times New Roman" w:cs="Times New Roman"/>
          <w:bCs/>
          <w:color w:val="1F1F1F"/>
          <w:sz w:val="24"/>
          <w:szCs w:val="24"/>
          <w:bdr w:val="none" w:sz="0" w:space="0" w:color="auto" w:frame="1"/>
        </w:rPr>
        <w:t>2019 p</w:t>
      </w:r>
      <w:r w:rsidRPr="00715C3D">
        <w:rPr>
          <w:rFonts w:ascii="Times New Roman" w:eastAsia="Times New Roman" w:hAnsi="Times New Roman" w:cs="Times New Roman"/>
          <w:bCs/>
          <w:color w:val="1F1F1F"/>
          <w:sz w:val="24"/>
          <w:szCs w:val="24"/>
          <w:bdr w:val="none" w:sz="0" w:space="0" w:color="auto" w:frame="1"/>
        </w:rPr>
        <w:t xml:space="preserve">osition </w:t>
      </w:r>
      <w:r w:rsidRPr="00715C3D">
        <w:rPr>
          <w:rFonts w:ascii="Times New Roman" w:eastAsia="Times New Roman" w:hAnsi="Times New Roman" w:cs="Times New Roman"/>
          <w:bCs/>
          <w:color w:val="1F1F1F"/>
          <w:sz w:val="24"/>
          <w:szCs w:val="24"/>
        </w:rPr>
        <w:t xml:space="preserve">consists </w:t>
      </w:r>
      <w:r w:rsidRPr="00715C3D">
        <w:rPr>
          <w:rFonts w:ascii="Times New Roman" w:eastAsia="Times New Roman" w:hAnsi="Times New Roman" w:cs="Times New Roman"/>
          <w:color w:val="1F1F1F"/>
          <w:sz w:val="24"/>
          <w:szCs w:val="24"/>
        </w:rPr>
        <w:t xml:space="preserve">key energy, commodity, and specialized manufacturing suppliers likely </w:t>
      </w:r>
      <w:r w:rsidRPr="00715C3D">
        <w:rPr>
          <w:rFonts w:ascii="Times New Roman" w:eastAsia="Times New Roman" w:hAnsi="Times New Roman" w:cs="Times New Roman"/>
          <w:bCs/>
          <w:color w:val="1F1F1F"/>
          <w:sz w:val="24"/>
          <w:szCs w:val="24"/>
          <w:bdr w:val="none" w:sz="0" w:space="0" w:color="auto" w:frame="1"/>
        </w:rPr>
        <w:t xml:space="preserve">Mexico </w:t>
      </w:r>
      <w:r w:rsidRPr="00715C3D">
        <w:rPr>
          <w:rFonts w:ascii="Times New Roman" w:eastAsia="Times New Roman" w:hAnsi="Times New Roman" w:cs="Times New Roman"/>
          <w:bCs/>
          <w:color w:val="1F1F1F"/>
          <w:sz w:val="24"/>
          <w:szCs w:val="24"/>
          <w:bdr w:val="none" w:sz="0" w:space="0" w:color="auto" w:frame="1"/>
        </w:rPr>
        <w:lastRenderedPageBreak/>
        <w:t>[MEX], Iran [IRN], Ukraine [UKR], Slovakia [SVK], Saudi Arabia [SAU], Bahrain [BHR]</w:t>
      </w:r>
      <w:r w:rsidRPr="00715C3D">
        <w:rPr>
          <w:rFonts w:ascii="Times New Roman" w:eastAsia="Times New Roman" w:hAnsi="Times New Roman" w:cs="Times New Roman"/>
          <w:color w:val="1F1F1F"/>
          <w:sz w:val="24"/>
          <w:szCs w:val="24"/>
        </w:rPr>
        <w:t>.</w:t>
      </w:r>
      <w:r w:rsidRPr="00715C3D">
        <w:rPr>
          <w:rFonts w:ascii="Times New Roman" w:eastAsia="Times New Roman" w:hAnsi="Times New Roman" w:cs="Times New Roman"/>
          <w:bCs/>
          <w:color w:val="1F1F1F"/>
          <w:sz w:val="24"/>
          <w:szCs w:val="24"/>
        </w:rPr>
        <w:t xml:space="preserve"> With </w:t>
      </w:r>
      <w:r w:rsidRPr="00715C3D">
        <w:rPr>
          <w:rFonts w:ascii="Times New Roman" w:eastAsia="Times New Roman" w:hAnsi="Times New Roman" w:cs="Times New Roman"/>
          <w:iCs/>
          <w:color w:val="1F1F1F"/>
          <w:sz w:val="24"/>
          <w:szCs w:val="24"/>
          <w:bdr w:val="none" w:sz="0" w:space="0" w:color="auto" w:frame="1"/>
        </w:rPr>
        <w:t>network role as</w:t>
      </w:r>
      <w:r w:rsidRPr="00715C3D">
        <w:rPr>
          <w:rFonts w:ascii="Times New Roman" w:eastAsia="Times New Roman" w:hAnsi="Times New Roman" w:cs="Times New Roman"/>
          <w:color w:val="1F1F1F"/>
          <w:sz w:val="24"/>
          <w:szCs w:val="24"/>
        </w:rPr>
        <w:t xml:space="preserve"> maintained strong direct supply vectors inward toward core hubs.</w:t>
      </w:r>
      <w:r w:rsidRPr="00715C3D">
        <w:rPr>
          <w:rFonts w:ascii="Times New Roman" w:eastAsia="Times New Roman" w:hAnsi="Times New Roman" w:cs="Times New Roman"/>
          <w:bCs/>
          <w:color w:val="1F1F1F"/>
          <w:sz w:val="24"/>
          <w:szCs w:val="24"/>
        </w:rPr>
        <w:t xml:space="preserve"> But during </w:t>
      </w:r>
      <w:r>
        <w:rPr>
          <w:rFonts w:ascii="Times New Roman" w:eastAsia="Times New Roman" w:hAnsi="Times New Roman" w:cs="Times New Roman"/>
          <w:bCs/>
          <w:color w:val="1F1F1F"/>
          <w:sz w:val="24"/>
          <w:szCs w:val="24"/>
          <w:bdr w:val="none" w:sz="0" w:space="0" w:color="auto" w:frame="1"/>
        </w:rPr>
        <w:t>2022 position extreme outermost perimeter</w:t>
      </w:r>
      <w:r w:rsidRPr="00715C3D">
        <w:rPr>
          <w:rFonts w:ascii="Times New Roman" w:eastAsia="Times New Roman" w:hAnsi="Times New Roman" w:cs="Times New Roman"/>
          <w:bCs/>
          <w:color w:val="1F1F1F"/>
          <w:sz w:val="24"/>
          <w:szCs w:val="24"/>
          <w:bdr w:val="none" w:sz="0" w:space="0" w:color="auto" w:frame="1"/>
        </w:rPr>
        <w:t xml:space="preserve"> </w:t>
      </w:r>
      <w:r w:rsidRPr="00715C3D">
        <w:rPr>
          <w:rFonts w:ascii="Times New Roman" w:eastAsia="Times New Roman" w:hAnsi="Times New Roman" w:cs="Times New Roman"/>
          <w:color w:val="1F1F1F"/>
          <w:sz w:val="24"/>
          <w:szCs w:val="24"/>
        </w:rPr>
        <w:t xml:space="preserve">highly vulnerable or geographically isolated economies </w:t>
      </w:r>
      <w:r w:rsidRPr="00715C3D">
        <w:rPr>
          <w:rFonts w:ascii="Times New Roman" w:eastAsia="Times New Roman" w:hAnsi="Times New Roman" w:cs="Times New Roman"/>
          <w:bCs/>
          <w:color w:val="1F1F1F"/>
          <w:sz w:val="24"/>
          <w:szCs w:val="24"/>
          <w:bdr w:val="none" w:sz="0" w:space="0" w:color="auto" w:frame="1"/>
        </w:rPr>
        <w:t>Suriname [SUR], Ghana [GHA], Dominican Republic [DOM], Cyprus [CYP], Tanzania [TZA], Djibouti [DJI]</w:t>
      </w:r>
      <w:r w:rsidRPr="00715C3D">
        <w:rPr>
          <w:rFonts w:ascii="Times New Roman" w:eastAsia="Times New Roman" w:hAnsi="Times New Roman" w:cs="Times New Roman"/>
          <w:color w:val="1F1F1F"/>
          <w:sz w:val="24"/>
          <w:szCs w:val="24"/>
        </w:rPr>
        <w:t xml:space="preserve"> were accounted generally due to</w:t>
      </w:r>
      <w:r w:rsidRPr="00715C3D">
        <w:rPr>
          <w:rFonts w:ascii="Times New Roman" w:eastAsia="Times New Roman" w:hAnsi="Times New Roman" w:cs="Times New Roman"/>
          <w:bCs/>
          <w:color w:val="1F1F1F"/>
          <w:sz w:val="24"/>
          <w:szCs w:val="24"/>
        </w:rPr>
        <w:t xml:space="preserve"> </w:t>
      </w:r>
      <w:r w:rsidRPr="00715C3D">
        <w:rPr>
          <w:rFonts w:ascii="Times New Roman" w:eastAsia="Times New Roman" w:hAnsi="Times New Roman" w:cs="Times New Roman"/>
          <w:iCs/>
          <w:color w:val="1F1F1F"/>
          <w:sz w:val="24"/>
          <w:szCs w:val="24"/>
          <w:bdr w:val="none" w:sz="0" w:space="0" w:color="auto" w:frame="1"/>
        </w:rPr>
        <w:t>structural shift</w:t>
      </w:r>
      <w:r w:rsidRPr="00715C3D">
        <w:rPr>
          <w:rFonts w:ascii="Times New Roman" w:eastAsia="Times New Roman" w:hAnsi="Times New Roman" w:cs="Times New Roman"/>
          <w:i/>
          <w:iCs/>
          <w:color w:val="1F1F1F"/>
          <w:sz w:val="24"/>
          <w:szCs w:val="24"/>
          <w:bdr w:val="none" w:sz="0" w:space="0" w:color="auto" w:frame="1"/>
        </w:rPr>
        <w:t xml:space="preserve"> </w:t>
      </w:r>
      <w:r>
        <w:rPr>
          <w:rFonts w:ascii="Times New Roman" w:eastAsia="Times New Roman" w:hAnsi="Times New Roman" w:cs="Times New Roman"/>
          <w:color w:val="1F1F1F"/>
          <w:sz w:val="24"/>
          <w:szCs w:val="24"/>
        </w:rPr>
        <w:t>a</w:t>
      </w:r>
      <w:r w:rsidRPr="00715C3D">
        <w:rPr>
          <w:rFonts w:ascii="Times New Roman" w:eastAsia="Times New Roman" w:hAnsi="Times New Roman" w:cs="Times New Roman"/>
          <w:color w:val="1F1F1F"/>
          <w:sz w:val="24"/>
          <w:szCs w:val="24"/>
        </w:rPr>
        <w:t xml:space="preserve">s global supply chains consolidated around primary industrial corridors during post-pandemic recovery, smaller peripheral commodity exporters faced </w:t>
      </w:r>
      <w:r w:rsidRPr="00715C3D">
        <w:rPr>
          <w:rFonts w:ascii="Times New Roman" w:eastAsia="Times New Roman" w:hAnsi="Times New Roman" w:cs="Times New Roman"/>
          <w:bCs/>
          <w:color w:val="1F1F1F"/>
          <w:sz w:val="24"/>
          <w:szCs w:val="24"/>
          <w:bdr w:val="none" w:sz="0" w:space="0" w:color="auto" w:frame="1"/>
        </w:rPr>
        <w:t>downward peripheral drift</w:t>
      </w:r>
      <w:r w:rsidRPr="00715C3D">
        <w:rPr>
          <w:rFonts w:ascii="Times New Roman" w:eastAsia="Times New Roman" w:hAnsi="Times New Roman" w:cs="Times New Roman"/>
          <w:color w:val="1F1F1F"/>
          <w:sz w:val="24"/>
          <w:szCs w:val="24"/>
        </w:rPr>
        <w:t>. Core hubs pruned secondary/peripheral trade channels, pushing Class 1 to the extreme outer margins as isolated terminal endpoints.</w:t>
      </w:r>
    </w:p>
    <w:p w:rsidR="00715C3D" w:rsidRPr="005848F8" w:rsidRDefault="00715C3D" w:rsidP="005B5879">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5848F8">
        <w:rPr>
          <w:rFonts w:ascii="Times New Roman" w:eastAsia="Times New Roman" w:hAnsi="Times New Roman" w:cs="Times New Roman"/>
          <w:sz w:val="24"/>
          <w:szCs w:val="24"/>
        </w:rPr>
        <w:t>From a network perspective, this change may reflect the post-pandemic reorganization of international trade. Countries in the green class appear to have diversified their trading relationships and strengthened their connections with the global production network, allowing them to move from peripheral positions toward the intermediate layer of the network. Conversely, countries in the red class became increasingly dependent on a limited number of trading partners, resulting in a more peripheral structural role. This role reversal indicates that the evolution of the International Carbon Trade Network was characterized not only by changes in individual country memberships but also by a redistribution of structural functions among the latent communities identified by the stochastic block model.</w:t>
      </w:r>
    </w:p>
    <w:p w:rsidR="00EB589F" w:rsidRPr="007B30B6" w:rsidRDefault="00715C3D" w:rsidP="005B5879">
      <w:pPr>
        <w:spacing w:beforeAutospacing="1" w:after="100" w:afterAutospacing="1" w:line="240" w:lineRule="auto"/>
        <w:ind w:left="-426" w:right="-421"/>
        <w:jc w:val="both"/>
        <w:rPr>
          <w:rFonts w:ascii="Times New Roman" w:eastAsia="Times New Roman" w:hAnsi="Times New Roman" w:cs="Times New Roman"/>
          <w:sz w:val="24"/>
          <w:szCs w:val="24"/>
        </w:rPr>
      </w:pPr>
      <w:r w:rsidRPr="005848F8">
        <w:rPr>
          <w:rFonts w:ascii="Times New Roman" w:eastAsia="Times New Roman" w:hAnsi="Times New Roman" w:cs="Times New Roman"/>
          <w:sz w:val="24"/>
          <w:szCs w:val="24"/>
        </w:rPr>
        <w:t>A notable structural change between 2019 and 2022 is the reversal of the network roles occupied by Classes 1 and 3. In 2019, Class 3 constituted the principal peripheral community, with its member countries occupying the outer boundary of the network and maintaining limited connections to the densely connected core. In contrast, Class 1 occupied a more intermediate position, exhibiting stronger interactions with central trading economies. By 2022, this pattern had reversed. Class 3 moved closer to the network center and emerged as an intermediate bridging community, whereas Class 1 became the dominant peripheral block. This role reversal indicates that the evolution of the International Carbon Trade Network was characterized not only by changes in individual country memberships but also by a redistribution of structural functions among the latent communities identified by the stochastic block model. The findings suggest that some economies improved their integration into global carbon trade networks following the post-pandemic recovery, while others became relatively more marginalized.</w:t>
      </w:r>
    </w:p>
    <w:p w:rsidR="00EB589F" w:rsidRPr="00F00CA0" w:rsidRDefault="00EB589F" w:rsidP="005B5879">
      <w:pPr>
        <w:spacing w:before="100" w:beforeAutospacing="1" w:after="0"/>
        <w:ind w:left="-426" w:right="-421"/>
        <w:outlineLvl w:val="2"/>
        <w:rPr>
          <w:rFonts w:ascii="Times New Roman" w:eastAsia="Times New Roman" w:hAnsi="Times New Roman" w:cs="Times New Roman"/>
          <w:b/>
          <w:bCs/>
          <w:color w:val="1F1F1F"/>
        </w:rPr>
      </w:pPr>
      <w:r w:rsidRPr="002226D3">
        <w:rPr>
          <w:rFonts w:ascii="Times New Roman" w:eastAsia="Times New Roman" w:hAnsi="Times New Roman" w:cs="Times New Roman"/>
          <w:b/>
          <w:bCs/>
          <w:color w:val="1F1F1F"/>
          <w:highlight w:val="green"/>
        </w:rPr>
        <w:t>Spatial and Cartographic Analysis of SBM Classes (2019 vs. 2022)</w:t>
      </w:r>
    </w:p>
    <w:p w:rsidR="00D60F84" w:rsidRPr="007B30B6" w:rsidRDefault="00D60F84" w:rsidP="005B5879">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7B30B6">
        <w:rPr>
          <w:rFonts w:ascii="Times New Roman" w:eastAsia="Times New Roman" w:hAnsi="Times New Roman" w:cs="Times New Roman"/>
          <w:sz w:val="24"/>
          <w:szCs w:val="24"/>
        </w:rPr>
        <w:t xml:space="preserve">The </w:t>
      </w:r>
      <w:r w:rsidRPr="00D60F84">
        <w:rPr>
          <w:rFonts w:ascii="Times New Roman" w:eastAsia="Times New Roman" w:hAnsi="Times New Roman" w:cs="Times New Roman"/>
          <w:bCs/>
          <w:sz w:val="24"/>
          <w:szCs w:val="24"/>
        </w:rPr>
        <w:t>geographical distribution maps</w:t>
      </w:r>
      <w:r w:rsidRPr="007B30B6">
        <w:rPr>
          <w:rFonts w:ascii="Times New Roman" w:eastAsia="Times New Roman" w:hAnsi="Times New Roman" w:cs="Times New Roman"/>
          <w:sz w:val="24"/>
          <w:szCs w:val="24"/>
        </w:rPr>
        <w:t xml:space="preserve"> complement the SBM network graphs by showing how the </w:t>
      </w:r>
      <w:r w:rsidRPr="00D60F84">
        <w:rPr>
          <w:rFonts w:ascii="Times New Roman" w:eastAsia="Times New Roman" w:hAnsi="Times New Roman" w:cs="Times New Roman"/>
          <w:bCs/>
          <w:sz w:val="24"/>
          <w:szCs w:val="24"/>
        </w:rPr>
        <w:t>latent trade classes evolved spatially between 2019 and 2022</w:t>
      </w:r>
      <w:r w:rsidRPr="007B30B6">
        <w:rPr>
          <w:rFonts w:ascii="Times New Roman" w:eastAsia="Times New Roman" w:hAnsi="Times New Roman" w:cs="Times New Roman"/>
          <w:sz w:val="24"/>
          <w:szCs w:val="24"/>
        </w:rPr>
        <w:t xml:space="preserve">. Rather than indicating changes in geographic location, the maps illustrate how countries </w:t>
      </w:r>
      <w:r w:rsidRPr="00D60F84">
        <w:rPr>
          <w:rFonts w:ascii="Times New Roman" w:eastAsia="Times New Roman" w:hAnsi="Times New Roman" w:cs="Times New Roman"/>
          <w:bCs/>
          <w:sz w:val="24"/>
          <w:szCs w:val="24"/>
        </w:rPr>
        <w:t>changed their structural roles</w:t>
      </w:r>
      <w:r w:rsidRPr="007B30B6">
        <w:rPr>
          <w:rFonts w:ascii="Times New Roman" w:eastAsia="Times New Roman" w:hAnsi="Times New Roman" w:cs="Times New Roman"/>
          <w:sz w:val="24"/>
          <w:szCs w:val="24"/>
        </w:rPr>
        <w:t xml:space="preserve"> in the International Carbon Trade Network over time. The most important changes are summarized below.</w:t>
      </w:r>
    </w:p>
    <w:p w:rsidR="007B30B6" w:rsidRPr="007B30B6" w:rsidRDefault="007B30B6" w:rsidP="005B5879">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7B30B6">
        <w:rPr>
          <w:rFonts w:ascii="Times New Roman" w:eastAsia="Times New Roman" w:hAnsi="Times New Roman" w:cs="Times New Roman"/>
          <w:sz w:val="24"/>
          <w:szCs w:val="24"/>
        </w:rPr>
        <w:t>The results</w:t>
      </w:r>
      <w:r w:rsidR="005B5879">
        <w:rPr>
          <w:rFonts w:ascii="Times New Roman" w:eastAsia="Times New Roman" w:hAnsi="Times New Roman" w:cs="Times New Roman"/>
          <w:sz w:val="24"/>
          <w:szCs w:val="24"/>
        </w:rPr>
        <w:t xml:space="preserve"> of 2019</w:t>
      </w:r>
      <w:r w:rsidRPr="007B30B6">
        <w:rPr>
          <w:rFonts w:ascii="Times New Roman" w:eastAsia="Times New Roman" w:hAnsi="Times New Roman" w:cs="Times New Roman"/>
          <w:sz w:val="24"/>
          <w:szCs w:val="24"/>
        </w:rPr>
        <w:t xml:space="preserve"> reveal that the identified communities are </w:t>
      </w:r>
      <w:r w:rsidRPr="005B5879">
        <w:rPr>
          <w:rFonts w:ascii="Times New Roman" w:eastAsia="Times New Roman" w:hAnsi="Times New Roman" w:cs="Times New Roman"/>
          <w:bCs/>
          <w:sz w:val="24"/>
          <w:szCs w:val="24"/>
        </w:rPr>
        <w:t>not purely geographical clusters</w:t>
      </w:r>
      <w:r w:rsidRPr="007B30B6">
        <w:rPr>
          <w:rFonts w:ascii="Times New Roman" w:eastAsia="Times New Roman" w:hAnsi="Times New Roman" w:cs="Times New Roman"/>
          <w:sz w:val="24"/>
          <w:szCs w:val="24"/>
        </w:rPr>
        <w:t xml:space="preserve">, but instead represent </w:t>
      </w:r>
      <w:r w:rsidRPr="005B5879">
        <w:rPr>
          <w:rFonts w:ascii="Times New Roman" w:eastAsia="Times New Roman" w:hAnsi="Times New Roman" w:cs="Times New Roman"/>
          <w:bCs/>
          <w:sz w:val="24"/>
          <w:szCs w:val="24"/>
        </w:rPr>
        <w:t>countries sharing similar structural roles within the international carbon trade network</w:t>
      </w:r>
      <w:r w:rsidRPr="007B30B6">
        <w:rPr>
          <w:rFonts w:ascii="Times New Roman" w:eastAsia="Times New Roman" w:hAnsi="Times New Roman" w:cs="Times New Roman"/>
          <w:sz w:val="24"/>
          <w:szCs w:val="24"/>
        </w:rPr>
        <w:t>. Nevertheless, distinct regional patterns emerge, reflecting differences in economic development, industrial specialization, and participation in global value chains.</w:t>
      </w:r>
    </w:p>
    <w:p w:rsidR="007B30B6" w:rsidRPr="007B30B6" w:rsidRDefault="007B30B6" w:rsidP="005B5879">
      <w:pPr>
        <w:spacing w:before="100" w:beforeAutospacing="1" w:after="100" w:afterAutospacing="1" w:line="240" w:lineRule="auto"/>
        <w:ind w:left="-426" w:right="-421"/>
        <w:jc w:val="both"/>
        <w:outlineLvl w:val="1"/>
        <w:rPr>
          <w:rFonts w:ascii="Times New Roman" w:eastAsia="Times New Roman" w:hAnsi="Times New Roman" w:cs="Times New Roman"/>
          <w:sz w:val="24"/>
          <w:szCs w:val="24"/>
        </w:rPr>
      </w:pPr>
      <w:r w:rsidRPr="007B30B6">
        <w:rPr>
          <w:rFonts w:ascii="Times New Roman" w:eastAsia="Times New Roman" w:hAnsi="Times New Roman" w:cs="Times New Roman"/>
          <w:bCs/>
          <w:sz w:val="24"/>
          <w:szCs w:val="24"/>
        </w:rPr>
        <w:t>Class 4 (Black)</w:t>
      </w:r>
      <w:r w:rsidR="006E30D8" w:rsidRP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 xml:space="preserve">is concentrated among the world's largest industrialized and economically dominant countries. It includes major economies such as the </w:t>
      </w:r>
      <w:r w:rsidR="006E30D8" w:rsidRPr="00AD1AA8">
        <w:rPr>
          <w:rFonts w:ascii="Times New Roman" w:eastAsia="Times New Roman" w:hAnsi="Times New Roman" w:cs="Times New Roman"/>
          <w:bCs/>
          <w:sz w:val="24"/>
          <w:szCs w:val="24"/>
        </w:rPr>
        <w:t xml:space="preserve">India, </w:t>
      </w:r>
      <w:r w:rsidRPr="00AD1AA8">
        <w:rPr>
          <w:rFonts w:ascii="Times New Roman" w:eastAsia="Times New Roman" w:hAnsi="Times New Roman" w:cs="Times New Roman"/>
          <w:bCs/>
          <w:sz w:val="24"/>
          <w:szCs w:val="24"/>
        </w:rPr>
        <w:t>United States, China, Russia, Germany, Italy, South Korea, and several advanced European economies</w:t>
      </w:r>
      <w:r w:rsidRPr="007B30B6">
        <w:rPr>
          <w:rFonts w:ascii="Times New Roman" w:eastAsia="Times New Roman" w:hAnsi="Times New Roman" w:cs="Times New Roman"/>
          <w:sz w:val="24"/>
          <w:szCs w:val="24"/>
        </w:rPr>
        <w:t>.</w:t>
      </w:r>
      <w:r w:rsidR="00AD1AA8" w:rsidRP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 xml:space="preserve">This geographical concentration indicates that Class 4 constitutes the </w:t>
      </w:r>
      <w:r w:rsidRPr="00AD1AA8">
        <w:rPr>
          <w:rFonts w:ascii="Times New Roman" w:eastAsia="Times New Roman" w:hAnsi="Times New Roman" w:cs="Times New Roman"/>
          <w:bCs/>
          <w:sz w:val="24"/>
          <w:szCs w:val="24"/>
        </w:rPr>
        <w:t>core of the international carbon trade network</w:t>
      </w:r>
      <w:r w:rsidRPr="007B30B6">
        <w:rPr>
          <w:rFonts w:ascii="Times New Roman" w:eastAsia="Times New Roman" w:hAnsi="Times New Roman" w:cs="Times New Roman"/>
          <w:sz w:val="24"/>
          <w:szCs w:val="24"/>
        </w:rPr>
        <w:t xml:space="preserve">. These countries are characterized </w:t>
      </w:r>
      <w:r w:rsidRPr="007B30B6">
        <w:rPr>
          <w:rFonts w:ascii="Times New Roman" w:eastAsia="Times New Roman" w:hAnsi="Times New Roman" w:cs="Times New Roman"/>
          <w:sz w:val="24"/>
          <w:szCs w:val="24"/>
        </w:rPr>
        <w:lastRenderedPageBreak/>
        <w:t xml:space="preserve">by highly diversified import and export relationships, large manufacturing sectors, and strong integration into global production networks. Their distribution across North America, Europe, and East Asia reflects the traditional centers of global industrial production and international </w:t>
      </w:r>
      <w:proofErr w:type="spellStart"/>
      <w:r w:rsidRPr="007B30B6">
        <w:rPr>
          <w:rFonts w:ascii="Times New Roman" w:eastAsia="Times New Roman" w:hAnsi="Times New Roman" w:cs="Times New Roman"/>
          <w:sz w:val="24"/>
          <w:szCs w:val="24"/>
        </w:rPr>
        <w:t>trade.Rather</w:t>
      </w:r>
      <w:proofErr w:type="spellEnd"/>
      <w:r w:rsidRPr="007B30B6">
        <w:rPr>
          <w:rFonts w:ascii="Times New Roman" w:eastAsia="Times New Roman" w:hAnsi="Times New Roman" w:cs="Times New Roman"/>
          <w:sz w:val="24"/>
          <w:szCs w:val="24"/>
        </w:rPr>
        <w:t xml:space="preserve"> than being regionally </w:t>
      </w:r>
      <w:proofErr w:type="gramStart"/>
      <w:r w:rsidRPr="007B30B6">
        <w:rPr>
          <w:rFonts w:ascii="Times New Roman" w:eastAsia="Times New Roman" w:hAnsi="Times New Roman" w:cs="Times New Roman"/>
          <w:sz w:val="24"/>
          <w:szCs w:val="24"/>
        </w:rPr>
        <w:t>isolated,</w:t>
      </w:r>
      <w:proofErr w:type="gramEnd"/>
      <w:r w:rsidRPr="007B30B6">
        <w:rPr>
          <w:rFonts w:ascii="Times New Roman" w:eastAsia="Times New Roman" w:hAnsi="Times New Roman" w:cs="Times New Roman"/>
          <w:sz w:val="24"/>
          <w:szCs w:val="24"/>
        </w:rPr>
        <w:t xml:space="preserve"> these countries collectively form the principal hubs through which embodied carbon is exchanged worldwide.</w:t>
      </w:r>
    </w:p>
    <w:p w:rsidR="007B30B6" w:rsidRPr="007B30B6" w:rsidRDefault="007B30B6" w:rsidP="005B5879">
      <w:pPr>
        <w:spacing w:before="100" w:beforeAutospacing="1" w:after="100" w:afterAutospacing="1" w:line="240" w:lineRule="auto"/>
        <w:ind w:left="-426" w:right="-421"/>
        <w:jc w:val="both"/>
        <w:outlineLvl w:val="1"/>
        <w:rPr>
          <w:rFonts w:ascii="Times New Roman" w:eastAsia="Times New Roman" w:hAnsi="Times New Roman" w:cs="Times New Roman"/>
          <w:sz w:val="24"/>
          <w:szCs w:val="24"/>
        </w:rPr>
      </w:pPr>
      <w:r w:rsidRPr="007B30B6">
        <w:rPr>
          <w:rFonts w:ascii="Times New Roman" w:eastAsia="Times New Roman" w:hAnsi="Times New Roman" w:cs="Times New Roman"/>
          <w:bCs/>
          <w:sz w:val="24"/>
          <w:szCs w:val="24"/>
        </w:rPr>
        <w:t>Class 3 (Yellow</w:t>
      </w:r>
      <w:r w:rsidR="006E30D8" w:rsidRPr="00AD1AA8">
        <w:rPr>
          <w:rFonts w:ascii="Times New Roman" w:eastAsia="Times New Roman" w:hAnsi="Times New Roman" w:cs="Times New Roman"/>
          <w:bCs/>
          <w:sz w:val="24"/>
          <w:szCs w:val="24"/>
        </w:rPr>
        <w:t>)</w:t>
      </w:r>
      <w:r w:rsidR="00AD1AA8" w:rsidRP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 xml:space="preserve">is geographically dispersed across </w:t>
      </w:r>
      <w:r w:rsidRPr="00AD1AA8">
        <w:rPr>
          <w:rFonts w:ascii="Times New Roman" w:eastAsia="Times New Roman" w:hAnsi="Times New Roman" w:cs="Times New Roman"/>
          <w:bCs/>
          <w:sz w:val="24"/>
          <w:szCs w:val="24"/>
        </w:rPr>
        <w:t>Canada, Brazil, South Africa, Japan, Indonesia, and several Central and Eastern European countries</w:t>
      </w:r>
      <w:r w:rsidRPr="007B30B6">
        <w:rPr>
          <w:rFonts w:ascii="Times New Roman" w:eastAsia="Times New Roman" w:hAnsi="Times New Roman" w:cs="Times New Roman"/>
          <w:sz w:val="24"/>
          <w:szCs w:val="24"/>
        </w:rPr>
        <w:t>.</w:t>
      </w:r>
      <w:r w:rsid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 xml:space="preserve">Unlike the core economies, these countries represent a group of </w:t>
      </w:r>
      <w:r w:rsidRPr="00AD1AA8">
        <w:rPr>
          <w:rFonts w:ascii="Times New Roman" w:eastAsia="Times New Roman" w:hAnsi="Times New Roman" w:cs="Times New Roman"/>
          <w:bCs/>
          <w:sz w:val="24"/>
          <w:szCs w:val="24"/>
        </w:rPr>
        <w:t>well-integrated but secondary trading economies</w:t>
      </w:r>
      <w:r w:rsidRPr="007B30B6">
        <w:rPr>
          <w:rFonts w:ascii="Times New Roman" w:eastAsia="Times New Roman" w:hAnsi="Times New Roman" w:cs="Times New Roman"/>
          <w:sz w:val="24"/>
          <w:szCs w:val="24"/>
        </w:rPr>
        <w:t>. Many possess abundant natural resources or diversified industrial sectors and maintain extensive trade relations with the global core. Their presence across multiple continents suggests that this class reflects similar structural trade functions rather than geographical proximity.</w:t>
      </w:r>
      <w:r w:rsidR="006E30D8" w:rsidRP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These economies frequently serve as important suppliers of raw materials, intermediate products, or manufactured goods to major industrial hubs.</w:t>
      </w:r>
    </w:p>
    <w:p w:rsidR="007B30B6" w:rsidRPr="007B30B6" w:rsidRDefault="007B30B6" w:rsidP="005B5879">
      <w:pPr>
        <w:spacing w:before="100" w:beforeAutospacing="1" w:after="100" w:afterAutospacing="1" w:line="240" w:lineRule="auto"/>
        <w:ind w:left="-426" w:right="-421"/>
        <w:jc w:val="both"/>
        <w:outlineLvl w:val="1"/>
        <w:rPr>
          <w:rFonts w:ascii="Times New Roman" w:eastAsia="Times New Roman" w:hAnsi="Times New Roman" w:cs="Times New Roman"/>
          <w:sz w:val="24"/>
          <w:szCs w:val="24"/>
        </w:rPr>
      </w:pPr>
      <w:r w:rsidRPr="007B30B6">
        <w:rPr>
          <w:rFonts w:ascii="Times New Roman" w:eastAsia="Times New Roman" w:hAnsi="Times New Roman" w:cs="Times New Roman"/>
          <w:bCs/>
          <w:sz w:val="24"/>
          <w:szCs w:val="24"/>
        </w:rPr>
        <w:t>Class 2 (Cyan</w:t>
      </w:r>
      <w:r w:rsidR="006E30D8" w:rsidRPr="00AD1AA8">
        <w:rPr>
          <w:rFonts w:ascii="Times New Roman" w:eastAsia="Times New Roman" w:hAnsi="Times New Roman" w:cs="Times New Roman"/>
          <w:bCs/>
          <w:sz w:val="24"/>
          <w:szCs w:val="24"/>
        </w:rPr>
        <w:t>)</w:t>
      </w:r>
      <w:r w:rsidRPr="007B30B6">
        <w:rPr>
          <w:rFonts w:ascii="Times New Roman" w:eastAsia="Times New Roman" w:hAnsi="Times New Roman" w:cs="Times New Roman"/>
          <w:sz w:val="24"/>
          <w:szCs w:val="24"/>
        </w:rPr>
        <w:t xml:space="preserve"> is predominantly distributed throughout </w:t>
      </w:r>
      <w:r w:rsidRPr="00AD1AA8">
        <w:rPr>
          <w:rFonts w:ascii="Times New Roman" w:eastAsia="Times New Roman" w:hAnsi="Times New Roman" w:cs="Times New Roman"/>
          <w:bCs/>
          <w:sz w:val="24"/>
          <w:szCs w:val="24"/>
        </w:rPr>
        <w:t>Africa</w:t>
      </w:r>
      <w:r w:rsidRPr="007B30B6">
        <w:rPr>
          <w:rFonts w:ascii="Times New Roman" w:eastAsia="Times New Roman" w:hAnsi="Times New Roman" w:cs="Times New Roman"/>
          <w:sz w:val="24"/>
          <w:szCs w:val="24"/>
        </w:rPr>
        <w:t xml:space="preserve">, with additional representation in </w:t>
      </w:r>
      <w:r w:rsidR="006E30D8" w:rsidRPr="00AD1AA8">
        <w:rPr>
          <w:rFonts w:ascii="Times New Roman" w:eastAsia="Times New Roman" w:hAnsi="Times New Roman" w:cs="Times New Roman"/>
          <w:bCs/>
          <w:sz w:val="24"/>
          <w:szCs w:val="24"/>
        </w:rPr>
        <w:t xml:space="preserve">Africa, </w:t>
      </w:r>
      <w:r w:rsidRPr="00AD1AA8">
        <w:rPr>
          <w:rFonts w:ascii="Times New Roman" w:eastAsia="Times New Roman" w:hAnsi="Times New Roman" w:cs="Times New Roman"/>
          <w:bCs/>
          <w:sz w:val="24"/>
          <w:szCs w:val="24"/>
        </w:rPr>
        <w:t>Central Asia, Southeast Asia, and parts of South America</w:t>
      </w:r>
      <w:r w:rsidRPr="007B30B6">
        <w:rPr>
          <w:rFonts w:ascii="Times New Roman" w:eastAsia="Times New Roman" w:hAnsi="Times New Roman" w:cs="Times New Roman"/>
          <w:sz w:val="24"/>
          <w:szCs w:val="24"/>
        </w:rPr>
        <w:t>.</w:t>
      </w:r>
      <w:r w:rsidR="00AD1AA8" w:rsidRP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 xml:space="preserve">This widespread distribution suggests that Class 2 comprises </w:t>
      </w:r>
      <w:r w:rsidRPr="00AD1AA8">
        <w:rPr>
          <w:rFonts w:ascii="Times New Roman" w:eastAsia="Times New Roman" w:hAnsi="Times New Roman" w:cs="Times New Roman"/>
          <w:bCs/>
          <w:sz w:val="24"/>
          <w:szCs w:val="24"/>
        </w:rPr>
        <w:t>developing and emerging economies</w:t>
      </w:r>
      <w:r w:rsidRPr="007B30B6">
        <w:rPr>
          <w:rFonts w:ascii="Times New Roman" w:eastAsia="Times New Roman" w:hAnsi="Times New Roman" w:cs="Times New Roman"/>
          <w:sz w:val="24"/>
          <w:szCs w:val="24"/>
        </w:rPr>
        <w:t xml:space="preserve"> that participate in global carbon trade primarily through regional or commodity-based trade relationships. Although these countries are geographically dispersed, they exhibit similar network characteristics by maintaining moderate connectivity to the dominant trading </w:t>
      </w:r>
      <w:proofErr w:type="spellStart"/>
      <w:r w:rsidRPr="007B30B6">
        <w:rPr>
          <w:rFonts w:ascii="Times New Roman" w:eastAsia="Times New Roman" w:hAnsi="Times New Roman" w:cs="Times New Roman"/>
          <w:sz w:val="24"/>
          <w:szCs w:val="24"/>
        </w:rPr>
        <w:t>economies.Many</w:t>
      </w:r>
      <w:proofErr w:type="spellEnd"/>
      <w:r w:rsidRPr="007B30B6">
        <w:rPr>
          <w:rFonts w:ascii="Times New Roman" w:eastAsia="Times New Roman" w:hAnsi="Times New Roman" w:cs="Times New Roman"/>
          <w:sz w:val="24"/>
          <w:szCs w:val="24"/>
        </w:rPr>
        <w:t xml:space="preserve"> of these countries function as exporters of agricultural products, minerals, and other resource-intensive commodities while relying on larger economies for manufactured imports.</w:t>
      </w:r>
    </w:p>
    <w:p w:rsidR="007B30B6" w:rsidRPr="007B30B6" w:rsidRDefault="007B30B6" w:rsidP="005B5879">
      <w:pPr>
        <w:spacing w:before="100" w:beforeAutospacing="1" w:after="100" w:afterAutospacing="1" w:line="240" w:lineRule="auto"/>
        <w:ind w:left="-426" w:right="-421"/>
        <w:jc w:val="both"/>
        <w:outlineLvl w:val="1"/>
        <w:rPr>
          <w:rFonts w:ascii="Times New Roman" w:eastAsia="Times New Roman" w:hAnsi="Times New Roman" w:cs="Times New Roman"/>
          <w:sz w:val="24"/>
          <w:szCs w:val="24"/>
        </w:rPr>
      </w:pPr>
      <w:r w:rsidRPr="007B30B6">
        <w:rPr>
          <w:rFonts w:ascii="Times New Roman" w:eastAsia="Times New Roman" w:hAnsi="Times New Roman" w:cs="Times New Roman"/>
          <w:bCs/>
          <w:sz w:val="24"/>
          <w:szCs w:val="24"/>
        </w:rPr>
        <w:t>Class 1 (Red</w:t>
      </w:r>
      <w:r w:rsidR="00AD1AA8" w:rsidRPr="00AD1AA8">
        <w:rPr>
          <w:rFonts w:ascii="Times New Roman" w:eastAsia="Times New Roman" w:hAnsi="Times New Roman" w:cs="Times New Roman"/>
          <w:bCs/>
          <w:sz w:val="24"/>
          <w:szCs w:val="24"/>
        </w:rPr>
        <w:t>)</w:t>
      </w:r>
      <w:r w:rsidR="00AD1AA8" w:rsidRP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 xml:space="preserve">is concentrated in </w:t>
      </w:r>
      <w:r w:rsidRPr="00AD1AA8">
        <w:rPr>
          <w:rFonts w:ascii="Times New Roman" w:eastAsia="Times New Roman" w:hAnsi="Times New Roman" w:cs="Times New Roman"/>
          <w:bCs/>
          <w:sz w:val="24"/>
          <w:szCs w:val="24"/>
        </w:rPr>
        <w:t>Latin America, the Middle East, Oceania, and parts of Eastern Europe</w:t>
      </w:r>
      <w:r w:rsidRPr="007B30B6">
        <w:rPr>
          <w:rFonts w:ascii="Times New Roman" w:eastAsia="Times New Roman" w:hAnsi="Times New Roman" w:cs="Times New Roman"/>
          <w:sz w:val="24"/>
          <w:szCs w:val="24"/>
        </w:rPr>
        <w:t xml:space="preserve">, including countries such as </w:t>
      </w:r>
      <w:r w:rsidRPr="00AD1AA8">
        <w:rPr>
          <w:rFonts w:ascii="Times New Roman" w:eastAsia="Times New Roman" w:hAnsi="Times New Roman" w:cs="Times New Roman"/>
          <w:bCs/>
          <w:sz w:val="24"/>
          <w:szCs w:val="24"/>
        </w:rPr>
        <w:t>Mexico, Argentina, Australia, Saudi Arabia, Iran, Ukraine, and New Zealand</w:t>
      </w:r>
      <w:r w:rsidRPr="007B30B6">
        <w:rPr>
          <w:rFonts w:ascii="Times New Roman" w:eastAsia="Times New Roman" w:hAnsi="Times New Roman" w:cs="Times New Roman"/>
          <w:sz w:val="24"/>
          <w:szCs w:val="24"/>
        </w:rPr>
        <w:t>.</w:t>
      </w:r>
      <w:r w:rsidR="00AD1AA8" w:rsidRP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Although geographically diverse, these countries share relatively similar structural positions within the trade network. Many maintain specialized bilateral trading relationships based on energy exports, mining, or specific manufacturing sectors rather than highly diversified global trade portfolios.</w:t>
      </w:r>
      <w:r w:rsidR="006E30D8" w:rsidRPr="00AD1AA8">
        <w:rPr>
          <w:rFonts w:ascii="Times New Roman" w:eastAsia="Times New Roman" w:hAnsi="Times New Roman" w:cs="Times New Roman"/>
          <w:sz w:val="24"/>
          <w:szCs w:val="24"/>
        </w:rPr>
        <w:t xml:space="preserve"> C</w:t>
      </w:r>
      <w:r w:rsidRPr="007B30B6">
        <w:rPr>
          <w:rFonts w:ascii="Times New Roman" w:eastAsia="Times New Roman" w:hAnsi="Times New Roman" w:cs="Times New Roman"/>
          <w:sz w:val="24"/>
          <w:szCs w:val="24"/>
        </w:rPr>
        <w:t>ompared with the industrial core, these economies generally exhibit fewer international carbon trade connections and rely more heavily on a limited number of major trading partners.</w:t>
      </w:r>
    </w:p>
    <w:p w:rsidR="007B30B6" w:rsidRPr="007B30B6" w:rsidRDefault="006E30D8" w:rsidP="005B5879">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AD1AA8">
        <w:rPr>
          <w:rFonts w:ascii="Times New Roman" w:eastAsia="Times New Roman" w:hAnsi="Times New Roman" w:cs="Times New Roman"/>
          <w:sz w:val="24"/>
          <w:szCs w:val="24"/>
        </w:rPr>
        <w:t>C</w:t>
      </w:r>
      <w:r w:rsidR="007B30B6" w:rsidRPr="007B30B6">
        <w:rPr>
          <w:rFonts w:ascii="Times New Roman" w:eastAsia="Times New Roman" w:hAnsi="Times New Roman" w:cs="Times New Roman"/>
          <w:sz w:val="24"/>
          <w:szCs w:val="24"/>
        </w:rPr>
        <w:t>ompared with 2019, the geographical configuration of the classes exhibits a noticeable redistribution, reflecting changes in countries' positions within the global carbon trade system following the post-pandemic recovery.</w:t>
      </w:r>
    </w:p>
    <w:p w:rsidR="007B30B6" w:rsidRPr="007B30B6" w:rsidRDefault="007B30B6" w:rsidP="005B5879">
      <w:pPr>
        <w:spacing w:before="100" w:beforeAutospacing="1" w:after="100" w:afterAutospacing="1" w:line="240" w:lineRule="auto"/>
        <w:ind w:left="-426" w:right="-421"/>
        <w:jc w:val="both"/>
        <w:rPr>
          <w:rFonts w:ascii="Times New Roman" w:eastAsia="Times New Roman" w:hAnsi="Times New Roman" w:cs="Times New Roman"/>
          <w:sz w:val="24"/>
          <w:szCs w:val="24"/>
        </w:rPr>
      </w:pPr>
      <w:r w:rsidRPr="007B30B6">
        <w:rPr>
          <w:rFonts w:ascii="Times New Roman" w:eastAsia="Times New Roman" w:hAnsi="Times New Roman" w:cs="Times New Roman"/>
          <w:sz w:val="24"/>
          <w:szCs w:val="24"/>
        </w:rPr>
        <w:t xml:space="preserve">In 2022, Class 4 </w:t>
      </w:r>
      <w:r w:rsidR="006E30D8" w:rsidRPr="007B30B6">
        <w:rPr>
          <w:rFonts w:ascii="Times New Roman" w:eastAsia="Times New Roman" w:hAnsi="Times New Roman" w:cs="Times New Roman"/>
          <w:bCs/>
          <w:sz w:val="24"/>
          <w:szCs w:val="24"/>
        </w:rPr>
        <w:t>(Black)</w:t>
      </w:r>
      <w:r w:rsidR="006E30D8" w:rsidRPr="00AD1AA8">
        <w:rPr>
          <w:rFonts w:ascii="Times New Roman" w:eastAsia="Times New Roman" w:hAnsi="Times New Roman" w:cs="Times New Roman"/>
          <w:bCs/>
          <w:sz w:val="24"/>
          <w:szCs w:val="24"/>
        </w:rPr>
        <w:t xml:space="preserve"> </w:t>
      </w:r>
      <w:r w:rsidRPr="007B30B6">
        <w:rPr>
          <w:rFonts w:ascii="Times New Roman" w:eastAsia="Times New Roman" w:hAnsi="Times New Roman" w:cs="Times New Roman"/>
          <w:sz w:val="24"/>
          <w:szCs w:val="24"/>
        </w:rPr>
        <w:t xml:space="preserve">remains concentrated among major industrialized and economically influential countries. The class includes </w:t>
      </w:r>
      <w:r w:rsidRPr="00AD1AA8">
        <w:rPr>
          <w:rFonts w:ascii="Times New Roman" w:eastAsia="Times New Roman" w:hAnsi="Times New Roman" w:cs="Times New Roman"/>
          <w:bCs/>
          <w:sz w:val="24"/>
          <w:szCs w:val="24"/>
        </w:rPr>
        <w:t>Canada,</w:t>
      </w:r>
      <w:r w:rsidR="006E30D8" w:rsidRPr="00AD1AA8">
        <w:rPr>
          <w:rFonts w:ascii="Times New Roman" w:eastAsia="Times New Roman" w:hAnsi="Times New Roman" w:cs="Times New Roman"/>
          <w:bCs/>
          <w:sz w:val="24"/>
          <w:szCs w:val="24"/>
        </w:rPr>
        <w:t xml:space="preserve"> Argentina,</w:t>
      </w:r>
      <w:r w:rsidRPr="00AD1AA8">
        <w:rPr>
          <w:rFonts w:ascii="Times New Roman" w:eastAsia="Times New Roman" w:hAnsi="Times New Roman" w:cs="Times New Roman"/>
          <w:bCs/>
          <w:sz w:val="24"/>
          <w:szCs w:val="24"/>
        </w:rPr>
        <w:t xml:space="preserve"> Brazil, Germany, Italy, Japan, Saudi Arabia, South Africa, Indonesia</w:t>
      </w:r>
      <w:r w:rsidRPr="007B30B6">
        <w:rPr>
          <w:rFonts w:ascii="Times New Roman" w:eastAsia="Times New Roman" w:hAnsi="Times New Roman" w:cs="Times New Roman"/>
          <w:sz w:val="24"/>
          <w:szCs w:val="24"/>
        </w:rPr>
        <w:t>, and several advanced European and Asian economies.</w:t>
      </w:r>
      <w:r w:rsidR="00AD1AA8" w:rsidRP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The geographical distribution indicates that these countries continue to constitute the principal hubs of international embodied carbon trade. Although dispersed across several continents, they share highly diversified trade relationships and extensive integration into global manufacturing and supply chains. The persistence of this geographically dispersed but economically connected core demonstrates that carbon trade continues to be dominated by a relatively small group of highly industrialized economies.</w:t>
      </w:r>
    </w:p>
    <w:p w:rsidR="007B30B6" w:rsidRPr="007B30B6" w:rsidRDefault="007B30B6" w:rsidP="005B5879">
      <w:pPr>
        <w:spacing w:before="100" w:beforeAutospacing="1" w:after="100" w:afterAutospacing="1" w:line="240" w:lineRule="auto"/>
        <w:ind w:left="-426" w:right="-421"/>
        <w:jc w:val="both"/>
        <w:outlineLvl w:val="1"/>
        <w:rPr>
          <w:rFonts w:ascii="Times New Roman" w:eastAsia="Times New Roman" w:hAnsi="Times New Roman" w:cs="Times New Roman"/>
          <w:bCs/>
          <w:sz w:val="24"/>
          <w:szCs w:val="24"/>
        </w:rPr>
      </w:pPr>
      <w:r w:rsidRPr="007B30B6">
        <w:rPr>
          <w:rFonts w:ascii="Times New Roman" w:eastAsia="Times New Roman" w:hAnsi="Times New Roman" w:cs="Times New Roman"/>
          <w:bCs/>
          <w:sz w:val="24"/>
          <w:szCs w:val="24"/>
        </w:rPr>
        <w:t>Class 3 (Yellow</w:t>
      </w:r>
      <w:r w:rsidR="006E30D8" w:rsidRPr="00AD1AA8">
        <w:rPr>
          <w:rFonts w:ascii="Times New Roman" w:eastAsia="Times New Roman" w:hAnsi="Times New Roman" w:cs="Times New Roman"/>
          <w:bCs/>
          <w:sz w:val="24"/>
          <w:szCs w:val="24"/>
        </w:rPr>
        <w:t xml:space="preserve">) </w:t>
      </w:r>
      <w:r w:rsidRPr="007B30B6">
        <w:rPr>
          <w:rFonts w:ascii="Times New Roman" w:eastAsia="Times New Roman" w:hAnsi="Times New Roman" w:cs="Times New Roman"/>
          <w:sz w:val="24"/>
          <w:szCs w:val="24"/>
        </w:rPr>
        <w:t xml:space="preserve">is primarily distributed across </w:t>
      </w:r>
      <w:r w:rsidRPr="00AD1AA8">
        <w:rPr>
          <w:rFonts w:ascii="Times New Roman" w:eastAsia="Times New Roman" w:hAnsi="Times New Roman" w:cs="Times New Roman"/>
          <w:bCs/>
          <w:sz w:val="24"/>
          <w:szCs w:val="24"/>
        </w:rPr>
        <w:t>North America, South Asia, East Asia, and parts of Europe</w:t>
      </w:r>
      <w:r w:rsidRPr="007B30B6">
        <w:rPr>
          <w:rFonts w:ascii="Times New Roman" w:eastAsia="Times New Roman" w:hAnsi="Times New Roman" w:cs="Times New Roman"/>
          <w:sz w:val="24"/>
          <w:szCs w:val="24"/>
        </w:rPr>
        <w:t xml:space="preserve">, including countries such as the </w:t>
      </w:r>
      <w:r w:rsidRPr="00AD1AA8">
        <w:rPr>
          <w:rFonts w:ascii="Times New Roman" w:eastAsia="Times New Roman" w:hAnsi="Times New Roman" w:cs="Times New Roman"/>
          <w:bCs/>
          <w:sz w:val="24"/>
          <w:szCs w:val="24"/>
        </w:rPr>
        <w:t xml:space="preserve">United States, China, India, and several Central European </w:t>
      </w:r>
      <w:r w:rsidRPr="00AD1AA8">
        <w:rPr>
          <w:rFonts w:ascii="Times New Roman" w:eastAsia="Times New Roman" w:hAnsi="Times New Roman" w:cs="Times New Roman"/>
          <w:bCs/>
          <w:sz w:val="24"/>
          <w:szCs w:val="24"/>
        </w:rPr>
        <w:lastRenderedPageBreak/>
        <w:t>economies</w:t>
      </w:r>
      <w:r w:rsidRPr="007B30B6">
        <w:rPr>
          <w:rFonts w:ascii="Times New Roman" w:eastAsia="Times New Roman" w:hAnsi="Times New Roman" w:cs="Times New Roman"/>
          <w:sz w:val="24"/>
          <w:szCs w:val="24"/>
        </w:rPr>
        <w:t>.</w:t>
      </w:r>
      <w:r w:rsidR="00AD1AA8" w:rsidRPr="00AD1AA8">
        <w:rPr>
          <w:rFonts w:ascii="Times New Roman" w:eastAsia="Times New Roman" w:hAnsi="Times New Roman" w:cs="Times New Roman"/>
          <w:bCs/>
          <w:sz w:val="24"/>
          <w:szCs w:val="24"/>
        </w:rPr>
        <w:t xml:space="preserve"> </w:t>
      </w:r>
      <w:r w:rsidRPr="007B30B6">
        <w:rPr>
          <w:rFonts w:ascii="Times New Roman" w:eastAsia="Times New Roman" w:hAnsi="Times New Roman" w:cs="Times New Roman"/>
          <w:sz w:val="24"/>
          <w:szCs w:val="24"/>
        </w:rPr>
        <w:t>Compared with 2019, this class becomes more concentrated within the world's major manufacturing regions. Many countries in this class possess large industrial sectors and strong export capabilities while maintaining extensive interactions with the global core. Their distribution suggests that these economies increasingly function as major production and processing centers within international carbon-intensive supply chains.</w:t>
      </w:r>
    </w:p>
    <w:p w:rsidR="007B30B6" w:rsidRPr="007B30B6" w:rsidRDefault="007B30B6" w:rsidP="005B5879">
      <w:pPr>
        <w:spacing w:before="100" w:beforeAutospacing="1" w:after="100" w:afterAutospacing="1" w:line="240" w:lineRule="auto"/>
        <w:ind w:left="-426" w:right="-421"/>
        <w:jc w:val="both"/>
        <w:outlineLvl w:val="1"/>
        <w:rPr>
          <w:rFonts w:ascii="Times New Roman" w:eastAsia="Times New Roman" w:hAnsi="Times New Roman" w:cs="Times New Roman"/>
          <w:sz w:val="24"/>
          <w:szCs w:val="24"/>
        </w:rPr>
      </w:pPr>
      <w:r w:rsidRPr="007B30B6">
        <w:rPr>
          <w:rFonts w:ascii="Times New Roman" w:eastAsia="Times New Roman" w:hAnsi="Times New Roman" w:cs="Times New Roman"/>
          <w:bCs/>
          <w:sz w:val="24"/>
          <w:szCs w:val="24"/>
        </w:rPr>
        <w:t>Class 2 (Cyan)</w:t>
      </w:r>
      <w:r w:rsidRPr="007B30B6">
        <w:rPr>
          <w:rFonts w:ascii="Times New Roman" w:eastAsia="Times New Roman" w:hAnsi="Times New Roman" w:cs="Times New Roman"/>
          <w:sz w:val="24"/>
          <w:szCs w:val="24"/>
        </w:rPr>
        <w:t xml:space="preserve"> is widely distributed across </w:t>
      </w:r>
      <w:r w:rsidRPr="00AD1AA8">
        <w:rPr>
          <w:rFonts w:ascii="Times New Roman" w:eastAsia="Times New Roman" w:hAnsi="Times New Roman" w:cs="Times New Roman"/>
          <w:bCs/>
          <w:sz w:val="24"/>
          <w:szCs w:val="24"/>
        </w:rPr>
        <w:t>South America, Central Asia, Russia, Australia, Mexico, and parts of Africa</w:t>
      </w:r>
      <w:r w:rsidRPr="007B30B6">
        <w:rPr>
          <w:rFonts w:ascii="Times New Roman" w:eastAsia="Times New Roman" w:hAnsi="Times New Roman" w:cs="Times New Roman"/>
          <w:sz w:val="24"/>
          <w:szCs w:val="24"/>
        </w:rPr>
        <w:t>.</w:t>
      </w:r>
      <w:r w:rsidR="00AD1AA8" w:rsidRP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 xml:space="preserve">Unlike 2019, where many African countries dominated this class, the 2022 distribution includes several economically important regional economies. Countries such as </w:t>
      </w:r>
      <w:r w:rsidRPr="00AD1AA8">
        <w:rPr>
          <w:rFonts w:ascii="Times New Roman" w:eastAsia="Times New Roman" w:hAnsi="Times New Roman" w:cs="Times New Roman"/>
          <w:bCs/>
          <w:sz w:val="24"/>
          <w:szCs w:val="24"/>
        </w:rPr>
        <w:t>Australia, Mexico, Argentina, Chile, Peru, and Russia</w:t>
      </w:r>
      <w:r w:rsidRPr="007B30B6">
        <w:rPr>
          <w:rFonts w:ascii="Times New Roman" w:eastAsia="Times New Roman" w:hAnsi="Times New Roman" w:cs="Times New Roman"/>
          <w:sz w:val="24"/>
          <w:szCs w:val="24"/>
        </w:rPr>
        <w:t xml:space="preserve"> suggest that this class increasingly represents </w:t>
      </w:r>
      <w:r w:rsidRPr="00AD1AA8">
        <w:rPr>
          <w:rFonts w:ascii="Times New Roman" w:eastAsia="Times New Roman" w:hAnsi="Times New Roman" w:cs="Times New Roman"/>
          <w:bCs/>
          <w:sz w:val="24"/>
          <w:szCs w:val="24"/>
        </w:rPr>
        <w:t>regional bridge economies</w:t>
      </w:r>
      <w:r w:rsidRPr="007B30B6">
        <w:rPr>
          <w:rFonts w:ascii="Times New Roman" w:eastAsia="Times New Roman" w:hAnsi="Times New Roman" w:cs="Times New Roman"/>
          <w:sz w:val="24"/>
          <w:szCs w:val="24"/>
        </w:rPr>
        <w:t xml:space="preserve"> that connect peripheral markets with the global industrial core.</w:t>
      </w:r>
      <w:r w:rsidR="00AD1AA8">
        <w:rPr>
          <w:rFonts w:ascii="Times New Roman" w:eastAsia="Times New Roman" w:hAnsi="Times New Roman" w:cs="Times New Roman"/>
          <w:sz w:val="24"/>
          <w:szCs w:val="24"/>
        </w:rPr>
        <w:t xml:space="preserve"> </w:t>
      </w:r>
      <w:r w:rsidRPr="007B30B6">
        <w:rPr>
          <w:rFonts w:ascii="Times New Roman" w:eastAsia="Times New Roman" w:hAnsi="Times New Roman" w:cs="Times New Roman"/>
          <w:sz w:val="24"/>
          <w:szCs w:val="24"/>
        </w:rPr>
        <w:t>The wider continental representation indicates growing diversification of regional trade networks following the recovery of international commerce.</w:t>
      </w:r>
    </w:p>
    <w:p w:rsidR="007B30B6" w:rsidRPr="007B30B6" w:rsidRDefault="00AD1AA8" w:rsidP="005B5879">
      <w:pPr>
        <w:spacing w:before="100" w:beforeAutospacing="1" w:after="100" w:afterAutospacing="1" w:line="240" w:lineRule="auto"/>
        <w:ind w:left="-426" w:right="-421"/>
        <w:jc w:val="both"/>
        <w:outlineLvl w:val="1"/>
        <w:rPr>
          <w:rFonts w:ascii="Times New Roman" w:eastAsia="Times New Roman" w:hAnsi="Times New Roman" w:cs="Times New Roman"/>
          <w:sz w:val="24"/>
          <w:szCs w:val="24"/>
        </w:rPr>
      </w:pPr>
      <w:r w:rsidRPr="00AD1AA8">
        <w:rPr>
          <w:rFonts w:ascii="Times New Roman" w:eastAsia="Times New Roman" w:hAnsi="Times New Roman" w:cs="Times New Roman"/>
          <w:bCs/>
          <w:sz w:val="24"/>
          <w:szCs w:val="24"/>
        </w:rPr>
        <w:t>Class 1 (</w:t>
      </w:r>
      <w:r w:rsidR="007B30B6" w:rsidRPr="007B30B6">
        <w:rPr>
          <w:rFonts w:ascii="Times New Roman" w:eastAsia="Times New Roman" w:hAnsi="Times New Roman" w:cs="Times New Roman"/>
          <w:bCs/>
          <w:sz w:val="24"/>
          <w:szCs w:val="24"/>
        </w:rPr>
        <w:t>Red</w:t>
      </w:r>
      <w:r w:rsidRPr="00AD1AA8">
        <w:rPr>
          <w:rFonts w:ascii="Times New Roman" w:eastAsia="Times New Roman" w:hAnsi="Times New Roman" w:cs="Times New Roman"/>
          <w:bCs/>
          <w:sz w:val="24"/>
          <w:szCs w:val="24"/>
        </w:rPr>
        <w:t>)</w:t>
      </w:r>
      <w:r w:rsidR="007B30B6" w:rsidRPr="007B30B6">
        <w:rPr>
          <w:rFonts w:ascii="Times New Roman" w:eastAsia="Times New Roman" w:hAnsi="Times New Roman" w:cs="Times New Roman"/>
          <w:sz w:val="24"/>
          <w:szCs w:val="24"/>
        </w:rPr>
        <w:t xml:space="preserve"> is now heavily concentrated across </w:t>
      </w:r>
      <w:r w:rsidR="007B30B6" w:rsidRPr="00AD1AA8">
        <w:rPr>
          <w:rFonts w:ascii="Times New Roman" w:eastAsia="Times New Roman" w:hAnsi="Times New Roman" w:cs="Times New Roman"/>
          <w:bCs/>
          <w:sz w:val="24"/>
          <w:szCs w:val="24"/>
        </w:rPr>
        <w:t>Sub-Saharan Africa</w:t>
      </w:r>
      <w:r w:rsidR="007B30B6" w:rsidRPr="007B30B6">
        <w:rPr>
          <w:rFonts w:ascii="Times New Roman" w:eastAsia="Times New Roman" w:hAnsi="Times New Roman" w:cs="Times New Roman"/>
          <w:sz w:val="24"/>
          <w:szCs w:val="24"/>
        </w:rPr>
        <w:t xml:space="preserve">, together with several countries in </w:t>
      </w:r>
      <w:r w:rsidR="007B30B6" w:rsidRPr="00AD1AA8">
        <w:rPr>
          <w:rFonts w:ascii="Times New Roman" w:eastAsia="Times New Roman" w:hAnsi="Times New Roman" w:cs="Times New Roman"/>
          <w:bCs/>
          <w:sz w:val="24"/>
          <w:szCs w:val="24"/>
        </w:rPr>
        <w:t>Central Asia, Southeast Asia, and Oceania</w:t>
      </w:r>
      <w:r w:rsidR="007B30B6" w:rsidRPr="007B30B6">
        <w:rPr>
          <w:rFonts w:ascii="Times New Roman" w:eastAsia="Times New Roman" w:hAnsi="Times New Roman" w:cs="Times New Roman"/>
          <w:sz w:val="24"/>
          <w:szCs w:val="24"/>
        </w:rPr>
        <w:t>.</w:t>
      </w:r>
      <w:r w:rsidRPr="00AD1AA8">
        <w:rPr>
          <w:rFonts w:ascii="Times New Roman" w:eastAsia="Times New Roman" w:hAnsi="Times New Roman" w:cs="Times New Roman"/>
          <w:sz w:val="24"/>
          <w:szCs w:val="24"/>
        </w:rPr>
        <w:t xml:space="preserve"> </w:t>
      </w:r>
      <w:r w:rsidR="007B30B6" w:rsidRPr="007B30B6">
        <w:rPr>
          <w:rFonts w:ascii="Times New Roman" w:eastAsia="Times New Roman" w:hAnsi="Times New Roman" w:cs="Times New Roman"/>
          <w:sz w:val="24"/>
          <w:szCs w:val="24"/>
        </w:rPr>
        <w:t>Compared with 2019, the geographical concentration of Class 1 becomes much more apparent. Most African countries belong to this class, indicating relatively limited integration into global carbon-intensive trade networks. The predominance of this class in lower-income economies suggests continued dependence on a relatively small number of major trading partners.</w:t>
      </w:r>
      <w:r>
        <w:rPr>
          <w:rFonts w:ascii="Times New Roman" w:eastAsia="Times New Roman" w:hAnsi="Times New Roman" w:cs="Times New Roman"/>
          <w:sz w:val="24"/>
          <w:szCs w:val="24"/>
        </w:rPr>
        <w:t xml:space="preserve"> </w:t>
      </w:r>
      <w:r w:rsidR="007B30B6" w:rsidRPr="007B30B6">
        <w:rPr>
          <w:rFonts w:ascii="Times New Roman" w:eastAsia="Times New Roman" w:hAnsi="Times New Roman" w:cs="Times New Roman"/>
          <w:sz w:val="24"/>
          <w:szCs w:val="24"/>
        </w:rPr>
        <w:t>This concentration reflects persistent disparities in participation within global value chains.</w:t>
      </w:r>
    </w:p>
    <w:p w:rsidR="007B30B6" w:rsidRPr="007B30B6" w:rsidRDefault="007B30B6" w:rsidP="005B5879">
      <w:pPr>
        <w:spacing w:beforeAutospacing="1" w:after="100" w:afterAutospacing="1" w:line="240" w:lineRule="auto"/>
        <w:ind w:left="-426" w:right="-421"/>
        <w:jc w:val="both"/>
        <w:rPr>
          <w:rFonts w:ascii="Times New Roman" w:eastAsia="Times New Roman" w:hAnsi="Times New Roman" w:cs="Times New Roman"/>
          <w:sz w:val="24"/>
          <w:szCs w:val="24"/>
        </w:rPr>
      </w:pPr>
      <w:r w:rsidRPr="007B30B6">
        <w:rPr>
          <w:rFonts w:ascii="Times New Roman" w:eastAsia="Times New Roman" w:hAnsi="Times New Roman" w:cs="Times New Roman"/>
          <w:sz w:val="24"/>
          <w:szCs w:val="24"/>
        </w:rPr>
        <w:t xml:space="preserve">Comparison of the geographical distributions between 2019 and 2022 reveals that the International Carbon Trade Network underwent a process of structural reorganization rather than fundamental transformation. The most notable change is the reversal of the structural roles occupied by Classes 1 and 3. In 2019, the peripheral positions in the network were predominantly associated with the latent community represented by Class 3, whereas by 2022 this peripheral role had shifted to Class 1. Simultaneously, the intermediate classes expanded to include several emerging regional economies, including Australia, Mexico, Argentina, and Russia, indicating stronger regional integration into global carbon trade. Despite these changes, the industrial core remained geographically stable across North America, Europe, and East Asia, demonstrating the persistence of the dominant global production centers. Overall, the findings suggest that the post-pandemic evolution of the International Carbon Trade Network was characterized by the redistribution of structural roles among countries rather than a reconfiguration of the overall network </w:t>
      </w:r>
      <w:r w:rsidR="00D60F84">
        <w:rPr>
          <w:rFonts w:ascii="Times New Roman" w:eastAsia="Times New Roman" w:hAnsi="Times New Roman" w:cs="Times New Roman"/>
          <w:sz w:val="24"/>
          <w:szCs w:val="24"/>
        </w:rPr>
        <w:t>architecture.</w:t>
      </w:r>
    </w:p>
    <w:p w:rsidR="007B30B6" w:rsidRPr="007B30B6" w:rsidRDefault="005B5879" w:rsidP="005B5879">
      <w:pPr>
        <w:spacing w:before="100" w:beforeAutospacing="1" w:after="100" w:afterAutospacing="1" w:line="240" w:lineRule="auto"/>
        <w:ind w:left="-426" w:right="-42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simplePos x="0" y="0"/>
            <wp:positionH relativeFrom="column">
              <wp:posOffset>-514350</wp:posOffset>
            </wp:positionH>
            <wp:positionV relativeFrom="paragraph">
              <wp:posOffset>2109470</wp:posOffset>
            </wp:positionV>
            <wp:extent cx="3343275" cy="2228850"/>
            <wp:effectExtent l="19050" t="0" r="9525" b="0"/>
            <wp:wrapTopAndBottom/>
            <wp:docPr id="2" name="Picture 1" descr="2019-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6.jpeg"/>
                    <pic:cNvPicPr/>
                  </pic:nvPicPr>
                  <pic:blipFill>
                    <a:blip r:embed="rId250" cstate="print"/>
                    <a:srcRect l="11979" t="13786" r="11595" b="4733"/>
                    <a:stretch>
                      <a:fillRect/>
                    </a:stretch>
                  </pic:blipFill>
                  <pic:spPr>
                    <a:xfrm>
                      <a:off x="0" y="0"/>
                      <a:ext cx="3343275" cy="2228850"/>
                    </a:xfrm>
                    <a:prstGeom prst="rect">
                      <a:avLst/>
                    </a:prstGeom>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simplePos x="0" y="0"/>
            <wp:positionH relativeFrom="column">
              <wp:posOffset>2804160</wp:posOffset>
            </wp:positionH>
            <wp:positionV relativeFrom="paragraph">
              <wp:posOffset>2108200</wp:posOffset>
            </wp:positionV>
            <wp:extent cx="3469005" cy="2209800"/>
            <wp:effectExtent l="19050" t="0" r="0" b="0"/>
            <wp:wrapTopAndBottom/>
            <wp:docPr id="3" name="Picture 2" descr="02-2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022.jpeg"/>
                    <pic:cNvPicPr/>
                  </pic:nvPicPr>
                  <pic:blipFill>
                    <a:blip r:embed="rId251" cstate="print"/>
                    <a:srcRect l="10826" t="14815" r="11411" b="5761"/>
                    <a:stretch>
                      <a:fillRect/>
                    </a:stretch>
                  </pic:blipFill>
                  <pic:spPr>
                    <a:xfrm>
                      <a:off x="0" y="0"/>
                      <a:ext cx="3469005" cy="2209800"/>
                    </a:xfrm>
                    <a:prstGeom prst="rect">
                      <a:avLst/>
                    </a:prstGeom>
                  </pic:spPr>
                </pic:pic>
              </a:graphicData>
            </a:graphic>
          </wp:anchor>
        </w:drawing>
      </w:r>
      <w:r w:rsidR="007B30B6" w:rsidRPr="007B30B6">
        <w:rPr>
          <w:rFonts w:ascii="Times New Roman" w:eastAsia="Times New Roman" w:hAnsi="Times New Roman" w:cs="Times New Roman"/>
          <w:sz w:val="24"/>
          <w:szCs w:val="24"/>
        </w:rPr>
        <w:t>There is one particularly interesting finding that deserves emphasis because it is not c</w:t>
      </w:r>
      <w:r w:rsidR="00AD1AA8" w:rsidRPr="00D60F84">
        <w:rPr>
          <w:rFonts w:ascii="Times New Roman" w:eastAsia="Times New Roman" w:hAnsi="Times New Roman" w:cs="Times New Roman"/>
          <w:sz w:val="24"/>
          <w:szCs w:val="24"/>
        </w:rPr>
        <w:t xml:space="preserve">ommonly reported in SBM studies where </w:t>
      </w:r>
      <w:r w:rsidR="00AD1AA8" w:rsidRPr="00D60F84">
        <w:rPr>
          <w:rFonts w:ascii="Times New Roman" w:eastAsia="Times New Roman" w:hAnsi="Times New Roman" w:cs="Times New Roman"/>
          <w:bCs/>
          <w:sz w:val="24"/>
          <w:szCs w:val="24"/>
        </w:rPr>
        <w:t xml:space="preserve">network graph articulated </w:t>
      </w:r>
      <w:r w:rsidR="00D60F84" w:rsidRPr="00D60F84">
        <w:rPr>
          <w:rFonts w:ascii="Times New Roman" w:eastAsia="Times New Roman" w:hAnsi="Times New Roman" w:cs="Times New Roman"/>
          <w:bCs/>
          <w:sz w:val="24"/>
          <w:szCs w:val="24"/>
        </w:rPr>
        <w:t xml:space="preserve">that </w:t>
      </w:r>
      <w:r w:rsidR="00D60F84" w:rsidRPr="00D60F84">
        <w:rPr>
          <w:rFonts w:ascii="Times New Roman" w:eastAsia="Times New Roman" w:hAnsi="Times New Roman" w:cs="Times New Roman"/>
          <w:sz w:val="24"/>
          <w:szCs w:val="24"/>
        </w:rPr>
        <w:t xml:space="preserve">the </w:t>
      </w:r>
      <w:r w:rsidR="00D60F84" w:rsidRPr="00D60F84">
        <w:rPr>
          <w:rFonts w:ascii="Times New Roman" w:eastAsia="Times New Roman" w:hAnsi="Times New Roman" w:cs="Times New Roman"/>
          <w:bCs/>
          <w:sz w:val="24"/>
          <w:szCs w:val="24"/>
        </w:rPr>
        <w:t>peripheral structural role shifted from class 3 (2019) to class 1 (2022)</w:t>
      </w:r>
      <w:r w:rsidR="007B30B6" w:rsidRPr="007B30B6">
        <w:rPr>
          <w:rFonts w:ascii="Times New Roman" w:eastAsia="Times New Roman" w:hAnsi="Times New Roman" w:cs="Times New Roman"/>
          <w:sz w:val="24"/>
          <w:szCs w:val="24"/>
        </w:rPr>
        <w:t>, indicating a change in the latent community occupying the network periphery</w:t>
      </w:r>
      <w:r>
        <w:rPr>
          <w:rFonts w:ascii="Times New Roman" w:eastAsia="Times New Roman" w:hAnsi="Times New Roman" w:cs="Times New Roman"/>
          <w:sz w:val="24"/>
          <w:szCs w:val="24"/>
        </w:rPr>
        <w:t xml:space="preserve"> </w:t>
      </w:r>
      <w:r w:rsidR="007B30B6" w:rsidRPr="007B30B6">
        <w:rPr>
          <w:rFonts w:ascii="Times New Roman" w:eastAsia="Times New Roman" w:hAnsi="Times New Roman" w:cs="Times New Roman"/>
          <w:sz w:val="24"/>
          <w:szCs w:val="24"/>
        </w:rPr>
        <w:t>.</w:t>
      </w:r>
      <w:r w:rsidR="00D60F84" w:rsidRPr="00D60F84">
        <w:rPr>
          <w:rFonts w:ascii="Times New Roman" w:eastAsia="Times New Roman" w:hAnsi="Times New Roman" w:cs="Times New Roman"/>
          <w:bCs/>
          <w:sz w:val="24"/>
          <w:szCs w:val="24"/>
        </w:rPr>
        <w:t xml:space="preserve">Whereas the </w:t>
      </w:r>
      <w:r w:rsidR="007B30B6" w:rsidRPr="00D60F84">
        <w:rPr>
          <w:rFonts w:ascii="Times New Roman" w:eastAsia="Times New Roman" w:hAnsi="Times New Roman" w:cs="Times New Roman"/>
          <w:bCs/>
          <w:sz w:val="24"/>
          <w:szCs w:val="24"/>
        </w:rPr>
        <w:t>Geographical map</w:t>
      </w:r>
      <w:r w:rsidR="00D60F84" w:rsidRPr="00D60F84">
        <w:rPr>
          <w:rFonts w:ascii="Times New Roman" w:eastAsia="Times New Roman" w:hAnsi="Times New Roman" w:cs="Times New Roman"/>
          <w:bCs/>
          <w:sz w:val="24"/>
          <w:szCs w:val="24"/>
        </w:rPr>
        <w:t xml:space="preserve"> concludes</w:t>
      </w:r>
      <w:r w:rsidR="007B30B6" w:rsidRPr="007B30B6">
        <w:rPr>
          <w:rFonts w:ascii="Times New Roman" w:eastAsia="Times New Roman" w:hAnsi="Times New Roman" w:cs="Times New Roman"/>
          <w:sz w:val="24"/>
          <w:szCs w:val="24"/>
        </w:rPr>
        <w:t xml:space="preserve"> shift is accompanied by a </w:t>
      </w:r>
      <w:r w:rsidR="007B30B6" w:rsidRPr="00D60F84">
        <w:rPr>
          <w:rFonts w:ascii="Times New Roman" w:eastAsia="Times New Roman" w:hAnsi="Times New Roman" w:cs="Times New Roman"/>
          <w:bCs/>
          <w:sz w:val="24"/>
          <w:szCs w:val="24"/>
        </w:rPr>
        <w:t>regional concentration of the new peripheral class in Sub-Saharan Africa and other developing economies</w:t>
      </w:r>
      <w:r w:rsidR="007B30B6" w:rsidRPr="007B30B6">
        <w:rPr>
          <w:rFonts w:ascii="Times New Roman" w:eastAsia="Times New Roman" w:hAnsi="Times New Roman" w:cs="Times New Roman"/>
          <w:sz w:val="24"/>
          <w:szCs w:val="24"/>
        </w:rPr>
        <w:t xml:space="preserve">, while the former peripheral class </w:t>
      </w:r>
      <w:r w:rsidR="007B30B6" w:rsidRPr="007B30B6">
        <w:rPr>
          <w:rFonts w:ascii="Times New Roman" w:eastAsia="Times New Roman" w:hAnsi="Times New Roman" w:cs="Times New Roman"/>
          <w:sz w:val="24"/>
          <w:szCs w:val="24"/>
        </w:rPr>
        <w:lastRenderedPageBreak/>
        <w:t>evolved into an intermediate group with stronger connections to the network core.</w:t>
      </w:r>
      <w:r>
        <w:rPr>
          <w:rFonts w:ascii="Times New Roman" w:eastAsia="Times New Roman" w:hAnsi="Times New Roman" w:cs="Times New Roman"/>
          <w:sz w:val="24"/>
          <w:szCs w:val="24"/>
        </w:rPr>
        <w:t xml:space="preserve"> </w:t>
      </w:r>
      <w:r w:rsidR="007B30B6" w:rsidRPr="007B30B6">
        <w:rPr>
          <w:rFonts w:ascii="Times New Roman" w:eastAsia="Times New Roman" w:hAnsi="Times New Roman" w:cs="Times New Roman"/>
          <w:sz w:val="24"/>
          <w:szCs w:val="24"/>
        </w:rPr>
        <w:t xml:space="preserve">This combination of </w:t>
      </w:r>
      <w:r w:rsidR="007B30B6" w:rsidRPr="00AD1AA8">
        <w:rPr>
          <w:rFonts w:ascii="Times New Roman" w:eastAsia="Times New Roman" w:hAnsi="Times New Roman" w:cs="Times New Roman"/>
          <w:bCs/>
          <w:sz w:val="24"/>
          <w:szCs w:val="24"/>
        </w:rPr>
        <w:t>SBM topology (network position)</w:t>
      </w:r>
      <w:r w:rsidR="007B30B6" w:rsidRPr="007B30B6">
        <w:rPr>
          <w:rFonts w:ascii="Times New Roman" w:eastAsia="Times New Roman" w:hAnsi="Times New Roman" w:cs="Times New Roman"/>
          <w:sz w:val="24"/>
          <w:szCs w:val="24"/>
        </w:rPr>
        <w:t xml:space="preserve"> and </w:t>
      </w:r>
      <w:r w:rsidR="007B30B6" w:rsidRPr="00AD1AA8">
        <w:rPr>
          <w:rFonts w:ascii="Times New Roman" w:eastAsia="Times New Roman" w:hAnsi="Times New Roman" w:cs="Times New Roman"/>
          <w:bCs/>
          <w:sz w:val="24"/>
          <w:szCs w:val="24"/>
        </w:rPr>
        <w:t>geographical distribution (regional pattern)</w:t>
      </w:r>
      <w:r w:rsidR="007B30B6" w:rsidRPr="007B30B6">
        <w:rPr>
          <w:rFonts w:ascii="Times New Roman" w:eastAsia="Times New Roman" w:hAnsi="Times New Roman" w:cs="Times New Roman"/>
          <w:sz w:val="24"/>
          <w:szCs w:val="24"/>
        </w:rPr>
        <w:t xml:space="preserve"> provides a much stronger narrative than interpreting either figure alone and demonstrates how the </w:t>
      </w:r>
      <w:r w:rsidR="007B30B6" w:rsidRPr="00AD1AA8">
        <w:rPr>
          <w:rFonts w:ascii="Times New Roman" w:eastAsia="Times New Roman" w:hAnsi="Times New Roman" w:cs="Times New Roman"/>
          <w:bCs/>
          <w:sz w:val="24"/>
          <w:szCs w:val="24"/>
        </w:rPr>
        <w:t>structural roles of countries in the International Carbon Trade Network evolved over time while the overall core–periphery architecture remained stable</w:t>
      </w:r>
      <w:r w:rsidR="007B30B6" w:rsidRPr="007B30B6">
        <w:rPr>
          <w:rFonts w:ascii="Times New Roman" w:eastAsia="Times New Roman" w:hAnsi="Times New Roman" w:cs="Times New Roman"/>
          <w:sz w:val="24"/>
          <w:szCs w:val="24"/>
        </w:rPr>
        <w:t>.</w:t>
      </w:r>
    </w:p>
    <w:p w:rsidR="00EB589F" w:rsidRPr="00F00CA0" w:rsidRDefault="00EB589F" w:rsidP="007B30B6">
      <w:pPr>
        <w:spacing w:before="100" w:beforeAutospacing="1" w:after="0"/>
        <w:rPr>
          <w:rFonts w:ascii="Times New Roman" w:eastAsia="Times New Roman" w:hAnsi="Times New Roman" w:cs="Times New Roman"/>
          <w:color w:val="1F1F1F"/>
        </w:rPr>
      </w:pPr>
    </w:p>
    <w:p w:rsidR="00EB589F" w:rsidRDefault="00EB589F" w:rsidP="00C70D53">
      <w:pPr>
        <w:spacing w:after="0"/>
        <w:ind w:left="-426" w:right="-421"/>
        <w:rPr>
          <w:rFonts w:ascii="Times New Roman" w:hAnsi="Times New Roman" w:cs="Times New Roman"/>
          <w:lang w:val="en-IN"/>
        </w:rPr>
      </w:pPr>
    </w:p>
    <w:p w:rsidR="00004035" w:rsidRPr="009C4966" w:rsidRDefault="007444FC" w:rsidP="00E87B5F">
      <w:pPr>
        <w:pStyle w:val="ListParagraph"/>
        <w:numPr>
          <w:ilvl w:val="0"/>
          <w:numId w:val="1"/>
        </w:numPr>
        <w:spacing w:after="0"/>
        <w:ind w:right="-421"/>
        <w:rPr>
          <w:rFonts w:ascii="Times New Roman" w:hAnsi="Times New Roman" w:cs="Times New Roman"/>
          <w:b/>
          <w:lang w:val="en-IN"/>
        </w:rPr>
      </w:pPr>
      <w:r w:rsidRPr="00004035">
        <w:rPr>
          <w:rFonts w:ascii="Times New Roman" w:hAnsi="Times New Roman" w:cs="Times New Roman"/>
          <w:b/>
          <w:lang w:val="en-IN"/>
        </w:rPr>
        <w:t>Conclusion</w:t>
      </w:r>
    </w:p>
    <w:sectPr w:rsidR="00004035" w:rsidRPr="009C4966" w:rsidSect="004250B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7B5F" w:rsidRDefault="00E87B5F" w:rsidP="006906ED">
      <w:pPr>
        <w:spacing w:after="0" w:line="240" w:lineRule="auto"/>
      </w:pPr>
      <w:r>
        <w:separator/>
      </w:r>
    </w:p>
  </w:endnote>
  <w:endnote w:type="continuationSeparator" w:id="0">
    <w:p w:rsidR="00E87B5F" w:rsidRDefault="00E87B5F" w:rsidP="006906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7B5F" w:rsidRDefault="00E87B5F" w:rsidP="006906ED">
      <w:pPr>
        <w:spacing w:after="0" w:line="240" w:lineRule="auto"/>
      </w:pPr>
      <w:r>
        <w:separator/>
      </w:r>
    </w:p>
  </w:footnote>
  <w:footnote w:type="continuationSeparator" w:id="0">
    <w:p w:rsidR="00E87B5F" w:rsidRDefault="00E87B5F" w:rsidP="006906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9328EC"/>
    <w:multiLevelType w:val="hybridMultilevel"/>
    <w:tmpl w:val="453A2038"/>
    <w:lvl w:ilvl="0" w:tplc="E5988D32">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
    <w:nsid w:val="7D851ABA"/>
    <w:multiLevelType w:val="multilevel"/>
    <w:tmpl w:val="33D4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hdrShapeDefaults>
    <o:shapedefaults v:ext="edit" spidmax="24578"/>
  </w:hdrShapeDefaults>
  <w:footnotePr>
    <w:footnote w:id="-1"/>
    <w:footnote w:id="0"/>
  </w:footnotePr>
  <w:endnotePr>
    <w:endnote w:id="-1"/>
    <w:endnote w:id="0"/>
  </w:endnotePr>
  <w:compat/>
  <w:rsids>
    <w:rsidRoot w:val="006112C4"/>
    <w:rsid w:val="00004035"/>
    <w:rsid w:val="000107A1"/>
    <w:rsid w:val="000605B9"/>
    <w:rsid w:val="00060693"/>
    <w:rsid w:val="0006672C"/>
    <w:rsid w:val="00067433"/>
    <w:rsid w:val="000B608C"/>
    <w:rsid w:val="000C0B80"/>
    <w:rsid w:val="000C0B85"/>
    <w:rsid w:val="000C12E0"/>
    <w:rsid w:val="000C1CDE"/>
    <w:rsid w:val="000C5709"/>
    <w:rsid w:val="001038A1"/>
    <w:rsid w:val="00103ECD"/>
    <w:rsid w:val="00123E53"/>
    <w:rsid w:val="0015087C"/>
    <w:rsid w:val="001578D0"/>
    <w:rsid w:val="001E67C4"/>
    <w:rsid w:val="001F5EB1"/>
    <w:rsid w:val="00205068"/>
    <w:rsid w:val="002226D3"/>
    <w:rsid w:val="002258F9"/>
    <w:rsid w:val="00232D4F"/>
    <w:rsid w:val="00241A6C"/>
    <w:rsid w:val="00247EAB"/>
    <w:rsid w:val="00286DFF"/>
    <w:rsid w:val="00291A15"/>
    <w:rsid w:val="002B1151"/>
    <w:rsid w:val="002B387E"/>
    <w:rsid w:val="002C05D1"/>
    <w:rsid w:val="003233AC"/>
    <w:rsid w:val="00341151"/>
    <w:rsid w:val="00350C36"/>
    <w:rsid w:val="00353C25"/>
    <w:rsid w:val="00371A70"/>
    <w:rsid w:val="00380991"/>
    <w:rsid w:val="003870FD"/>
    <w:rsid w:val="003D3EDB"/>
    <w:rsid w:val="004250B6"/>
    <w:rsid w:val="00466299"/>
    <w:rsid w:val="00486C05"/>
    <w:rsid w:val="00487C54"/>
    <w:rsid w:val="00490B88"/>
    <w:rsid w:val="004A4061"/>
    <w:rsid w:val="005002CE"/>
    <w:rsid w:val="00506484"/>
    <w:rsid w:val="005066DB"/>
    <w:rsid w:val="00520AB5"/>
    <w:rsid w:val="005212A3"/>
    <w:rsid w:val="0053282A"/>
    <w:rsid w:val="00556BDE"/>
    <w:rsid w:val="00575D96"/>
    <w:rsid w:val="005848F8"/>
    <w:rsid w:val="005B5879"/>
    <w:rsid w:val="005B627C"/>
    <w:rsid w:val="005C51A3"/>
    <w:rsid w:val="005C6D05"/>
    <w:rsid w:val="00603D01"/>
    <w:rsid w:val="006112C4"/>
    <w:rsid w:val="0061363B"/>
    <w:rsid w:val="0062054D"/>
    <w:rsid w:val="006435D1"/>
    <w:rsid w:val="00651A73"/>
    <w:rsid w:val="006761D9"/>
    <w:rsid w:val="006769F7"/>
    <w:rsid w:val="00685001"/>
    <w:rsid w:val="006906ED"/>
    <w:rsid w:val="006B638C"/>
    <w:rsid w:val="006D128A"/>
    <w:rsid w:val="006E30D8"/>
    <w:rsid w:val="00712E7F"/>
    <w:rsid w:val="00712FE0"/>
    <w:rsid w:val="00715C3D"/>
    <w:rsid w:val="007444FC"/>
    <w:rsid w:val="00753175"/>
    <w:rsid w:val="00753D19"/>
    <w:rsid w:val="00762BA6"/>
    <w:rsid w:val="00770CC1"/>
    <w:rsid w:val="00775044"/>
    <w:rsid w:val="00775ADE"/>
    <w:rsid w:val="007765E1"/>
    <w:rsid w:val="00780B22"/>
    <w:rsid w:val="0079700C"/>
    <w:rsid w:val="007B1C80"/>
    <w:rsid w:val="007B30B6"/>
    <w:rsid w:val="007D0FBA"/>
    <w:rsid w:val="007F4AA1"/>
    <w:rsid w:val="008076F2"/>
    <w:rsid w:val="00822AEB"/>
    <w:rsid w:val="008458F4"/>
    <w:rsid w:val="00850FA5"/>
    <w:rsid w:val="008643FB"/>
    <w:rsid w:val="00865C64"/>
    <w:rsid w:val="0086707C"/>
    <w:rsid w:val="008939A8"/>
    <w:rsid w:val="008A4C07"/>
    <w:rsid w:val="008B1F8B"/>
    <w:rsid w:val="008B5CF4"/>
    <w:rsid w:val="0091282E"/>
    <w:rsid w:val="009175B2"/>
    <w:rsid w:val="00952A9F"/>
    <w:rsid w:val="0096557E"/>
    <w:rsid w:val="00976863"/>
    <w:rsid w:val="009A1166"/>
    <w:rsid w:val="009C1741"/>
    <w:rsid w:val="009C4966"/>
    <w:rsid w:val="009D014D"/>
    <w:rsid w:val="009D36F8"/>
    <w:rsid w:val="009D506F"/>
    <w:rsid w:val="009E6359"/>
    <w:rsid w:val="009F6326"/>
    <w:rsid w:val="00A176D2"/>
    <w:rsid w:val="00A27FFE"/>
    <w:rsid w:val="00A54173"/>
    <w:rsid w:val="00A67B62"/>
    <w:rsid w:val="00AA767F"/>
    <w:rsid w:val="00AB3AE4"/>
    <w:rsid w:val="00AC12B6"/>
    <w:rsid w:val="00AC2CAE"/>
    <w:rsid w:val="00AC6258"/>
    <w:rsid w:val="00AD1AA8"/>
    <w:rsid w:val="00AD20C7"/>
    <w:rsid w:val="00B04456"/>
    <w:rsid w:val="00B11509"/>
    <w:rsid w:val="00B40F93"/>
    <w:rsid w:val="00B52A2F"/>
    <w:rsid w:val="00B56367"/>
    <w:rsid w:val="00B725FC"/>
    <w:rsid w:val="00B919CF"/>
    <w:rsid w:val="00BB5C91"/>
    <w:rsid w:val="00BB6F06"/>
    <w:rsid w:val="00BF1E08"/>
    <w:rsid w:val="00BF6124"/>
    <w:rsid w:val="00C14A64"/>
    <w:rsid w:val="00C17DCF"/>
    <w:rsid w:val="00C2314F"/>
    <w:rsid w:val="00C61947"/>
    <w:rsid w:val="00C70D53"/>
    <w:rsid w:val="00C82075"/>
    <w:rsid w:val="00CB2488"/>
    <w:rsid w:val="00D02861"/>
    <w:rsid w:val="00D1509D"/>
    <w:rsid w:val="00D30A84"/>
    <w:rsid w:val="00D60F84"/>
    <w:rsid w:val="00D7150B"/>
    <w:rsid w:val="00D77E20"/>
    <w:rsid w:val="00D8464A"/>
    <w:rsid w:val="00DE6984"/>
    <w:rsid w:val="00DE7138"/>
    <w:rsid w:val="00E06B79"/>
    <w:rsid w:val="00E15BA0"/>
    <w:rsid w:val="00E21429"/>
    <w:rsid w:val="00E370CC"/>
    <w:rsid w:val="00E37A84"/>
    <w:rsid w:val="00E55262"/>
    <w:rsid w:val="00E703A6"/>
    <w:rsid w:val="00E77837"/>
    <w:rsid w:val="00E87B5F"/>
    <w:rsid w:val="00E93426"/>
    <w:rsid w:val="00EB589F"/>
    <w:rsid w:val="00EE679A"/>
    <w:rsid w:val="00F00CA0"/>
    <w:rsid w:val="00F1249B"/>
    <w:rsid w:val="00F25482"/>
    <w:rsid w:val="00F3201A"/>
    <w:rsid w:val="00F4209F"/>
    <w:rsid w:val="00F56890"/>
    <w:rsid w:val="00F632C5"/>
    <w:rsid w:val="00F809E0"/>
    <w:rsid w:val="00F8556D"/>
    <w:rsid w:val="00FA08E5"/>
    <w:rsid w:val="00FA1962"/>
    <w:rsid w:val="00FA79F6"/>
    <w:rsid w:val="00FC3B89"/>
    <w:rsid w:val="00FC740B"/>
    <w:rsid w:val="00FD060C"/>
    <w:rsid w:val="00FF4A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0B6"/>
  </w:style>
  <w:style w:type="paragraph" w:styleId="Heading1">
    <w:name w:val="heading 1"/>
    <w:basedOn w:val="Normal"/>
    <w:link w:val="Heading1Char"/>
    <w:uiPriority w:val="9"/>
    <w:qFormat/>
    <w:rsid w:val="00EB58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12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5C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58F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12C4"/>
    <w:rPr>
      <w:rFonts w:ascii="Times New Roman" w:eastAsia="Times New Roman" w:hAnsi="Times New Roman" w:cs="Times New Roman"/>
      <w:b/>
      <w:bCs/>
      <w:sz w:val="36"/>
      <w:szCs w:val="36"/>
    </w:rPr>
  </w:style>
  <w:style w:type="paragraph" w:styleId="NormalWeb">
    <w:name w:val="Normal (Web)"/>
    <w:basedOn w:val="Normal"/>
    <w:uiPriority w:val="99"/>
    <w:unhideWhenUsed/>
    <w:rsid w:val="006112C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61D9"/>
    <w:rPr>
      <w:rFonts w:ascii="Courier New" w:eastAsia="Times New Roman" w:hAnsi="Courier New" w:cs="Courier New"/>
      <w:sz w:val="20"/>
      <w:szCs w:val="20"/>
    </w:rPr>
  </w:style>
  <w:style w:type="character" w:styleId="Hyperlink">
    <w:name w:val="Hyperlink"/>
    <w:basedOn w:val="DefaultParagraphFont"/>
    <w:uiPriority w:val="99"/>
    <w:unhideWhenUsed/>
    <w:rsid w:val="006761D9"/>
    <w:rPr>
      <w:color w:val="0000FF"/>
      <w:u w:val="single"/>
    </w:rPr>
  </w:style>
  <w:style w:type="character" w:customStyle="1" w:styleId="citation-7">
    <w:name w:val="citation-7"/>
    <w:basedOn w:val="DefaultParagraphFont"/>
    <w:rsid w:val="00487C54"/>
  </w:style>
  <w:style w:type="character" w:customStyle="1" w:styleId="citation-6">
    <w:name w:val="citation-6"/>
    <w:basedOn w:val="DefaultParagraphFont"/>
    <w:rsid w:val="00487C54"/>
  </w:style>
  <w:style w:type="character" w:customStyle="1" w:styleId="Heading3Char">
    <w:name w:val="Heading 3 Char"/>
    <w:basedOn w:val="DefaultParagraphFont"/>
    <w:link w:val="Heading3"/>
    <w:uiPriority w:val="9"/>
    <w:rsid w:val="00865C64"/>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86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5C64"/>
    <w:rPr>
      <w:rFonts w:ascii="Courier New" w:eastAsia="Times New Roman" w:hAnsi="Courier New" w:cs="Courier New"/>
      <w:sz w:val="20"/>
      <w:szCs w:val="20"/>
    </w:rPr>
  </w:style>
  <w:style w:type="character" w:customStyle="1" w:styleId="math-inline">
    <w:name w:val="math-inline"/>
    <w:basedOn w:val="DefaultParagraphFont"/>
    <w:rsid w:val="009D506F"/>
  </w:style>
  <w:style w:type="paragraph" w:styleId="BalloonText">
    <w:name w:val="Balloon Text"/>
    <w:basedOn w:val="Normal"/>
    <w:link w:val="BalloonTextChar"/>
    <w:uiPriority w:val="99"/>
    <w:semiHidden/>
    <w:unhideWhenUsed/>
    <w:rsid w:val="00486C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C05"/>
    <w:rPr>
      <w:rFonts w:ascii="Tahoma" w:hAnsi="Tahoma" w:cs="Tahoma"/>
      <w:sz w:val="16"/>
      <w:szCs w:val="16"/>
    </w:rPr>
  </w:style>
  <w:style w:type="character" w:customStyle="1" w:styleId="Heading4Char">
    <w:name w:val="Heading 4 Char"/>
    <w:basedOn w:val="DefaultParagraphFont"/>
    <w:link w:val="Heading4"/>
    <w:uiPriority w:val="9"/>
    <w:rsid w:val="008458F4"/>
    <w:rPr>
      <w:rFonts w:ascii="Times New Roman" w:eastAsia="Times New Roman" w:hAnsi="Times New Roman" w:cs="Times New Roman"/>
      <w:b/>
      <w:bCs/>
      <w:sz w:val="24"/>
      <w:szCs w:val="24"/>
    </w:rPr>
  </w:style>
  <w:style w:type="paragraph" w:customStyle="1" w:styleId="MTDisplayEquation">
    <w:name w:val="MTDisplayEquation"/>
    <w:basedOn w:val="Normal"/>
    <w:next w:val="Normal"/>
    <w:link w:val="MTDisplayEquationChar"/>
    <w:rsid w:val="008458F4"/>
    <w:pPr>
      <w:tabs>
        <w:tab w:val="center" w:pos="4680"/>
        <w:tab w:val="right" w:pos="9360"/>
      </w:tabs>
      <w:spacing w:before="100" w:beforeAutospacing="1" w:after="0" w:line="240" w:lineRule="auto"/>
      <w:outlineLvl w:val="1"/>
    </w:pPr>
    <w:rPr>
      <w:rFonts w:ascii="Times New Roman" w:eastAsia="Times New Roman" w:hAnsi="Times New Roman" w:cs="Times New Roman"/>
      <w:b/>
      <w:bCs/>
      <w:color w:val="1F1F1F"/>
      <w:sz w:val="36"/>
      <w:szCs w:val="36"/>
    </w:rPr>
  </w:style>
  <w:style w:type="character" w:customStyle="1" w:styleId="MTDisplayEquationChar">
    <w:name w:val="MTDisplayEquation Char"/>
    <w:basedOn w:val="DefaultParagraphFont"/>
    <w:link w:val="MTDisplayEquation"/>
    <w:rsid w:val="008458F4"/>
    <w:rPr>
      <w:rFonts w:ascii="Times New Roman" w:eastAsia="Times New Roman" w:hAnsi="Times New Roman" w:cs="Times New Roman"/>
      <w:b/>
      <w:bCs/>
      <w:color w:val="1F1F1F"/>
      <w:sz w:val="36"/>
      <w:szCs w:val="36"/>
    </w:rPr>
  </w:style>
  <w:style w:type="character" w:customStyle="1" w:styleId="citation-111">
    <w:name w:val="citation-111"/>
    <w:basedOn w:val="DefaultParagraphFont"/>
    <w:rsid w:val="00F1249B"/>
  </w:style>
  <w:style w:type="character" w:customStyle="1" w:styleId="citation-110">
    <w:name w:val="citation-110"/>
    <w:basedOn w:val="DefaultParagraphFont"/>
    <w:rsid w:val="00F1249B"/>
  </w:style>
  <w:style w:type="character" w:customStyle="1" w:styleId="citation-109">
    <w:name w:val="citation-109"/>
    <w:basedOn w:val="DefaultParagraphFont"/>
    <w:rsid w:val="00F1249B"/>
  </w:style>
  <w:style w:type="character" w:customStyle="1" w:styleId="citation-108">
    <w:name w:val="citation-108"/>
    <w:basedOn w:val="DefaultParagraphFont"/>
    <w:rsid w:val="00F1249B"/>
  </w:style>
  <w:style w:type="character" w:customStyle="1" w:styleId="citation-107">
    <w:name w:val="citation-107"/>
    <w:basedOn w:val="DefaultParagraphFont"/>
    <w:rsid w:val="00F1249B"/>
  </w:style>
  <w:style w:type="character" w:customStyle="1" w:styleId="MTConvertedEquation">
    <w:name w:val="MTConvertedEquation"/>
    <w:basedOn w:val="DefaultParagraphFont"/>
    <w:rsid w:val="00575D96"/>
  </w:style>
  <w:style w:type="character" w:customStyle="1" w:styleId="citation-87">
    <w:name w:val="citation-87"/>
    <w:basedOn w:val="DefaultParagraphFont"/>
    <w:rsid w:val="0062054D"/>
  </w:style>
  <w:style w:type="character" w:customStyle="1" w:styleId="citation-86">
    <w:name w:val="citation-86"/>
    <w:basedOn w:val="DefaultParagraphFont"/>
    <w:rsid w:val="0062054D"/>
  </w:style>
  <w:style w:type="character" w:customStyle="1" w:styleId="citation-85">
    <w:name w:val="citation-85"/>
    <w:basedOn w:val="DefaultParagraphFont"/>
    <w:rsid w:val="0062054D"/>
  </w:style>
  <w:style w:type="character" w:customStyle="1" w:styleId="citation-84">
    <w:name w:val="citation-84"/>
    <w:basedOn w:val="DefaultParagraphFont"/>
    <w:rsid w:val="0062054D"/>
  </w:style>
  <w:style w:type="character" w:customStyle="1" w:styleId="citation-83">
    <w:name w:val="citation-83"/>
    <w:basedOn w:val="DefaultParagraphFont"/>
    <w:rsid w:val="0062054D"/>
  </w:style>
  <w:style w:type="paragraph" w:styleId="ListParagraph">
    <w:name w:val="List Paragraph"/>
    <w:basedOn w:val="Normal"/>
    <w:uiPriority w:val="34"/>
    <w:qFormat/>
    <w:rsid w:val="00103ECD"/>
    <w:pPr>
      <w:ind w:left="720"/>
      <w:contextualSpacing/>
    </w:pPr>
  </w:style>
  <w:style w:type="character" w:styleId="Strong">
    <w:name w:val="Strong"/>
    <w:basedOn w:val="DefaultParagraphFont"/>
    <w:uiPriority w:val="22"/>
    <w:qFormat/>
    <w:rsid w:val="0079700C"/>
    <w:rPr>
      <w:b/>
      <w:bCs/>
    </w:rPr>
  </w:style>
  <w:style w:type="paragraph" w:styleId="Header">
    <w:name w:val="header"/>
    <w:basedOn w:val="Normal"/>
    <w:link w:val="HeaderChar"/>
    <w:uiPriority w:val="99"/>
    <w:semiHidden/>
    <w:unhideWhenUsed/>
    <w:rsid w:val="006906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06ED"/>
  </w:style>
  <w:style w:type="paragraph" w:styleId="Footer">
    <w:name w:val="footer"/>
    <w:basedOn w:val="Normal"/>
    <w:link w:val="FooterChar"/>
    <w:uiPriority w:val="99"/>
    <w:semiHidden/>
    <w:unhideWhenUsed/>
    <w:rsid w:val="006906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06ED"/>
  </w:style>
  <w:style w:type="character" w:customStyle="1" w:styleId="Heading1Char">
    <w:name w:val="Heading 1 Char"/>
    <w:basedOn w:val="DefaultParagraphFont"/>
    <w:link w:val="Heading1"/>
    <w:uiPriority w:val="9"/>
    <w:rsid w:val="00EB589F"/>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8A4C07"/>
    <w:rPr>
      <w:i/>
      <w:iCs/>
    </w:rPr>
  </w:style>
</w:styles>
</file>

<file path=word/webSettings.xml><?xml version="1.0" encoding="utf-8"?>
<w:webSettings xmlns:r="http://schemas.openxmlformats.org/officeDocument/2006/relationships" xmlns:w="http://schemas.openxmlformats.org/wordprocessingml/2006/main">
  <w:divs>
    <w:div w:id="140926398">
      <w:bodyDiv w:val="1"/>
      <w:marLeft w:val="0"/>
      <w:marRight w:val="0"/>
      <w:marTop w:val="0"/>
      <w:marBottom w:val="0"/>
      <w:divBdr>
        <w:top w:val="none" w:sz="0" w:space="0" w:color="auto"/>
        <w:left w:val="none" w:sz="0" w:space="0" w:color="auto"/>
        <w:bottom w:val="none" w:sz="0" w:space="0" w:color="auto"/>
        <w:right w:val="none" w:sz="0" w:space="0" w:color="auto"/>
      </w:divBdr>
    </w:div>
    <w:div w:id="179440432">
      <w:bodyDiv w:val="1"/>
      <w:marLeft w:val="0"/>
      <w:marRight w:val="0"/>
      <w:marTop w:val="0"/>
      <w:marBottom w:val="0"/>
      <w:divBdr>
        <w:top w:val="none" w:sz="0" w:space="0" w:color="auto"/>
        <w:left w:val="none" w:sz="0" w:space="0" w:color="auto"/>
        <w:bottom w:val="none" w:sz="0" w:space="0" w:color="auto"/>
        <w:right w:val="none" w:sz="0" w:space="0" w:color="auto"/>
      </w:divBdr>
    </w:div>
    <w:div w:id="182982061">
      <w:bodyDiv w:val="1"/>
      <w:marLeft w:val="0"/>
      <w:marRight w:val="0"/>
      <w:marTop w:val="0"/>
      <w:marBottom w:val="0"/>
      <w:divBdr>
        <w:top w:val="none" w:sz="0" w:space="0" w:color="auto"/>
        <w:left w:val="none" w:sz="0" w:space="0" w:color="auto"/>
        <w:bottom w:val="none" w:sz="0" w:space="0" w:color="auto"/>
        <w:right w:val="none" w:sz="0" w:space="0" w:color="auto"/>
      </w:divBdr>
    </w:div>
    <w:div w:id="190266666">
      <w:bodyDiv w:val="1"/>
      <w:marLeft w:val="0"/>
      <w:marRight w:val="0"/>
      <w:marTop w:val="0"/>
      <w:marBottom w:val="0"/>
      <w:divBdr>
        <w:top w:val="none" w:sz="0" w:space="0" w:color="auto"/>
        <w:left w:val="none" w:sz="0" w:space="0" w:color="auto"/>
        <w:bottom w:val="none" w:sz="0" w:space="0" w:color="auto"/>
        <w:right w:val="none" w:sz="0" w:space="0" w:color="auto"/>
      </w:divBdr>
    </w:div>
    <w:div w:id="195896124">
      <w:bodyDiv w:val="1"/>
      <w:marLeft w:val="0"/>
      <w:marRight w:val="0"/>
      <w:marTop w:val="0"/>
      <w:marBottom w:val="0"/>
      <w:divBdr>
        <w:top w:val="none" w:sz="0" w:space="0" w:color="auto"/>
        <w:left w:val="none" w:sz="0" w:space="0" w:color="auto"/>
        <w:bottom w:val="none" w:sz="0" w:space="0" w:color="auto"/>
        <w:right w:val="none" w:sz="0" w:space="0" w:color="auto"/>
      </w:divBdr>
      <w:divsChild>
        <w:div w:id="634216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67825">
      <w:bodyDiv w:val="1"/>
      <w:marLeft w:val="0"/>
      <w:marRight w:val="0"/>
      <w:marTop w:val="0"/>
      <w:marBottom w:val="0"/>
      <w:divBdr>
        <w:top w:val="none" w:sz="0" w:space="0" w:color="auto"/>
        <w:left w:val="none" w:sz="0" w:space="0" w:color="auto"/>
        <w:bottom w:val="none" w:sz="0" w:space="0" w:color="auto"/>
        <w:right w:val="none" w:sz="0" w:space="0" w:color="auto"/>
      </w:divBdr>
    </w:div>
    <w:div w:id="215707485">
      <w:bodyDiv w:val="1"/>
      <w:marLeft w:val="0"/>
      <w:marRight w:val="0"/>
      <w:marTop w:val="0"/>
      <w:marBottom w:val="0"/>
      <w:divBdr>
        <w:top w:val="none" w:sz="0" w:space="0" w:color="auto"/>
        <w:left w:val="none" w:sz="0" w:space="0" w:color="auto"/>
        <w:bottom w:val="none" w:sz="0" w:space="0" w:color="auto"/>
        <w:right w:val="none" w:sz="0" w:space="0" w:color="auto"/>
      </w:divBdr>
    </w:div>
    <w:div w:id="238710489">
      <w:bodyDiv w:val="1"/>
      <w:marLeft w:val="0"/>
      <w:marRight w:val="0"/>
      <w:marTop w:val="0"/>
      <w:marBottom w:val="0"/>
      <w:divBdr>
        <w:top w:val="none" w:sz="0" w:space="0" w:color="auto"/>
        <w:left w:val="none" w:sz="0" w:space="0" w:color="auto"/>
        <w:bottom w:val="none" w:sz="0" w:space="0" w:color="auto"/>
        <w:right w:val="none" w:sz="0" w:space="0" w:color="auto"/>
      </w:divBdr>
      <w:divsChild>
        <w:div w:id="3959764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7465119">
      <w:bodyDiv w:val="1"/>
      <w:marLeft w:val="0"/>
      <w:marRight w:val="0"/>
      <w:marTop w:val="0"/>
      <w:marBottom w:val="0"/>
      <w:divBdr>
        <w:top w:val="none" w:sz="0" w:space="0" w:color="auto"/>
        <w:left w:val="none" w:sz="0" w:space="0" w:color="auto"/>
        <w:bottom w:val="none" w:sz="0" w:space="0" w:color="auto"/>
        <w:right w:val="none" w:sz="0" w:space="0" w:color="auto"/>
      </w:divBdr>
    </w:div>
    <w:div w:id="327756906">
      <w:bodyDiv w:val="1"/>
      <w:marLeft w:val="0"/>
      <w:marRight w:val="0"/>
      <w:marTop w:val="0"/>
      <w:marBottom w:val="0"/>
      <w:divBdr>
        <w:top w:val="none" w:sz="0" w:space="0" w:color="auto"/>
        <w:left w:val="none" w:sz="0" w:space="0" w:color="auto"/>
        <w:bottom w:val="none" w:sz="0" w:space="0" w:color="auto"/>
        <w:right w:val="none" w:sz="0" w:space="0" w:color="auto"/>
      </w:divBdr>
    </w:div>
    <w:div w:id="348722647">
      <w:bodyDiv w:val="1"/>
      <w:marLeft w:val="0"/>
      <w:marRight w:val="0"/>
      <w:marTop w:val="0"/>
      <w:marBottom w:val="0"/>
      <w:divBdr>
        <w:top w:val="none" w:sz="0" w:space="0" w:color="auto"/>
        <w:left w:val="none" w:sz="0" w:space="0" w:color="auto"/>
        <w:bottom w:val="none" w:sz="0" w:space="0" w:color="auto"/>
        <w:right w:val="none" w:sz="0" w:space="0" w:color="auto"/>
      </w:divBdr>
    </w:div>
    <w:div w:id="395855493">
      <w:bodyDiv w:val="1"/>
      <w:marLeft w:val="0"/>
      <w:marRight w:val="0"/>
      <w:marTop w:val="0"/>
      <w:marBottom w:val="0"/>
      <w:divBdr>
        <w:top w:val="none" w:sz="0" w:space="0" w:color="auto"/>
        <w:left w:val="none" w:sz="0" w:space="0" w:color="auto"/>
        <w:bottom w:val="none" w:sz="0" w:space="0" w:color="auto"/>
        <w:right w:val="none" w:sz="0" w:space="0" w:color="auto"/>
      </w:divBdr>
    </w:div>
    <w:div w:id="579174159">
      <w:bodyDiv w:val="1"/>
      <w:marLeft w:val="0"/>
      <w:marRight w:val="0"/>
      <w:marTop w:val="0"/>
      <w:marBottom w:val="0"/>
      <w:divBdr>
        <w:top w:val="none" w:sz="0" w:space="0" w:color="auto"/>
        <w:left w:val="none" w:sz="0" w:space="0" w:color="auto"/>
        <w:bottom w:val="none" w:sz="0" w:space="0" w:color="auto"/>
        <w:right w:val="none" w:sz="0" w:space="0" w:color="auto"/>
      </w:divBdr>
    </w:div>
    <w:div w:id="622422016">
      <w:bodyDiv w:val="1"/>
      <w:marLeft w:val="0"/>
      <w:marRight w:val="0"/>
      <w:marTop w:val="0"/>
      <w:marBottom w:val="0"/>
      <w:divBdr>
        <w:top w:val="none" w:sz="0" w:space="0" w:color="auto"/>
        <w:left w:val="none" w:sz="0" w:space="0" w:color="auto"/>
        <w:bottom w:val="none" w:sz="0" w:space="0" w:color="auto"/>
        <w:right w:val="none" w:sz="0" w:space="0" w:color="auto"/>
      </w:divBdr>
    </w:div>
    <w:div w:id="696589858">
      <w:bodyDiv w:val="1"/>
      <w:marLeft w:val="0"/>
      <w:marRight w:val="0"/>
      <w:marTop w:val="0"/>
      <w:marBottom w:val="0"/>
      <w:divBdr>
        <w:top w:val="none" w:sz="0" w:space="0" w:color="auto"/>
        <w:left w:val="none" w:sz="0" w:space="0" w:color="auto"/>
        <w:bottom w:val="none" w:sz="0" w:space="0" w:color="auto"/>
        <w:right w:val="none" w:sz="0" w:space="0" w:color="auto"/>
      </w:divBdr>
      <w:divsChild>
        <w:div w:id="1174539760">
          <w:marLeft w:val="0"/>
          <w:marRight w:val="0"/>
          <w:marTop w:val="0"/>
          <w:marBottom w:val="0"/>
          <w:divBdr>
            <w:top w:val="none" w:sz="0" w:space="0" w:color="auto"/>
            <w:left w:val="none" w:sz="0" w:space="0" w:color="auto"/>
            <w:bottom w:val="none" w:sz="0" w:space="0" w:color="auto"/>
            <w:right w:val="none" w:sz="0" w:space="0" w:color="auto"/>
          </w:divBdr>
          <w:divsChild>
            <w:div w:id="3967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5811">
      <w:bodyDiv w:val="1"/>
      <w:marLeft w:val="0"/>
      <w:marRight w:val="0"/>
      <w:marTop w:val="0"/>
      <w:marBottom w:val="0"/>
      <w:divBdr>
        <w:top w:val="none" w:sz="0" w:space="0" w:color="auto"/>
        <w:left w:val="none" w:sz="0" w:space="0" w:color="auto"/>
        <w:bottom w:val="none" w:sz="0" w:space="0" w:color="auto"/>
        <w:right w:val="none" w:sz="0" w:space="0" w:color="auto"/>
      </w:divBdr>
      <w:divsChild>
        <w:div w:id="1973168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640132">
      <w:bodyDiv w:val="1"/>
      <w:marLeft w:val="0"/>
      <w:marRight w:val="0"/>
      <w:marTop w:val="0"/>
      <w:marBottom w:val="0"/>
      <w:divBdr>
        <w:top w:val="none" w:sz="0" w:space="0" w:color="auto"/>
        <w:left w:val="none" w:sz="0" w:space="0" w:color="auto"/>
        <w:bottom w:val="none" w:sz="0" w:space="0" w:color="auto"/>
        <w:right w:val="none" w:sz="0" w:space="0" w:color="auto"/>
      </w:divBdr>
    </w:div>
    <w:div w:id="810750501">
      <w:bodyDiv w:val="1"/>
      <w:marLeft w:val="0"/>
      <w:marRight w:val="0"/>
      <w:marTop w:val="0"/>
      <w:marBottom w:val="0"/>
      <w:divBdr>
        <w:top w:val="none" w:sz="0" w:space="0" w:color="auto"/>
        <w:left w:val="none" w:sz="0" w:space="0" w:color="auto"/>
        <w:bottom w:val="none" w:sz="0" w:space="0" w:color="auto"/>
        <w:right w:val="none" w:sz="0" w:space="0" w:color="auto"/>
      </w:divBdr>
    </w:div>
    <w:div w:id="854345111">
      <w:bodyDiv w:val="1"/>
      <w:marLeft w:val="0"/>
      <w:marRight w:val="0"/>
      <w:marTop w:val="0"/>
      <w:marBottom w:val="0"/>
      <w:divBdr>
        <w:top w:val="none" w:sz="0" w:space="0" w:color="auto"/>
        <w:left w:val="none" w:sz="0" w:space="0" w:color="auto"/>
        <w:bottom w:val="none" w:sz="0" w:space="0" w:color="auto"/>
        <w:right w:val="none" w:sz="0" w:space="0" w:color="auto"/>
      </w:divBdr>
      <w:divsChild>
        <w:div w:id="18098550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04101738">
      <w:bodyDiv w:val="1"/>
      <w:marLeft w:val="0"/>
      <w:marRight w:val="0"/>
      <w:marTop w:val="0"/>
      <w:marBottom w:val="0"/>
      <w:divBdr>
        <w:top w:val="none" w:sz="0" w:space="0" w:color="auto"/>
        <w:left w:val="none" w:sz="0" w:space="0" w:color="auto"/>
        <w:bottom w:val="none" w:sz="0" w:space="0" w:color="auto"/>
        <w:right w:val="none" w:sz="0" w:space="0" w:color="auto"/>
      </w:divBdr>
      <w:divsChild>
        <w:div w:id="19053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720943">
      <w:bodyDiv w:val="1"/>
      <w:marLeft w:val="0"/>
      <w:marRight w:val="0"/>
      <w:marTop w:val="0"/>
      <w:marBottom w:val="0"/>
      <w:divBdr>
        <w:top w:val="none" w:sz="0" w:space="0" w:color="auto"/>
        <w:left w:val="none" w:sz="0" w:space="0" w:color="auto"/>
        <w:bottom w:val="none" w:sz="0" w:space="0" w:color="auto"/>
        <w:right w:val="none" w:sz="0" w:space="0" w:color="auto"/>
      </w:divBdr>
    </w:div>
    <w:div w:id="950697502">
      <w:bodyDiv w:val="1"/>
      <w:marLeft w:val="0"/>
      <w:marRight w:val="0"/>
      <w:marTop w:val="0"/>
      <w:marBottom w:val="0"/>
      <w:divBdr>
        <w:top w:val="none" w:sz="0" w:space="0" w:color="auto"/>
        <w:left w:val="none" w:sz="0" w:space="0" w:color="auto"/>
        <w:bottom w:val="none" w:sz="0" w:space="0" w:color="auto"/>
        <w:right w:val="none" w:sz="0" w:space="0" w:color="auto"/>
      </w:divBdr>
      <w:divsChild>
        <w:div w:id="17192342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65376137">
      <w:bodyDiv w:val="1"/>
      <w:marLeft w:val="0"/>
      <w:marRight w:val="0"/>
      <w:marTop w:val="0"/>
      <w:marBottom w:val="0"/>
      <w:divBdr>
        <w:top w:val="none" w:sz="0" w:space="0" w:color="auto"/>
        <w:left w:val="none" w:sz="0" w:space="0" w:color="auto"/>
        <w:bottom w:val="none" w:sz="0" w:space="0" w:color="auto"/>
        <w:right w:val="none" w:sz="0" w:space="0" w:color="auto"/>
      </w:divBdr>
    </w:div>
    <w:div w:id="1106541557">
      <w:bodyDiv w:val="1"/>
      <w:marLeft w:val="0"/>
      <w:marRight w:val="0"/>
      <w:marTop w:val="0"/>
      <w:marBottom w:val="0"/>
      <w:divBdr>
        <w:top w:val="none" w:sz="0" w:space="0" w:color="auto"/>
        <w:left w:val="none" w:sz="0" w:space="0" w:color="auto"/>
        <w:bottom w:val="none" w:sz="0" w:space="0" w:color="auto"/>
        <w:right w:val="none" w:sz="0" w:space="0" w:color="auto"/>
      </w:divBdr>
    </w:div>
    <w:div w:id="1141458514">
      <w:bodyDiv w:val="1"/>
      <w:marLeft w:val="0"/>
      <w:marRight w:val="0"/>
      <w:marTop w:val="0"/>
      <w:marBottom w:val="0"/>
      <w:divBdr>
        <w:top w:val="none" w:sz="0" w:space="0" w:color="auto"/>
        <w:left w:val="none" w:sz="0" w:space="0" w:color="auto"/>
        <w:bottom w:val="none" w:sz="0" w:space="0" w:color="auto"/>
        <w:right w:val="none" w:sz="0" w:space="0" w:color="auto"/>
      </w:divBdr>
    </w:div>
    <w:div w:id="1184171410">
      <w:bodyDiv w:val="1"/>
      <w:marLeft w:val="0"/>
      <w:marRight w:val="0"/>
      <w:marTop w:val="0"/>
      <w:marBottom w:val="0"/>
      <w:divBdr>
        <w:top w:val="none" w:sz="0" w:space="0" w:color="auto"/>
        <w:left w:val="none" w:sz="0" w:space="0" w:color="auto"/>
        <w:bottom w:val="none" w:sz="0" w:space="0" w:color="auto"/>
        <w:right w:val="none" w:sz="0" w:space="0" w:color="auto"/>
      </w:divBdr>
      <w:divsChild>
        <w:div w:id="14905570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1792408">
      <w:bodyDiv w:val="1"/>
      <w:marLeft w:val="0"/>
      <w:marRight w:val="0"/>
      <w:marTop w:val="0"/>
      <w:marBottom w:val="0"/>
      <w:divBdr>
        <w:top w:val="none" w:sz="0" w:space="0" w:color="auto"/>
        <w:left w:val="none" w:sz="0" w:space="0" w:color="auto"/>
        <w:bottom w:val="none" w:sz="0" w:space="0" w:color="auto"/>
        <w:right w:val="none" w:sz="0" w:space="0" w:color="auto"/>
      </w:divBdr>
    </w:div>
    <w:div w:id="1223176329">
      <w:bodyDiv w:val="1"/>
      <w:marLeft w:val="0"/>
      <w:marRight w:val="0"/>
      <w:marTop w:val="0"/>
      <w:marBottom w:val="0"/>
      <w:divBdr>
        <w:top w:val="none" w:sz="0" w:space="0" w:color="auto"/>
        <w:left w:val="none" w:sz="0" w:space="0" w:color="auto"/>
        <w:bottom w:val="none" w:sz="0" w:space="0" w:color="auto"/>
        <w:right w:val="none" w:sz="0" w:space="0" w:color="auto"/>
      </w:divBdr>
      <w:divsChild>
        <w:div w:id="94234795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828321">
          <w:blockQuote w:val="1"/>
          <w:marLeft w:val="720"/>
          <w:marRight w:val="720"/>
          <w:marTop w:val="100"/>
          <w:marBottom w:val="100"/>
          <w:divBdr>
            <w:top w:val="none" w:sz="0" w:space="0" w:color="auto"/>
            <w:left w:val="none" w:sz="0" w:space="0" w:color="auto"/>
            <w:bottom w:val="none" w:sz="0" w:space="0" w:color="auto"/>
            <w:right w:val="none" w:sz="0" w:space="0" w:color="auto"/>
          </w:divBdr>
        </w:div>
        <w:div w:id="420488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273616">
      <w:bodyDiv w:val="1"/>
      <w:marLeft w:val="0"/>
      <w:marRight w:val="0"/>
      <w:marTop w:val="0"/>
      <w:marBottom w:val="0"/>
      <w:divBdr>
        <w:top w:val="none" w:sz="0" w:space="0" w:color="auto"/>
        <w:left w:val="none" w:sz="0" w:space="0" w:color="auto"/>
        <w:bottom w:val="none" w:sz="0" w:space="0" w:color="auto"/>
        <w:right w:val="none" w:sz="0" w:space="0" w:color="auto"/>
      </w:divBdr>
      <w:divsChild>
        <w:div w:id="2002079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3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810338">
      <w:bodyDiv w:val="1"/>
      <w:marLeft w:val="0"/>
      <w:marRight w:val="0"/>
      <w:marTop w:val="0"/>
      <w:marBottom w:val="0"/>
      <w:divBdr>
        <w:top w:val="none" w:sz="0" w:space="0" w:color="auto"/>
        <w:left w:val="none" w:sz="0" w:space="0" w:color="auto"/>
        <w:bottom w:val="none" w:sz="0" w:space="0" w:color="auto"/>
        <w:right w:val="none" w:sz="0" w:space="0" w:color="auto"/>
      </w:divBdr>
    </w:div>
    <w:div w:id="1302734762">
      <w:bodyDiv w:val="1"/>
      <w:marLeft w:val="0"/>
      <w:marRight w:val="0"/>
      <w:marTop w:val="0"/>
      <w:marBottom w:val="0"/>
      <w:divBdr>
        <w:top w:val="none" w:sz="0" w:space="0" w:color="auto"/>
        <w:left w:val="none" w:sz="0" w:space="0" w:color="auto"/>
        <w:bottom w:val="none" w:sz="0" w:space="0" w:color="auto"/>
        <w:right w:val="none" w:sz="0" w:space="0" w:color="auto"/>
      </w:divBdr>
      <w:divsChild>
        <w:div w:id="14175549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16448907">
      <w:bodyDiv w:val="1"/>
      <w:marLeft w:val="0"/>
      <w:marRight w:val="0"/>
      <w:marTop w:val="0"/>
      <w:marBottom w:val="0"/>
      <w:divBdr>
        <w:top w:val="none" w:sz="0" w:space="0" w:color="auto"/>
        <w:left w:val="none" w:sz="0" w:space="0" w:color="auto"/>
        <w:bottom w:val="none" w:sz="0" w:space="0" w:color="auto"/>
        <w:right w:val="none" w:sz="0" w:space="0" w:color="auto"/>
      </w:divBdr>
      <w:divsChild>
        <w:div w:id="18853654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14742928">
      <w:bodyDiv w:val="1"/>
      <w:marLeft w:val="0"/>
      <w:marRight w:val="0"/>
      <w:marTop w:val="0"/>
      <w:marBottom w:val="0"/>
      <w:divBdr>
        <w:top w:val="none" w:sz="0" w:space="0" w:color="auto"/>
        <w:left w:val="none" w:sz="0" w:space="0" w:color="auto"/>
        <w:bottom w:val="none" w:sz="0" w:space="0" w:color="auto"/>
        <w:right w:val="none" w:sz="0" w:space="0" w:color="auto"/>
      </w:divBdr>
      <w:divsChild>
        <w:div w:id="55104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91349">
      <w:bodyDiv w:val="1"/>
      <w:marLeft w:val="0"/>
      <w:marRight w:val="0"/>
      <w:marTop w:val="0"/>
      <w:marBottom w:val="0"/>
      <w:divBdr>
        <w:top w:val="none" w:sz="0" w:space="0" w:color="auto"/>
        <w:left w:val="none" w:sz="0" w:space="0" w:color="auto"/>
        <w:bottom w:val="none" w:sz="0" w:space="0" w:color="auto"/>
        <w:right w:val="none" w:sz="0" w:space="0" w:color="auto"/>
      </w:divBdr>
    </w:div>
    <w:div w:id="1477406244">
      <w:bodyDiv w:val="1"/>
      <w:marLeft w:val="0"/>
      <w:marRight w:val="0"/>
      <w:marTop w:val="0"/>
      <w:marBottom w:val="0"/>
      <w:divBdr>
        <w:top w:val="none" w:sz="0" w:space="0" w:color="auto"/>
        <w:left w:val="none" w:sz="0" w:space="0" w:color="auto"/>
        <w:bottom w:val="none" w:sz="0" w:space="0" w:color="auto"/>
        <w:right w:val="none" w:sz="0" w:space="0" w:color="auto"/>
      </w:divBdr>
      <w:divsChild>
        <w:div w:id="6633585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95025688">
      <w:bodyDiv w:val="1"/>
      <w:marLeft w:val="0"/>
      <w:marRight w:val="0"/>
      <w:marTop w:val="0"/>
      <w:marBottom w:val="0"/>
      <w:divBdr>
        <w:top w:val="none" w:sz="0" w:space="0" w:color="auto"/>
        <w:left w:val="none" w:sz="0" w:space="0" w:color="auto"/>
        <w:bottom w:val="none" w:sz="0" w:space="0" w:color="auto"/>
        <w:right w:val="none" w:sz="0" w:space="0" w:color="auto"/>
      </w:divBdr>
    </w:div>
    <w:div w:id="1505705365">
      <w:bodyDiv w:val="1"/>
      <w:marLeft w:val="0"/>
      <w:marRight w:val="0"/>
      <w:marTop w:val="0"/>
      <w:marBottom w:val="0"/>
      <w:divBdr>
        <w:top w:val="none" w:sz="0" w:space="0" w:color="auto"/>
        <w:left w:val="none" w:sz="0" w:space="0" w:color="auto"/>
        <w:bottom w:val="none" w:sz="0" w:space="0" w:color="auto"/>
        <w:right w:val="none" w:sz="0" w:space="0" w:color="auto"/>
      </w:divBdr>
    </w:div>
    <w:div w:id="1618026264">
      <w:bodyDiv w:val="1"/>
      <w:marLeft w:val="0"/>
      <w:marRight w:val="0"/>
      <w:marTop w:val="0"/>
      <w:marBottom w:val="0"/>
      <w:divBdr>
        <w:top w:val="none" w:sz="0" w:space="0" w:color="auto"/>
        <w:left w:val="none" w:sz="0" w:space="0" w:color="auto"/>
        <w:bottom w:val="none" w:sz="0" w:space="0" w:color="auto"/>
        <w:right w:val="none" w:sz="0" w:space="0" w:color="auto"/>
      </w:divBdr>
    </w:div>
    <w:div w:id="1648589355">
      <w:bodyDiv w:val="1"/>
      <w:marLeft w:val="0"/>
      <w:marRight w:val="0"/>
      <w:marTop w:val="0"/>
      <w:marBottom w:val="0"/>
      <w:divBdr>
        <w:top w:val="none" w:sz="0" w:space="0" w:color="auto"/>
        <w:left w:val="none" w:sz="0" w:space="0" w:color="auto"/>
        <w:bottom w:val="none" w:sz="0" w:space="0" w:color="auto"/>
        <w:right w:val="none" w:sz="0" w:space="0" w:color="auto"/>
      </w:divBdr>
    </w:div>
    <w:div w:id="1700819039">
      <w:bodyDiv w:val="1"/>
      <w:marLeft w:val="0"/>
      <w:marRight w:val="0"/>
      <w:marTop w:val="0"/>
      <w:marBottom w:val="0"/>
      <w:divBdr>
        <w:top w:val="none" w:sz="0" w:space="0" w:color="auto"/>
        <w:left w:val="none" w:sz="0" w:space="0" w:color="auto"/>
        <w:bottom w:val="none" w:sz="0" w:space="0" w:color="auto"/>
        <w:right w:val="none" w:sz="0" w:space="0" w:color="auto"/>
      </w:divBdr>
      <w:divsChild>
        <w:div w:id="13969742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20281595">
      <w:bodyDiv w:val="1"/>
      <w:marLeft w:val="0"/>
      <w:marRight w:val="0"/>
      <w:marTop w:val="0"/>
      <w:marBottom w:val="0"/>
      <w:divBdr>
        <w:top w:val="none" w:sz="0" w:space="0" w:color="auto"/>
        <w:left w:val="none" w:sz="0" w:space="0" w:color="auto"/>
        <w:bottom w:val="none" w:sz="0" w:space="0" w:color="auto"/>
        <w:right w:val="none" w:sz="0" w:space="0" w:color="auto"/>
      </w:divBdr>
    </w:div>
    <w:div w:id="1769961101">
      <w:bodyDiv w:val="1"/>
      <w:marLeft w:val="0"/>
      <w:marRight w:val="0"/>
      <w:marTop w:val="0"/>
      <w:marBottom w:val="0"/>
      <w:divBdr>
        <w:top w:val="none" w:sz="0" w:space="0" w:color="auto"/>
        <w:left w:val="none" w:sz="0" w:space="0" w:color="auto"/>
        <w:bottom w:val="none" w:sz="0" w:space="0" w:color="auto"/>
        <w:right w:val="none" w:sz="0" w:space="0" w:color="auto"/>
      </w:divBdr>
    </w:div>
    <w:div w:id="182034405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8372393">
      <w:bodyDiv w:val="1"/>
      <w:marLeft w:val="0"/>
      <w:marRight w:val="0"/>
      <w:marTop w:val="0"/>
      <w:marBottom w:val="0"/>
      <w:divBdr>
        <w:top w:val="none" w:sz="0" w:space="0" w:color="auto"/>
        <w:left w:val="none" w:sz="0" w:space="0" w:color="auto"/>
        <w:bottom w:val="none" w:sz="0" w:space="0" w:color="auto"/>
        <w:right w:val="none" w:sz="0" w:space="0" w:color="auto"/>
      </w:divBdr>
    </w:div>
    <w:div w:id="1956515843">
      <w:bodyDiv w:val="1"/>
      <w:marLeft w:val="0"/>
      <w:marRight w:val="0"/>
      <w:marTop w:val="0"/>
      <w:marBottom w:val="0"/>
      <w:divBdr>
        <w:top w:val="none" w:sz="0" w:space="0" w:color="auto"/>
        <w:left w:val="none" w:sz="0" w:space="0" w:color="auto"/>
        <w:bottom w:val="none" w:sz="0" w:space="0" w:color="auto"/>
        <w:right w:val="none" w:sz="0" w:space="0" w:color="auto"/>
      </w:divBdr>
    </w:div>
    <w:div w:id="200323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7.wmf"/><Relationship Id="rId170" Type="http://schemas.openxmlformats.org/officeDocument/2006/relationships/image" Target="media/image83.wmf"/><Relationship Id="rId191" Type="http://schemas.openxmlformats.org/officeDocument/2006/relationships/image" Target="media/image94.wmf"/><Relationship Id="rId205" Type="http://schemas.openxmlformats.org/officeDocument/2006/relationships/image" Target="media/image101.wmf"/><Relationship Id="rId226" Type="http://schemas.openxmlformats.org/officeDocument/2006/relationships/image" Target="media/image113.wmf"/><Relationship Id="rId247" Type="http://schemas.openxmlformats.org/officeDocument/2006/relationships/oleObject" Target="embeddings/oleObject117.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6.bin"/><Relationship Id="rId181" Type="http://schemas.openxmlformats.org/officeDocument/2006/relationships/oleObject" Target="embeddings/oleObject86.bin"/><Relationship Id="rId216" Type="http://schemas.openxmlformats.org/officeDocument/2006/relationships/image" Target="media/image107.wmf"/><Relationship Id="rId237" Type="http://schemas.openxmlformats.org/officeDocument/2006/relationships/oleObject" Target="embeddings/oleObject112.bin"/><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1.bin"/><Relationship Id="rId171" Type="http://schemas.openxmlformats.org/officeDocument/2006/relationships/oleObject" Target="embeddings/oleObject81.bin"/><Relationship Id="rId192" Type="http://schemas.openxmlformats.org/officeDocument/2006/relationships/oleObject" Target="embeddings/oleObject91.bin"/><Relationship Id="rId206" Type="http://schemas.openxmlformats.org/officeDocument/2006/relationships/oleObject" Target="embeddings/oleObject98.bin"/><Relationship Id="rId227" Type="http://schemas.openxmlformats.org/officeDocument/2006/relationships/oleObject" Target="embeddings/oleObject107.bin"/><Relationship Id="rId248" Type="http://schemas.openxmlformats.org/officeDocument/2006/relationships/image" Target="media/image124.jpeg"/><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image" Target="media/image62.wmf"/><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40" Type="http://schemas.openxmlformats.org/officeDocument/2006/relationships/oleObject" Target="embeddings/oleObject66.bin"/><Relationship Id="rId145" Type="http://schemas.openxmlformats.org/officeDocument/2006/relationships/image" Target="media/image70.wmf"/><Relationship Id="rId161" Type="http://schemas.openxmlformats.org/officeDocument/2006/relationships/image" Target="media/image78.wmf"/><Relationship Id="rId166" Type="http://schemas.openxmlformats.org/officeDocument/2006/relationships/oleObject" Target="embeddings/oleObject79.bin"/><Relationship Id="rId182" Type="http://schemas.openxmlformats.org/officeDocument/2006/relationships/image" Target="media/image89.wmf"/><Relationship Id="rId187" Type="http://schemas.openxmlformats.org/officeDocument/2006/relationships/oleObject" Target="embeddings/oleObject89.bin"/><Relationship Id="rId217" Type="http://schemas.openxmlformats.org/officeDocument/2006/relationships/oleObject" Target="embeddings/oleObject103.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05.wmf"/><Relationship Id="rId233" Type="http://schemas.openxmlformats.org/officeDocument/2006/relationships/oleObject" Target="embeddings/oleObject110.bin"/><Relationship Id="rId238" Type="http://schemas.openxmlformats.org/officeDocument/2006/relationships/image" Target="media/image119.wmf"/><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oleObject" Target="embeddings/oleObject61.bin"/><Relationship Id="rId135" Type="http://schemas.openxmlformats.org/officeDocument/2006/relationships/image" Target="media/image65.wmf"/><Relationship Id="rId151" Type="http://schemas.openxmlformats.org/officeDocument/2006/relationships/image" Target="media/image73.wmf"/><Relationship Id="rId156" Type="http://schemas.openxmlformats.org/officeDocument/2006/relationships/oleObject" Target="embeddings/oleObject74.bin"/><Relationship Id="rId177" Type="http://schemas.openxmlformats.org/officeDocument/2006/relationships/oleObject" Target="embeddings/oleObject84.bin"/><Relationship Id="rId198" Type="http://schemas.openxmlformats.org/officeDocument/2006/relationships/oleObject" Target="embeddings/oleObject94.bin"/><Relationship Id="rId172" Type="http://schemas.openxmlformats.org/officeDocument/2006/relationships/image" Target="media/image84.wmf"/><Relationship Id="rId193" Type="http://schemas.openxmlformats.org/officeDocument/2006/relationships/image" Target="media/image95.wmf"/><Relationship Id="rId202" Type="http://schemas.openxmlformats.org/officeDocument/2006/relationships/oleObject" Target="embeddings/oleObject96.bin"/><Relationship Id="rId207" Type="http://schemas.openxmlformats.org/officeDocument/2006/relationships/image" Target="media/image102.jpeg"/><Relationship Id="rId223" Type="http://schemas.openxmlformats.org/officeDocument/2006/relationships/oleObject" Target="embeddings/oleObject106.bin"/><Relationship Id="rId228" Type="http://schemas.openxmlformats.org/officeDocument/2006/relationships/image" Target="media/image114.wmf"/><Relationship Id="rId244" Type="http://schemas.openxmlformats.org/officeDocument/2006/relationships/image" Target="media/image122.wmf"/><Relationship Id="rId249" Type="http://schemas.openxmlformats.org/officeDocument/2006/relationships/image" Target="media/image125.jpeg"/><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69.bin"/><Relationship Id="rId167" Type="http://schemas.openxmlformats.org/officeDocument/2006/relationships/image" Target="media/image81.wmf"/><Relationship Id="rId188" Type="http://schemas.openxmlformats.org/officeDocument/2006/relationships/image" Target="media/image92.jpeg"/><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oleObject" Target="embeddings/oleObject77.bin"/><Relationship Id="rId183" Type="http://schemas.openxmlformats.org/officeDocument/2006/relationships/oleObject" Target="embeddings/oleObject87.bin"/><Relationship Id="rId213" Type="http://schemas.openxmlformats.org/officeDocument/2006/relationships/oleObject" Target="embeddings/oleObject101.bin"/><Relationship Id="rId218" Type="http://schemas.openxmlformats.org/officeDocument/2006/relationships/image" Target="media/image108.wmf"/><Relationship Id="rId234" Type="http://schemas.openxmlformats.org/officeDocument/2006/relationships/image" Target="media/image117.wmf"/><Relationship Id="rId239" Type="http://schemas.openxmlformats.org/officeDocument/2006/relationships/oleObject" Target="embeddings/oleObject113.bin"/><Relationship Id="rId2" Type="http://schemas.openxmlformats.org/officeDocument/2006/relationships/numbering" Target="numbering.xml"/><Relationship Id="rId29" Type="http://schemas.openxmlformats.org/officeDocument/2006/relationships/image" Target="media/image12.wmf"/><Relationship Id="rId250" Type="http://schemas.openxmlformats.org/officeDocument/2006/relationships/image" Target="media/image126.jpeg"/><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image" Target="media/image87.wmf"/><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oleObject" Target="embeddings/oleObject72.bin"/><Relationship Id="rId173" Type="http://schemas.openxmlformats.org/officeDocument/2006/relationships/oleObject" Target="embeddings/oleObject82.bin"/><Relationship Id="rId194" Type="http://schemas.openxmlformats.org/officeDocument/2006/relationships/oleObject" Target="embeddings/oleObject92.bin"/><Relationship Id="rId199" Type="http://schemas.openxmlformats.org/officeDocument/2006/relationships/image" Target="media/image98.wmf"/><Relationship Id="rId203" Type="http://schemas.openxmlformats.org/officeDocument/2006/relationships/image" Target="media/image100.wmf"/><Relationship Id="rId208" Type="http://schemas.openxmlformats.org/officeDocument/2006/relationships/image" Target="media/image103.wmf"/><Relationship Id="rId229" Type="http://schemas.openxmlformats.org/officeDocument/2006/relationships/oleObject" Target="embeddings/oleObject108.bin"/><Relationship Id="rId19" Type="http://schemas.openxmlformats.org/officeDocument/2006/relationships/image" Target="media/image7.wmf"/><Relationship Id="rId224" Type="http://schemas.openxmlformats.org/officeDocument/2006/relationships/image" Target="media/image111.jpeg"/><Relationship Id="rId240" Type="http://schemas.openxmlformats.org/officeDocument/2006/relationships/image" Target="media/image120.wmf"/><Relationship Id="rId245" Type="http://schemas.openxmlformats.org/officeDocument/2006/relationships/oleObject" Target="embeddings/oleObject116.bin"/><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8" Type="http://schemas.openxmlformats.org/officeDocument/2006/relationships/image" Target="media/image1.jpeg"/><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184" Type="http://schemas.openxmlformats.org/officeDocument/2006/relationships/image" Target="media/image90.wmf"/><Relationship Id="rId189" Type="http://schemas.openxmlformats.org/officeDocument/2006/relationships/image" Target="media/image93.wmf"/><Relationship Id="rId219" Type="http://schemas.openxmlformats.org/officeDocument/2006/relationships/oleObject" Target="embeddings/oleObject104.bin"/><Relationship Id="rId3" Type="http://schemas.openxmlformats.org/officeDocument/2006/relationships/styles" Target="styles.xml"/><Relationship Id="rId214" Type="http://schemas.openxmlformats.org/officeDocument/2006/relationships/image" Target="media/image106.wmf"/><Relationship Id="rId230" Type="http://schemas.openxmlformats.org/officeDocument/2006/relationships/image" Target="media/image115.wmf"/><Relationship Id="rId235" Type="http://schemas.openxmlformats.org/officeDocument/2006/relationships/oleObject" Target="embeddings/oleObject111.bin"/><Relationship Id="rId251" Type="http://schemas.openxmlformats.org/officeDocument/2006/relationships/image" Target="media/image127.jpeg"/><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image" Target="media/image85.wmf"/><Relationship Id="rId179" Type="http://schemas.openxmlformats.org/officeDocument/2006/relationships/oleObject" Target="embeddings/oleObject85.bin"/><Relationship Id="rId195" Type="http://schemas.openxmlformats.org/officeDocument/2006/relationships/image" Target="media/image96.wmf"/><Relationship Id="rId209" Type="http://schemas.openxmlformats.org/officeDocument/2006/relationships/oleObject" Target="embeddings/oleObject99.bin"/><Relationship Id="rId190" Type="http://schemas.openxmlformats.org/officeDocument/2006/relationships/oleObject" Target="embeddings/oleObject90.bin"/><Relationship Id="rId204" Type="http://schemas.openxmlformats.org/officeDocument/2006/relationships/oleObject" Target="embeddings/oleObject97.bin"/><Relationship Id="rId220" Type="http://schemas.openxmlformats.org/officeDocument/2006/relationships/image" Target="media/image109.wmf"/><Relationship Id="rId225" Type="http://schemas.openxmlformats.org/officeDocument/2006/relationships/image" Target="media/image112.jpeg"/><Relationship Id="rId241" Type="http://schemas.openxmlformats.org/officeDocument/2006/relationships/oleObject" Target="embeddings/oleObject114.bin"/><Relationship Id="rId246" Type="http://schemas.openxmlformats.org/officeDocument/2006/relationships/image" Target="media/image123.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2.jpeg"/><Relationship Id="rId185" Type="http://schemas.openxmlformats.org/officeDocument/2006/relationships/oleObject" Target="embeddings/oleObject88.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8.wmf"/><Relationship Id="rId210" Type="http://schemas.openxmlformats.org/officeDocument/2006/relationships/image" Target="media/image104.wmf"/><Relationship Id="rId215" Type="http://schemas.openxmlformats.org/officeDocument/2006/relationships/oleObject" Target="embeddings/oleObject102.bin"/><Relationship Id="rId236" Type="http://schemas.openxmlformats.org/officeDocument/2006/relationships/image" Target="media/image118.wmf"/><Relationship Id="rId26" Type="http://schemas.openxmlformats.org/officeDocument/2006/relationships/oleObject" Target="embeddings/oleObject9.bin"/><Relationship Id="rId231" Type="http://schemas.openxmlformats.org/officeDocument/2006/relationships/oleObject" Target="embeddings/oleObject109.bin"/><Relationship Id="rId252" Type="http://schemas.openxmlformats.org/officeDocument/2006/relationships/fontTable" Target="fontTable.xml"/><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oleObject" Target="embeddings/oleObject83.bin"/><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oleObject" Target="embeddings/oleObject4.bin"/><Relationship Id="rId221" Type="http://schemas.openxmlformats.org/officeDocument/2006/relationships/oleObject" Target="embeddings/oleObject105.bin"/><Relationship Id="rId242" Type="http://schemas.openxmlformats.org/officeDocument/2006/relationships/image" Target="media/image121.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80.wmf"/><Relationship Id="rId186" Type="http://schemas.openxmlformats.org/officeDocument/2006/relationships/image" Target="media/image91.wmf"/><Relationship Id="rId211" Type="http://schemas.openxmlformats.org/officeDocument/2006/relationships/oleObject" Target="embeddings/oleObject100.bin"/><Relationship Id="rId232" Type="http://schemas.openxmlformats.org/officeDocument/2006/relationships/image" Target="media/image116.wmf"/><Relationship Id="rId253" Type="http://schemas.openxmlformats.org/officeDocument/2006/relationships/theme" Target="theme/theme1.xml"/><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image" Target="media/image86.wmf"/><Relationship Id="rId197" Type="http://schemas.openxmlformats.org/officeDocument/2006/relationships/image" Target="media/image97.wmf"/><Relationship Id="rId201" Type="http://schemas.openxmlformats.org/officeDocument/2006/relationships/image" Target="media/image99.wmf"/><Relationship Id="rId222" Type="http://schemas.openxmlformats.org/officeDocument/2006/relationships/image" Target="media/image110.wmf"/><Relationship Id="rId243" Type="http://schemas.openxmlformats.org/officeDocument/2006/relationships/oleObject" Target="embeddings/oleObject115.bin"/><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AE31D7-2D8D-449F-AC19-7FE41B26A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2515</TotalTime>
  <Pages>24</Pages>
  <Words>11050</Words>
  <Characters>62988</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48</cp:revision>
  <dcterms:created xsi:type="dcterms:W3CDTF">2026-06-29T06:10:00Z</dcterms:created>
  <dcterms:modified xsi:type="dcterms:W3CDTF">2026-07-25T17:46:00Z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