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F46E5"/>
          <w:sz w:val="56"/>
          <w:szCs w:val="56"/>
        </w:rPr>
        <w:t xml:space="preserve">SEO4AI</w:t>
      </w:r>
    </w:p>
    <w:p>
      <w:pPr>
        <w:spacing w:after="40"/>
      </w:pPr>
      <w:r>
        <w:rPr>
          <w:color w:val="64748B"/>
          <w:sz w:val="30"/>
          <w:szCs w:val="30"/>
        </w:rPr>
        <w:t xml:space="preserve">Technical Plan, Requirements and Current Stage</w:t>
      </w:r>
    </w:p>
    <w:p>
      <w:pPr>
        <w:spacing w:after="240"/>
      </w:pPr>
      <w:r>
        <w:rPr>
          <w:i/>
          <w:iCs/>
          <w:color w:val="64748B"/>
        </w:rPr>
        <w:t xml:space="preserve">Verified Monday 10 August 2026 against the live site and the working tree</w:t>
      </w:r>
    </w:p>
    <w:p>
      <w:pPr>
        <w:spacing w:after="100"/>
      </w:pPr>
      <w:r>
        <w:t xml:space="preserve">This document answers four questions before any more code is written: where the product actually stands today, what it must do to be honest, how that will work, and how we will prove it works. Every status claim below was checked against the running site or the repository, not recalled.</w:t>
      </w:r>
    </w:p>
    <w:p>
      <w:pPr>
        <w:pStyle w:val="Heading1"/>
        <w:spacing w:after="120" w:before="300"/>
      </w:pPr>
      <w:r>
        <w:rPr>
          <w:b/>
          <w:bCs/>
          <w:color w:val="4F46E5"/>
        </w:rPr>
        <w:t xml:space="preserve">1. Current stage</w:t>
      </w:r>
    </w:p>
    <w:p>
      <w:pPr>
        <w:pStyle w:val="Heading2"/>
        <w:spacing w:after="80" w:before="200"/>
      </w:pPr>
      <w:r>
        <w:rPr>
          <w:b/>
          <w:bCs/>
        </w:rPr>
        <w:t xml:space="preserve">1.1 What is live right now</w:t>
      </w:r>
    </w:p>
    <w:p>
      <w:pPr>
        <w:spacing w:after="100"/>
      </w:pPr>
      <w:r>
        <w:t xml:space="preserve">seo4ai.app is registered, resolving and serving a fully working application from Vercel. The older seo4ai.bolddev.live subdomain no longer resolves at all.</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4F46E5"/>
            <w:tcMar>
              <w:top w:type="dxa" w:w="60"/>
              <w:left w:type="dxa" w:w="100"/>
              <w:bottom w:type="dxa" w:w="60"/>
              <w:right w:type="dxa" w:w="100"/>
            </w:tcMar>
          </w:tcPr>
          <w:p>
            <w:r>
              <w:rPr>
                <w:b/>
                <w:bCs/>
                <w:color w:val="FFFFFF"/>
                <w:sz w:val="20"/>
                <w:szCs w:val="20"/>
              </w:rPr>
              <w:t xml:space="preserve">Item</w:t>
            </w:r>
          </w:p>
        </w:tc>
        <w:tc>
          <w:tcPr>
            <w:shd w:fill="4F46E5"/>
            <w:tcMar>
              <w:top w:type="dxa" w:w="60"/>
              <w:left w:type="dxa" w:w="100"/>
              <w:bottom w:type="dxa" w:w="60"/>
              <w:right w:type="dxa" w:w="100"/>
            </w:tcMar>
          </w:tcPr>
          <w:p>
            <w:r>
              <w:rPr>
                <w:b/>
                <w:bCs/>
                <w:color w:val="FFFFFF"/>
                <w:sz w:val="20"/>
                <w:szCs w:val="20"/>
              </w:rPr>
              <w:t xml:space="preserve">Verified state</w:t>
            </w:r>
          </w:p>
        </w:tc>
      </w:tr>
      <w:tr>
        <w:trPr>
          <w:tblHeader w:val="false"/>
        </w:trPr>
        <w:tc>
          <w:tcPr>
            <w:tcMar>
              <w:top w:type="dxa" w:w="60"/>
              <w:left w:type="dxa" w:w="100"/>
              <w:bottom w:type="dxa" w:w="60"/>
              <w:right w:type="dxa" w:w="100"/>
            </w:tcMar>
          </w:tcPr>
          <w:p>
            <w:r>
              <w:rPr>
                <w:b w:val="false"/>
                <w:bCs w:val="false"/>
                <w:sz w:val="20"/>
                <w:szCs w:val="20"/>
              </w:rPr>
              <w:t xml:space="preserve">Domain</w:t>
            </w:r>
          </w:p>
        </w:tc>
        <w:tc>
          <w:tcPr>
            <w:tcMar>
              <w:top w:type="dxa" w:w="60"/>
              <w:left w:type="dxa" w:w="100"/>
              <w:bottom w:type="dxa" w:w="60"/>
              <w:right w:type="dxa" w:w="100"/>
            </w:tcMar>
          </w:tcPr>
          <w:p>
            <w:r>
              <w:rPr>
                <w:b w:val="false"/>
                <w:bCs w:val="false"/>
                <w:sz w:val="20"/>
                <w:szCs w:val="20"/>
              </w:rPr>
              <w:t xml:space="preserve">seo4ai.app live, HTTPS, HSTS enabled</w:t>
            </w:r>
          </w:p>
        </w:tc>
      </w:tr>
      <w:tr>
        <w:trPr>
          <w:tblHeader w:val="false"/>
        </w:trPr>
        <w:tc>
          <w:tcPr>
            <w:tcMar>
              <w:top w:type="dxa" w:w="60"/>
              <w:left w:type="dxa" w:w="100"/>
              <w:bottom w:type="dxa" w:w="60"/>
              <w:right w:type="dxa" w:w="100"/>
            </w:tcMar>
          </w:tcPr>
          <w:p>
            <w:r>
              <w:rPr>
                <w:b w:val="false"/>
                <w:bCs w:val="false"/>
                <w:sz w:val="20"/>
                <w:szCs w:val="20"/>
              </w:rPr>
              <w:t xml:space="preserve">Host</w:t>
            </w:r>
          </w:p>
        </w:tc>
        <w:tc>
          <w:tcPr>
            <w:tcMar>
              <w:top w:type="dxa" w:w="60"/>
              <w:left w:type="dxa" w:w="100"/>
              <w:bottom w:type="dxa" w:w="60"/>
              <w:right w:type="dxa" w:w="100"/>
            </w:tcMar>
          </w:tcPr>
          <w:p>
            <w:r>
              <w:rPr>
                <w:b w:val="false"/>
                <w:bCs w:val="false"/>
                <w:sz w:val="20"/>
                <w:szCs w:val="20"/>
              </w:rPr>
              <w:t xml:space="preserve">Vercel (Server: Vercel, region bom1). Not Coolify.</w:t>
            </w:r>
          </w:p>
        </w:tc>
      </w:tr>
      <w:tr>
        <w:trPr>
          <w:tblHeader w:val="false"/>
        </w:trPr>
        <w:tc>
          <w:tcPr>
            <w:tcMar>
              <w:top w:type="dxa" w:w="60"/>
              <w:left w:type="dxa" w:w="100"/>
              <w:bottom w:type="dxa" w:w="60"/>
              <w:right w:type="dxa" w:w="100"/>
            </w:tcMar>
          </w:tcPr>
          <w:p>
            <w:r>
              <w:rPr>
                <w:b w:val="false"/>
                <w:bCs w:val="false"/>
                <w:sz w:val="20"/>
                <w:szCs w:val="20"/>
              </w:rPr>
              <w:t xml:space="preserve">Deployed build age</w:t>
            </w:r>
          </w:p>
        </w:tc>
        <w:tc>
          <w:tcPr>
            <w:tcMar>
              <w:top w:type="dxa" w:w="60"/>
              <w:left w:type="dxa" w:w="100"/>
              <w:bottom w:type="dxa" w:w="60"/>
              <w:right w:type="dxa" w:w="100"/>
            </w:tcMar>
          </w:tcPr>
          <w:p>
            <w:r>
              <w:rPr>
                <w:b w:val="false"/>
                <w:bCs w:val="false"/>
                <w:sz w:val="20"/>
                <w:szCs w:val="20"/>
              </w:rPr>
              <w:t xml:space="preserve">Roughly 5 days old, predates all current working-tree changes</w:t>
            </w:r>
          </w:p>
        </w:tc>
      </w:tr>
      <w:tr>
        <w:trPr>
          <w:tblHeader w:val="false"/>
        </w:trPr>
        <w:tc>
          <w:tcPr>
            <w:tcMar>
              <w:top w:type="dxa" w:w="60"/>
              <w:left w:type="dxa" w:w="100"/>
              <w:bottom w:type="dxa" w:w="60"/>
              <w:right w:type="dxa" w:w="100"/>
            </w:tcMar>
          </w:tcPr>
          <w:p>
            <w:r>
              <w:rPr>
                <w:b w:val="false"/>
                <w:bCs w:val="false"/>
                <w:sz w:val="20"/>
                <w:szCs w:val="20"/>
              </w:rPr>
              <w:t xml:space="preserve">Pricing shown</w:t>
            </w:r>
          </w:p>
        </w:tc>
        <w:tc>
          <w:tcPr>
            <w:tcMar>
              <w:top w:type="dxa" w:w="60"/>
              <w:left w:type="dxa" w:w="100"/>
              <w:bottom w:type="dxa" w:w="60"/>
              <w:right w:type="dxa" w:w="100"/>
            </w:tcMar>
          </w:tcPr>
          <w:p>
            <w:r>
              <w:rPr>
                <w:b w:val="false"/>
                <w:bCs w:val="false"/>
                <w:sz w:val="20"/>
                <w:szCs w:val="20"/>
              </w:rPr>
              <w:t xml:space="preserve">Starter free, Pro $24.99, Max $49.99. Matches src/lib/payment.ts.</w:t>
            </w:r>
          </w:p>
        </w:tc>
      </w:tr>
      <w:tr>
        <w:trPr>
          <w:tblHeader w:val="false"/>
        </w:trPr>
        <w:tc>
          <w:tcPr>
            <w:tcMar>
              <w:top w:type="dxa" w:w="60"/>
              <w:left w:type="dxa" w:w="100"/>
              <w:bottom w:type="dxa" w:w="60"/>
              <w:right w:type="dxa" w:w="100"/>
            </w:tcMar>
          </w:tcPr>
          <w:p>
            <w:r>
              <w:rPr>
                <w:b w:val="false"/>
                <w:bCs w:val="false"/>
                <w:sz w:val="20"/>
                <w:szCs w:val="20"/>
              </w:rPr>
              <w:t xml:space="preserve">Free scan endpoint</w:t>
            </w:r>
          </w:p>
        </w:tc>
        <w:tc>
          <w:tcPr>
            <w:tcMar>
              <w:top w:type="dxa" w:w="60"/>
              <w:left w:type="dxa" w:w="100"/>
              <w:bottom w:type="dxa" w:w="60"/>
              <w:right w:type="dxa" w:w="100"/>
            </w:tcMar>
          </w:tcPr>
          <w:p>
            <w:r>
              <w:rPr>
                <w:b w:val="false"/>
                <w:bCs w:val="false"/>
                <w:sz w:val="20"/>
                <w:szCs w:val="20"/>
              </w:rPr>
              <w:t xml:space="preserve">Reachable, validates input (HTTP 400 on empty body)</w:t>
            </w:r>
          </w:p>
        </w:tc>
      </w:tr>
      <w:tr>
        <w:trPr>
          <w:tblHeader w:val="false"/>
        </w:trPr>
        <w:tc>
          <w:tcPr>
            <w:tcMar>
              <w:top w:type="dxa" w:w="60"/>
              <w:left w:type="dxa" w:w="100"/>
              <w:bottom w:type="dxa" w:w="60"/>
              <w:right w:type="dxa" w:w="100"/>
            </w:tcMar>
          </w:tcPr>
          <w:p>
            <w:r>
              <w:rPr>
                <w:b w:val="false"/>
                <w:bCs w:val="false"/>
                <w:sz w:val="20"/>
                <w:szCs w:val="20"/>
              </w:rPr>
              <w:t xml:space="preserve">robots.txt and sitemap</w:t>
            </w:r>
          </w:p>
        </w:tc>
        <w:tc>
          <w:tcPr>
            <w:tcMar>
              <w:top w:type="dxa" w:w="60"/>
              <w:left w:type="dxa" w:w="100"/>
              <w:bottom w:type="dxa" w:w="60"/>
              <w:right w:type="dxa" w:w="100"/>
            </w:tcMar>
          </w:tcPr>
          <w:p>
            <w:r>
              <w:rPr>
                <w:b w:val="false"/>
                <w:bCs w:val="false"/>
                <w:sz w:val="20"/>
                <w:szCs w:val="20"/>
              </w:rPr>
              <w:t xml:space="preserve">Correct host, already emit https://seo4ai.app</w:t>
            </w:r>
          </w:p>
        </w:tc>
      </w:tr>
      <w:tr>
        <w:trPr>
          <w:tblHeader w:val="false"/>
        </w:trPr>
        <w:tc>
          <w:tcPr>
            <w:tcMar>
              <w:top w:type="dxa" w:w="60"/>
              <w:left w:type="dxa" w:w="100"/>
              <w:bottom w:type="dxa" w:w="60"/>
              <w:right w:type="dxa" w:w="100"/>
            </w:tcMar>
          </w:tcPr>
          <w:p>
            <w:r>
              <w:rPr>
                <w:b w:val="false"/>
                <w:bCs w:val="false"/>
                <w:sz w:val="20"/>
                <w:szCs w:val="20"/>
              </w:rPr>
              <w:t xml:space="preserve">AI Visibility Index page</w:t>
            </w:r>
          </w:p>
        </w:tc>
        <w:tc>
          <w:tcPr>
            <w:tcMar>
              <w:top w:type="dxa" w:w="60"/>
              <w:left w:type="dxa" w:w="100"/>
              <w:bottom w:type="dxa" w:w="60"/>
              <w:right w:type="dxa" w:w="100"/>
            </w:tcMar>
          </w:tcPr>
          <w:p>
            <w:r>
              <w:rPr>
                <w:b w:val="false"/>
                <w:bCs w:val="false"/>
                <w:sz w:val="20"/>
                <w:szCs w:val="20"/>
              </w:rPr>
              <w:t xml:space="preserve">Live but EMPTY. No company data published.</w:t>
            </w:r>
          </w:p>
        </w:tc>
      </w:tr>
    </w:tbl>
    <w:p>
      <w:pPr>
        <w:spacing w:after="120"/>
      </w:pPr>
    </w:p>
    <w:p>
      <w:pPr>
        <w:spacing w:after="80"/>
      </w:pPr>
      <w:r>
        <w:rPr>
          <w:b/>
          <w:bCs/>
        </w:rPr>
        <w:t xml:space="preserve">Correction to earlier assumptions: </w:t>
      </w:r>
      <w:r>
        <w:t xml:space="preserve">because production is on Vercel and not Coolify, the vercel.json cron is valid and does fire, and NEXT_PUBLIC_APP_URL is already set correctly in production. Two previously reported blockers were not real.</w:t>
      </w:r>
    </w:p>
    <w:p>
      <w:pPr>
        <w:pStyle w:val="Heading2"/>
        <w:spacing w:after="80" w:before="200"/>
      </w:pPr>
      <w:r>
        <w:rPr>
          <w:b/>
          <w:bCs/>
        </w:rPr>
        <w:t xml:space="preserve">1.2 What is built and working</w:t>
      </w:r>
    </w:p>
    <w:p>
      <w:pPr>
        <w:pStyle w:val="ListParagraph"/>
        <w:numPr>
          <w:ilvl w:val="0"/>
          <w:numId w:val="1"/>
        </w:numPr>
        <w:spacing w:after="40"/>
      </w:pPr>
      <w:r>
        <w:t xml:space="preserve">Scoring engine with honest methodology: brand-echo prompts excluded, unfamiliar-brand responses not counted, sentiment zeroed when unmentioned. 23 unit tests passing.</w:t>
      </w:r>
    </w:p>
    <w:p>
      <w:pPr>
        <w:pStyle w:val="ListParagraph"/>
        <w:numPr>
          <w:ilvl w:val="0"/>
          <w:numId w:val="1"/>
        </w:numPr>
        <w:spacing w:after="40"/>
      </w:pPr>
      <w:r>
        <w:t xml:space="preserve">Multi-run sampling: each prompt asked three times, majority verdict, per-prompt split retained, stability metric published. Built today, not yet run against live data.</w:t>
      </w:r>
    </w:p>
    <w:p>
      <w:pPr>
        <w:pStyle w:val="ListParagraph"/>
        <w:numPr>
          <w:ilvl w:val="0"/>
          <w:numId w:val="1"/>
        </w:numPr>
        <w:spacing w:after="40"/>
      </w:pPr>
      <w:r>
        <w:t xml:space="preserve">Free public scan with IP rate limiting (3 per day, 10 minute cooldown, 200 per day global).</w:t>
      </w:r>
    </w:p>
    <w:p>
      <w:pPr>
        <w:pStyle w:val="ListParagraph"/>
        <w:numPr>
          <w:ilvl w:val="0"/>
          <w:numId w:val="1"/>
        </w:numPr>
        <w:spacing w:after="40"/>
      </w:pPr>
      <w:r>
        <w:t xml:space="preserve">Supabase auth, RLS on every table, server-side plan enforcement on all write routes.</w:t>
      </w:r>
    </w:p>
    <w:p>
      <w:pPr>
        <w:pStyle w:val="ListParagraph"/>
        <w:numPr>
          <w:ilvl w:val="0"/>
          <w:numId w:val="1"/>
        </w:numPr>
        <w:spacing w:after="40"/>
      </w:pPr>
      <w:r>
        <w:t xml:space="preserve">Polar billing plumbing: checkout, customer portal, webhook, sandbox and production credential split.</w:t>
      </w:r>
    </w:p>
    <w:p>
      <w:pPr>
        <w:pStyle w:val="ListParagraph"/>
        <w:numPr>
          <w:ilvl w:val="0"/>
          <w:numId w:val="1"/>
        </w:numPr>
        <w:spacing w:after="40"/>
      </w:pPr>
      <w:r>
        <w:t xml:space="preserve">Dashboard, competitor gap analysis, boost content generator, article generation, WordPress publishing, outreach drafts, shareable report cards with dynamic OG images.</w:t>
      </w:r>
    </w:p>
    <w:p>
      <w:pPr>
        <w:pStyle w:val="ListParagraph"/>
        <w:numPr>
          <w:ilvl w:val="0"/>
          <w:numId w:val="1"/>
        </w:numPr>
        <w:spacing w:after="40"/>
      </w:pPr>
      <w:r>
        <w:t xml:space="preserve">SEO foundation built today: canonical domain module, AI crawler allowances, llms.txt, Article, Organization, SoftwareApplication, Breadcrumb and FAQPage structured data, visible FAQ section.</w:t>
      </w:r>
    </w:p>
    <w:p>
      <w:pPr>
        <w:pStyle w:val="Heading2"/>
        <w:spacing w:after="80" w:before="200"/>
      </w:pPr>
      <w:r>
        <w:rPr>
          <w:b/>
          <w:bCs/>
        </w:rPr>
        <w:t xml:space="preserve">1.3 What is built but does not work as sold</w:t>
      </w:r>
    </w:p>
    <w:p>
      <w:pPr>
        <w:spacing w:after="100"/>
      </w:pPr>
      <w:r>
        <w:rPr>
          <w:b/>
          <w:bCs/>
        </w:rPr>
        <w:t xml:space="preserve">This is the section that matters most.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F46E5"/>
            <w:tcMar>
              <w:top w:type="dxa" w:w="60"/>
              <w:left w:type="dxa" w:w="100"/>
              <w:bottom w:type="dxa" w:w="60"/>
              <w:right w:type="dxa" w:w="100"/>
            </w:tcMar>
          </w:tcPr>
          <w:p>
            <w:r>
              <w:rPr>
                <w:b/>
                <w:bCs/>
                <w:color w:val="FFFFFF"/>
                <w:sz w:val="20"/>
                <w:szCs w:val="20"/>
              </w:rPr>
              <w:t xml:space="preserve">Issue</w:t>
            </w:r>
          </w:p>
        </w:tc>
        <w:tc>
          <w:tcPr>
            <w:shd w:fill="4F46E5"/>
            <w:tcMar>
              <w:top w:type="dxa" w:w="60"/>
              <w:left w:type="dxa" w:w="100"/>
              <w:bottom w:type="dxa" w:w="60"/>
              <w:right w:type="dxa" w:w="100"/>
            </w:tcMar>
          </w:tcPr>
          <w:p>
            <w:r>
              <w:rPr>
                <w:b/>
                <w:bCs/>
                <w:color w:val="FFFFFF"/>
                <w:sz w:val="20"/>
                <w:szCs w:val="20"/>
              </w:rPr>
              <w:t xml:space="preserve">Consequence</w:t>
            </w:r>
          </w:p>
        </w:tc>
        <w:tc>
          <w:tcPr>
            <w:shd w:fill="4F46E5"/>
            <w:tcMar>
              <w:top w:type="dxa" w:w="60"/>
              <w:left w:type="dxa" w:w="100"/>
              <w:bottom w:type="dxa" w:w="60"/>
              <w:right w:type="dxa" w:w="100"/>
            </w:tcMar>
          </w:tcPr>
          <w:p>
            <w:r>
              <w:rPr>
                <w:b/>
                <w:bCs/>
                <w:color w:val="FFFFFF"/>
                <w:sz w:val="20"/>
                <w:szCs w:val="20"/>
              </w:rPr>
              <w:t xml:space="preserve">Severity</w:t>
            </w:r>
          </w:p>
        </w:tc>
      </w:tr>
      <w:tr>
        <w:trPr>
          <w:tblHeader w:val="false"/>
        </w:trPr>
        <w:tc>
          <w:tcPr>
            <w:tcMar>
              <w:top w:type="dxa" w:w="60"/>
              <w:left w:type="dxa" w:w="100"/>
              <w:bottom w:type="dxa" w:w="60"/>
              <w:right w:type="dxa" w:w="100"/>
            </w:tcMar>
          </w:tcPr>
          <w:p>
            <w:r>
              <w:rPr>
                <w:b w:val="false"/>
                <w:bCs w:val="false"/>
                <w:sz w:val="20"/>
                <w:szCs w:val="20"/>
              </w:rPr>
              <w:t xml:space="preserve">Scanner has no web search on any engine</w:t>
            </w:r>
          </w:p>
        </w:tc>
        <w:tc>
          <w:tcPr>
            <w:tcMar>
              <w:top w:type="dxa" w:w="60"/>
              <w:left w:type="dxa" w:w="100"/>
              <w:bottom w:type="dxa" w:w="60"/>
              <w:right w:type="dxa" w:w="100"/>
            </w:tcMar>
          </w:tcPr>
          <w:p>
            <w:r>
              <w:rPr>
                <w:b w:val="false"/>
                <w:bCs w:val="false"/>
                <w:sz w:val="20"/>
                <w:szCs w:val="20"/>
              </w:rPr>
              <w:t xml:space="preserve">Measures frozen training weights only. A customer who does the recommended work and re-scans sees no change.</w:t>
            </w:r>
          </w:p>
        </w:tc>
        <w:tc>
          <w:tcPr>
            <w:tcMar>
              <w:top w:type="dxa" w:w="60"/>
              <w:left w:type="dxa" w:w="100"/>
              <w:bottom w:type="dxa" w:w="60"/>
              <w:right w:type="dxa" w:w="100"/>
            </w:tcMar>
          </w:tcPr>
          <w:p>
            <w:r>
              <w:rPr>
                <w:b w:val="false"/>
                <w:bCs w:val="false"/>
                <w:color w:val="B91C1C"/>
                <w:sz w:val="20"/>
                <w:szCs w:val="20"/>
              </w:rPr>
              <w:t xml:space="preserve">Critical</w:t>
            </w:r>
          </w:p>
        </w:tc>
      </w:tr>
      <w:tr>
        <w:trPr>
          <w:tblHeader w:val="false"/>
        </w:trPr>
        <w:tc>
          <w:tcPr>
            <w:tcMar>
              <w:top w:type="dxa" w:w="60"/>
              <w:left w:type="dxa" w:w="100"/>
              <w:bottom w:type="dxa" w:w="60"/>
              <w:right w:type="dxa" w:w="100"/>
            </w:tcMar>
          </w:tcPr>
          <w:p>
            <w:r>
              <w:rPr>
                <w:b w:val="false"/>
                <w:bCs w:val="false"/>
                <w:sz w:val="20"/>
                <w:szCs w:val="20"/>
              </w:rPr>
              <w:t xml:space="preserve">Max advertises Claude, ANTHROPIC_API_KEY unset</w:t>
            </w:r>
          </w:p>
        </w:tc>
        <w:tc>
          <w:tcPr>
            <w:tcMar>
              <w:top w:type="dxa" w:w="60"/>
              <w:left w:type="dxa" w:w="100"/>
              <w:bottom w:type="dxa" w:w="60"/>
              <w:right w:type="dxa" w:w="100"/>
            </w:tcMar>
          </w:tcPr>
          <w:p>
            <w:r>
              <w:rPr>
                <w:b w:val="false"/>
                <w:bCs w:val="false"/>
                <w:sz w:val="20"/>
                <w:szCs w:val="20"/>
              </w:rPr>
              <w:t xml:space="preserve">Sells three engines, delivers two</w:t>
            </w:r>
          </w:p>
        </w:tc>
        <w:tc>
          <w:tcPr>
            <w:tcMar>
              <w:top w:type="dxa" w:w="60"/>
              <w:left w:type="dxa" w:w="100"/>
              <w:bottom w:type="dxa" w:w="60"/>
              <w:right w:type="dxa" w:w="100"/>
            </w:tcMar>
          </w:tcPr>
          <w:p>
            <w:r>
              <w:rPr>
                <w:b w:val="false"/>
                <w:bCs w:val="false"/>
                <w:color w:val="B91C1C"/>
                <w:sz w:val="20"/>
                <w:szCs w:val="20"/>
              </w:rPr>
              <w:t xml:space="preserve">High</w:t>
            </w:r>
          </w:p>
        </w:tc>
      </w:tr>
      <w:tr>
        <w:trPr>
          <w:tblHeader w:val="false"/>
        </w:trPr>
        <w:tc>
          <w:tcPr>
            <w:tcMar>
              <w:top w:type="dxa" w:w="60"/>
              <w:left w:type="dxa" w:w="100"/>
              <w:bottom w:type="dxa" w:w="60"/>
              <w:right w:type="dxa" w:w="100"/>
            </w:tcMar>
          </w:tcPr>
          <w:p>
            <w:r>
              <w:rPr>
                <w:b w:val="false"/>
                <w:bCs w:val="false"/>
                <w:sz w:val="20"/>
                <w:szCs w:val="20"/>
              </w:rPr>
              <w:t xml:space="preserve">BILLING_TEST_MODE=true</w:t>
            </w:r>
          </w:p>
        </w:tc>
        <w:tc>
          <w:tcPr>
            <w:tcMar>
              <w:top w:type="dxa" w:w="60"/>
              <w:left w:type="dxa" w:w="100"/>
              <w:bottom w:type="dxa" w:w="60"/>
              <w:right w:type="dxa" w:w="100"/>
            </w:tcMar>
          </w:tcPr>
          <w:p>
            <w:r>
              <w:rPr>
                <w:b w:val="false"/>
                <w:bCs w:val="false"/>
                <w:sz w:val="20"/>
                <w:szCs w:val="20"/>
              </w:rPr>
              <w:t xml:space="preserve">No real payment can be taken</w:t>
            </w:r>
          </w:p>
        </w:tc>
        <w:tc>
          <w:tcPr>
            <w:tcMar>
              <w:top w:type="dxa" w:w="60"/>
              <w:left w:type="dxa" w:w="100"/>
              <w:bottom w:type="dxa" w:w="60"/>
              <w:right w:type="dxa" w:w="100"/>
            </w:tcMar>
          </w:tcPr>
          <w:p>
            <w:r>
              <w:rPr>
                <w:b w:val="false"/>
                <w:bCs w:val="false"/>
                <w:color w:val="B45309"/>
                <w:sz w:val="20"/>
                <w:szCs w:val="20"/>
              </w:rPr>
              <w:t xml:space="preserve">High</w:t>
            </w:r>
          </w:p>
        </w:tc>
      </w:tr>
      <w:tr>
        <w:trPr>
          <w:tblHeader w:val="false"/>
        </w:trPr>
        <w:tc>
          <w:tcPr>
            <w:tcMar>
              <w:top w:type="dxa" w:w="60"/>
              <w:left w:type="dxa" w:w="100"/>
              <w:bottom w:type="dxa" w:w="60"/>
              <w:right w:type="dxa" w:w="100"/>
            </w:tcMar>
          </w:tcPr>
          <w:p>
            <w:r>
              <w:rPr>
                <w:b w:val="false"/>
                <w:bCs w:val="false"/>
                <w:sz w:val="20"/>
                <w:szCs w:val="20"/>
              </w:rPr>
              <w:t xml:space="preserve">index_entries empty in production</w:t>
            </w:r>
          </w:p>
        </w:tc>
        <w:tc>
          <w:tcPr>
            <w:tcMar>
              <w:top w:type="dxa" w:w="60"/>
              <w:left w:type="dxa" w:w="100"/>
              <w:bottom w:type="dxa" w:w="60"/>
              <w:right w:type="dxa" w:w="100"/>
            </w:tcMar>
          </w:tcPr>
          <w:p>
            <w:r>
              <w:rPr>
                <w:b w:val="false"/>
                <w:bCs w:val="false"/>
                <w:sz w:val="20"/>
                <w:szCs w:val="20"/>
              </w:rPr>
              <w:t xml:space="preserve">Public index and llms.txt render empty states, so the main content asset shows nothing</w:t>
            </w:r>
          </w:p>
        </w:tc>
        <w:tc>
          <w:tcPr>
            <w:tcMar>
              <w:top w:type="dxa" w:w="60"/>
              <w:left w:type="dxa" w:w="100"/>
              <w:bottom w:type="dxa" w:w="60"/>
              <w:right w:type="dxa" w:w="100"/>
            </w:tcMar>
          </w:tcPr>
          <w:p>
            <w:r>
              <w:rPr>
                <w:b w:val="false"/>
                <w:bCs w:val="false"/>
                <w:color w:val="B45309"/>
                <w:sz w:val="20"/>
                <w:szCs w:val="20"/>
              </w:rPr>
              <w:t xml:space="preserve">High</w:t>
            </w:r>
          </w:p>
        </w:tc>
      </w:tr>
      <w:tr>
        <w:trPr>
          <w:tblHeader w:val="false"/>
        </w:trPr>
        <w:tc>
          <w:tcPr>
            <w:tcMar>
              <w:top w:type="dxa" w:w="60"/>
              <w:left w:type="dxa" w:w="100"/>
              <w:bottom w:type="dxa" w:w="60"/>
              <w:right w:type="dxa" w:w="100"/>
            </w:tcMar>
          </w:tcPr>
          <w:p>
            <w:r>
              <w:rPr>
                <w:b w:val="false"/>
                <w:bCs w:val="false"/>
                <w:sz w:val="20"/>
                <w:szCs w:val="20"/>
              </w:rPr>
              <w:t xml:space="preserve">Deployed build 5 days stale</w:t>
            </w:r>
          </w:p>
        </w:tc>
        <w:tc>
          <w:tcPr>
            <w:tcMar>
              <w:top w:type="dxa" w:w="60"/>
              <w:left w:type="dxa" w:w="100"/>
              <w:bottom w:type="dxa" w:w="60"/>
              <w:right w:type="dxa" w:w="100"/>
            </w:tcMar>
          </w:tcPr>
          <w:p>
            <w:r>
              <w:rPr>
                <w:b w:val="false"/>
                <w:bCs w:val="false"/>
                <w:sz w:val="20"/>
                <w:szCs w:val="20"/>
              </w:rPr>
              <w:t xml:space="preserve">None of the rename, SEO or sampling work is live</w:t>
            </w:r>
          </w:p>
        </w:tc>
        <w:tc>
          <w:tcPr>
            <w:tcMar>
              <w:top w:type="dxa" w:w="60"/>
              <w:left w:type="dxa" w:w="100"/>
              <w:bottom w:type="dxa" w:w="60"/>
              <w:right w:type="dxa" w:w="100"/>
            </w:tcMar>
          </w:tcPr>
          <w:p>
            <w:r>
              <w:rPr>
                <w:b w:val="false"/>
                <w:bCs w:val="false"/>
                <w:color w:val="B45309"/>
                <w:sz w:val="20"/>
                <w:szCs w:val="20"/>
              </w:rPr>
              <w:t xml:space="preserve">Medium</w:t>
            </w:r>
          </w:p>
        </w:tc>
      </w:tr>
      <w:tr>
        <w:trPr>
          <w:tblHeader w:val="false"/>
        </w:trPr>
        <w:tc>
          <w:tcPr>
            <w:tcMar>
              <w:top w:type="dxa" w:w="60"/>
              <w:left w:type="dxa" w:w="100"/>
              <w:bottom w:type="dxa" w:w="60"/>
              <w:right w:type="dxa" w:w="100"/>
            </w:tcMar>
          </w:tcPr>
          <w:p>
            <w:r>
              <w:rPr>
                <w:b w:val="false"/>
                <w:bCs w:val="false"/>
                <w:sz w:val="20"/>
                <w:szCs w:val="20"/>
              </w:rPr>
              <w:t xml:space="preserve">Pricing below competitors on value</w:t>
            </w:r>
          </w:p>
        </w:tc>
        <w:tc>
          <w:tcPr>
            <w:tcMar>
              <w:top w:type="dxa" w:w="60"/>
              <w:left w:type="dxa" w:w="100"/>
              <w:bottom w:type="dxa" w:w="60"/>
              <w:right w:type="dxa" w:w="100"/>
            </w:tcMar>
          </w:tcPr>
          <w:p>
            <w:r>
              <w:rPr>
                <w:b w:val="false"/>
                <w:bCs w:val="false"/>
                <w:sz w:val="20"/>
                <w:szCs w:val="20"/>
              </w:rPr>
              <w:t xml:space="preserve">Otterly bundles 4 engines at about $29; Max is $49.99 for 3</w:t>
            </w:r>
          </w:p>
        </w:tc>
        <w:tc>
          <w:tcPr>
            <w:tcMar>
              <w:top w:type="dxa" w:w="60"/>
              <w:left w:type="dxa" w:w="100"/>
              <w:bottom w:type="dxa" w:w="60"/>
              <w:right w:type="dxa" w:w="100"/>
            </w:tcMar>
          </w:tcPr>
          <w:p>
            <w:r>
              <w:rPr>
                <w:b w:val="false"/>
                <w:bCs w:val="false"/>
                <w:color w:val="B45309"/>
                <w:sz w:val="20"/>
                <w:szCs w:val="20"/>
              </w:rPr>
              <w:t xml:space="preserve">Medium</w:t>
            </w:r>
          </w:p>
        </w:tc>
      </w:tr>
      <w:tr>
        <w:trPr>
          <w:tblHeader w:val="false"/>
        </w:trPr>
        <w:tc>
          <w:tcPr>
            <w:tcMar>
              <w:top w:type="dxa" w:w="60"/>
              <w:left w:type="dxa" w:w="100"/>
              <w:bottom w:type="dxa" w:w="60"/>
              <w:right w:type="dxa" w:w="100"/>
            </w:tcMar>
          </w:tcPr>
          <w:p>
            <w:r>
              <w:rPr>
                <w:b w:val="false"/>
                <w:bCs w:val="false"/>
                <w:sz w:val="20"/>
                <w:szCs w:val="20"/>
              </w:rPr>
              <w:t xml:space="preserve">Perplexity claimed in older deployed copy</w:t>
            </w:r>
          </w:p>
        </w:tc>
        <w:tc>
          <w:tcPr>
            <w:tcMar>
              <w:top w:type="dxa" w:w="60"/>
              <w:left w:type="dxa" w:w="100"/>
              <w:bottom w:type="dxa" w:w="60"/>
              <w:right w:type="dxa" w:w="100"/>
            </w:tcMar>
          </w:tcPr>
          <w:p>
            <w:r>
              <w:rPr>
                <w:b w:val="false"/>
                <w:bCs w:val="false"/>
                <w:sz w:val="20"/>
                <w:szCs w:val="20"/>
              </w:rPr>
              <w:t xml:space="preserve">No Perplexity engine exists. Fixed in working tree, not deployed.</w:t>
            </w:r>
          </w:p>
        </w:tc>
        <w:tc>
          <w:tcPr>
            <w:tcMar>
              <w:top w:type="dxa" w:w="60"/>
              <w:left w:type="dxa" w:w="100"/>
              <w:bottom w:type="dxa" w:w="60"/>
              <w:right w:type="dxa" w:w="100"/>
            </w:tcMar>
          </w:tcPr>
          <w:p>
            <w:r>
              <w:rPr>
                <w:b w:val="false"/>
                <w:bCs w:val="false"/>
                <w:color w:val="B45309"/>
                <w:sz w:val="20"/>
                <w:szCs w:val="20"/>
              </w:rPr>
              <w:t xml:space="preserve">Medium</w:t>
            </w:r>
          </w:p>
        </w:tc>
      </w:tr>
      <w:tr>
        <w:trPr>
          <w:tblHeader w:val="false"/>
        </w:trPr>
        <w:tc>
          <w:tcPr>
            <w:tcMar>
              <w:top w:type="dxa" w:w="60"/>
              <w:left w:type="dxa" w:w="100"/>
              <w:bottom w:type="dxa" w:w="60"/>
              <w:right w:type="dxa" w:w="100"/>
            </w:tcMar>
          </w:tcPr>
          <w:p>
            <w:r>
              <w:rPr>
                <w:b w:val="false"/>
                <w:bCs w:val="false"/>
                <w:sz w:val="20"/>
                <w:szCs w:val="20"/>
              </w:rPr>
              <w:t xml:space="preserve">Three blog posts dated January 2025</w:t>
            </w:r>
          </w:p>
        </w:tc>
        <w:tc>
          <w:tcPr>
            <w:tcMar>
              <w:top w:type="dxa" w:w="60"/>
              <w:left w:type="dxa" w:w="100"/>
              <w:bottom w:type="dxa" w:w="60"/>
              <w:right w:type="dxa" w:w="100"/>
            </w:tcMar>
          </w:tcPr>
          <w:p>
            <w:r>
              <w:rPr>
                <w:b w:val="false"/>
                <w:bCs w:val="false"/>
                <w:sz w:val="20"/>
                <w:szCs w:val="20"/>
              </w:rPr>
              <w:t xml:space="preserve">Stale content in a category where freshness drives retrieval</w:t>
            </w:r>
          </w:p>
        </w:tc>
        <w:tc>
          <w:tcPr>
            <w:tcMar>
              <w:top w:type="dxa" w:w="60"/>
              <w:left w:type="dxa" w:w="100"/>
              <w:bottom w:type="dxa" w:w="60"/>
              <w:right w:type="dxa" w:w="100"/>
            </w:tcMar>
          </w:tcPr>
          <w:p>
            <w:r>
              <w:rPr>
                <w:b w:val="false"/>
                <w:bCs w:val="false"/>
                <w:color w:val="64748B"/>
                <w:sz w:val="20"/>
                <w:szCs w:val="20"/>
              </w:rPr>
              <w:t xml:space="preserve">Low</w:t>
            </w:r>
          </w:p>
        </w:tc>
      </w:tr>
    </w:tbl>
    <w:p>
      <w:pPr>
        <w:pStyle w:val="Heading2"/>
        <w:spacing w:after="80" w:before="200"/>
      </w:pPr>
      <w:r>
        <w:rPr>
          <w:b/>
          <w:bCs/>
        </w:rPr>
        <w:t xml:space="preserve">1.4 What does not exist yet</w:t>
      </w:r>
    </w:p>
    <w:p>
      <w:pPr>
        <w:pStyle w:val="ListParagraph"/>
        <w:numPr>
          <w:ilvl w:val="0"/>
          <w:numId w:val="1"/>
        </w:numPr>
        <w:spacing w:after="40"/>
      </w:pPr>
      <w:r>
        <w:t xml:space="preserve">Grounded, search-enabled scanning in the product. Proven feasible on 10 August, not yet implemented. The single blocking item.</w:t>
      </w:r>
    </w:p>
    <w:p>
      <w:pPr>
        <w:pStyle w:val="ListParagraph"/>
        <w:numPr>
          <w:ilvl w:val="0"/>
          <w:numId w:val="1"/>
        </w:numPr>
        <w:spacing w:after="40"/>
      </w:pPr>
      <w:r>
        <w:t xml:space="preserve">Category leaderboard pages at /ai-visibility-index/[category].</w:t>
      </w:r>
    </w:p>
    <w:p>
      <w:pPr>
        <w:pStyle w:val="ListParagraph"/>
        <w:numPr>
          <w:ilvl w:val="0"/>
          <w:numId w:val="1"/>
        </w:numPr>
        <w:spacing w:after="40"/>
      </w:pPr>
      <w:r>
        <w:t xml:space="preserve">Any instrumented before-and-after proof that the product moves a real brand.</w:t>
      </w:r>
    </w:p>
    <w:p>
      <w:pPr>
        <w:pStyle w:val="ListParagraph"/>
        <w:numPr>
          <w:ilvl w:val="0"/>
          <w:numId w:val="1"/>
        </w:numPr>
        <w:spacing w:after="40"/>
      </w:pPr>
      <w:r>
        <w:t xml:space="preserve">Automated tests for anything other than the analyzer. Thirteen lib modules have no test file.</w:t>
      </w:r>
    </w:p>
    <w:p>
      <w:pPr>
        <w:pStyle w:val="ListParagraph"/>
        <w:numPr>
          <w:ilvl w:val="0"/>
          <w:numId w:val="1"/>
        </w:numPr>
        <w:spacing w:after="40"/>
      </w:pPr>
      <w:r>
        <w:t xml:space="preserve">A confirmed paying customer.</w:t>
      </w:r>
    </w:p>
    <w:p>
      <w:pPr>
        <w:pStyle w:val="Heading2"/>
        <w:spacing w:after="80" w:before="200"/>
      </w:pPr>
      <w:r>
        <w:rPr>
          <w:b/>
          <w:bCs/>
        </w:rPr>
        <w:t xml:space="preserve">1.5 Honest one-line summary</w:t>
      </w:r>
    </w:p>
    <w:p>
      <w:pPr>
        <w:spacing w:after="140" w:before="120"/>
        <w:ind w:left="360"/>
      </w:pPr>
      <w:r>
        <w:rPr>
          <w:i/>
          <w:iCs/>
          <w:color w:val="4F46E5"/>
        </w:rPr>
        <w:t xml:space="preserve">The product is well built, deployed, and measures the one thing it cannot help a customer change. Everything else is secondary to fixing that.</w:t>
      </w:r>
    </w:p>
    <w:p>
      <w:pPr>
        <w:pStyle w:val="Heading1"/>
        <w:spacing w:after="120" w:before="300"/>
      </w:pPr>
      <w:r>
        <w:rPr>
          <w:b/>
          <w:bCs/>
          <w:color w:val="4F46E5"/>
        </w:rPr>
        <w:t xml:space="preserve">2. How AI recommendation actually works</w:t>
      </w:r>
    </w:p>
    <w:p>
      <w:pPr>
        <w:spacing w:after="100"/>
      </w:pPr>
      <w:r>
        <w:t xml:space="preserve">An AI assistant names a brand through two independent channels. Confusing them is the root cause of the issue in section 1.3.</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F46E5"/>
            <w:tcMar>
              <w:top w:type="dxa" w:w="60"/>
              <w:left w:type="dxa" w:w="100"/>
              <w:bottom w:type="dxa" w:w="60"/>
              <w:right w:type="dxa" w:w="100"/>
            </w:tcMar>
          </w:tcPr>
          <w:p>
            <w:r>
              <w:rPr>
                <w:b/>
                <w:bCs/>
                <w:color w:val="FFFFFF"/>
                <w:sz w:val="20"/>
                <w:szCs w:val="20"/>
              </w:rPr>
              <w:t xml:space="preserve"/>
            </w:r>
          </w:p>
        </w:tc>
        <w:tc>
          <w:tcPr>
            <w:shd w:fill="4F46E5"/>
            <w:tcMar>
              <w:top w:type="dxa" w:w="60"/>
              <w:left w:type="dxa" w:w="100"/>
              <w:bottom w:type="dxa" w:w="60"/>
              <w:right w:type="dxa" w:w="100"/>
            </w:tcMar>
          </w:tcPr>
          <w:p>
            <w:r>
              <w:rPr>
                <w:b/>
                <w:bCs/>
                <w:color w:val="FFFFFF"/>
                <w:sz w:val="20"/>
                <w:szCs w:val="20"/>
              </w:rPr>
              <w:t xml:space="preserve">Parametric channel</w:t>
            </w:r>
          </w:p>
        </w:tc>
        <w:tc>
          <w:tcPr>
            <w:shd w:fill="4F46E5"/>
            <w:tcMar>
              <w:top w:type="dxa" w:w="60"/>
              <w:left w:type="dxa" w:w="100"/>
              <w:bottom w:type="dxa" w:w="60"/>
              <w:right w:type="dxa" w:w="100"/>
            </w:tcMar>
          </w:tcPr>
          <w:p>
            <w:r>
              <w:rPr>
                <w:b/>
                <w:bCs/>
                <w:color w:val="FFFFFF"/>
                <w:sz w:val="20"/>
                <w:szCs w:val="20"/>
              </w:rPr>
              <w:t xml:space="preserve">Retrieval channel</w:t>
            </w:r>
          </w:p>
        </w:tc>
      </w:tr>
      <w:tr>
        <w:trPr>
          <w:tblHeader w:val="false"/>
        </w:trPr>
        <w:tc>
          <w:tcPr>
            <w:tcMar>
              <w:top w:type="dxa" w:w="60"/>
              <w:left w:type="dxa" w:w="100"/>
              <w:bottom w:type="dxa" w:w="60"/>
              <w:right w:type="dxa" w:w="100"/>
            </w:tcMar>
          </w:tcPr>
          <w:p>
            <w:r>
              <w:rPr>
                <w:b w:val="false"/>
                <w:bCs w:val="false"/>
                <w:sz w:val="20"/>
                <w:szCs w:val="20"/>
              </w:rPr>
              <w:t xml:space="preserve">What it is</w:t>
            </w:r>
          </w:p>
        </w:tc>
        <w:tc>
          <w:tcPr>
            <w:tcMar>
              <w:top w:type="dxa" w:w="60"/>
              <w:left w:type="dxa" w:w="100"/>
              <w:bottom w:type="dxa" w:w="60"/>
              <w:right w:type="dxa" w:w="100"/>
            </w:tcMar>
          </w:tcPr>
          <w:p>
            <w:r>
              <w:rPr>
                <w:b w:val="false"/>
                <w:bCs w:val="false"/>
                <w:sz w:val="20"/>
                <w:szCs w:val="20"/>
              </w:rPr>
              <w:t xml:space="preserve">What the model absorbed during training</w:t>
            </w:r>
          </w:p>
        </w:tc>
        <w:tc>
          <w:tcPr>
            <w:tcMar>
              <w:top w:type="dxa" w:w="60"/>
              <w:left w:type="dxa" w:w="100"/>
              <w:bottom w:type="dxa" w:w="60"/>
              <w:right w:type="dxa" w:w="100"/>
            </w:tcMar>
          </w:tcPr>
          <w:p>
            <w:r>
              <w:rPr>
                <w:b w:val="false"/>
                <w:bCs w:val="false"/>
                <w:sz w:val="20"/>
                <w:szCs w:val="20"/>
              </w:rPr>
              <w:t xml:space="preserve">What the model fetches from the live web while answering</w:t>
            </w:r>
          </w:p>
        </w:tc>
      </w:tr>
      <w:tr>
        <w:trPr>
          <w:tblHeader w:val="false"/>
        </w:trPr>
        <w:tc>
          <w:tcPr>
            <w:tcMar>
              <w:top w:type="dxa" w:w="60"/>
              <w:left w:type="dxa" w:w="100"/>
              <w:bottom w:type="dxa" w:w="60"/>
              <w:right w:type="dxa" w:w="100"/>
            </w:tcMar>
          </w:tcPr>
          <w:p>
            <w:r>
              <w:rPr>
                <w:b w:val="false"/>
                <w:bCs w:val="false"/>
                <w:sz w:val="20"/>
                <w:szCs w:val="20"/>
              </w:rPr>
              <w:t xml:space="preserve">Who uses it</w:t>
            </w:r>
          </w:p>
        </w:tc>
        <w:tc>
          <w:tcPr>
            <w:tcMar>
              <w:top w:type="dxa" w:w="60"/>
              <w:left w:type="dxa" w:w="100"/>
              <w:bottom w:type="dxa" w:w="60"/>
              <w:right w:type="dxa" w:w="100"/>
            </w:tcMar>
          </w:tcPr>
          <w:p>
            <w:r>
              <w:rPr>
                <w:b w:val="false"/>
                <w:bCs w:val="false"/>
                <w:sz w:val="20"/>
                <w:szCs w:val="20"/>
              </w:rPr>
              <w:t xml:space="preserve">Plain API calls, ChatGPT with search off</w:t>
            </w:r>
          </w:p>
        </w:tc>
        <w:tc>
          <w:tcPr>
            <w:tcMar>
              <w:top w:type="dxa" w:w="60"/>
              <w:left w:type="dxa" w:w="100"/>
              <w:bottom w:type="dxa" w:w="60"/>
              <w:right w:type="dxa" w:w="100"/>
            </w:tcMar>
          </w:tcPr>
          <w:p>
            <w:r>
              <w:rPr>
                <w:b w:val="false"/>
                <w:bCs w:val="false"/>
                <w:sz w:val="20"/>
                <w:szCs w:val="20"/>
              </w:rPr>
              <w:t xml:space="preserve">ChatGPT search, Perplexity, AI Overviews, Copilot</w:t>
            </w:r>
          </w:p>
        </w:tc>
      </w:tr>
      <w:tr>
        <w:trPr>
          <w:tblHeader w:val="false"/>
        </w:trPr>
        <w:tc>
          <w:tcPr>
            <w:tcMar>
              <w:top w:type="dxa" w:w="60"/>
              <w:left w:type="dxa" w:w="100"/>
              <w:bottom w:type="dxa" w:w="60"/>
              <w:right w:type="dxa" w:w="100"/>
            </w:tcMar>
          </w:tcPr>
          <w:p>
            <w:r>
              <w:rPr>
                <w:b w:val="false"/>
                <w:bCs w:val="false"/>
                <w:sz w:val="20"/>
                <w:szCs w:val="20"/>
              </w:rPr>
              <w:t xml:space="preserve">Driven by</w:t>
            </w:r>
          </w:p>
        </w:tc>
        <w:tc>
          <w:tcPr>
            <w:tcMar>
              <w:top w:type="dxa" w:w="60"/>
              <w:left w:type="dxa" w:w="100"/>
              <w:bottom w:type="dxa" w:w="60"/>
              <w:right w:type="dxa" w:w="100"/>
            </w:tcMar>
          </w:tcPr>
          <w:p>
            <w:r>
              <w:rPr>
                <w:b w:val="false"/>
                <w:bCs w:val="false"/>
                <w:sz w:val="20"/>
                <w:szCs w:val="20"/>
              </w:rPr>
              <w:t xml:space="preserve">Broad, long-standing presence across the web</w:t>
            </w:r>
          </w:p>
        </w:tc>
        <w:tc>
          <w:tcPr>
            <w:tcMar>
              <w:top w:type="dxa" w:w="60"/>
              <w:left w:type="dxa" w:w="100"/>
              <w:bottom w:type="dxa" w:w="60"/>
              <w:right w:type="dxa" w:w="100"/>
            </w:tcMar>
          </w:tcPr>
          <w:p>
            <w:r>
              <w:rPr>
                <w:b w:val="false"/>
                <w:bCs w:val="false"/>
                <w:sz w:val="20"/>
                <w:szCs w:val="20"/>
              </w:rPr>
              <w:t xml:space="preserve">Search ranking plus extractable, citable pages</w:t>
            </w:r>
          </w:p>
        </w:tc>
      </w:tr>
      <w:tr>
        <w:trPr>
          <w:tblHeader w:val="false"/>
        </w:trPr>
        <w:tc>
          <w:tcPr>
            <w:tcMar>
              <w:top w:type="dxa" w:w="60"/>
              <w:left w:type="dxa" w:w="100"/>
              <w:bottom w:type="dxa" w:w="60"/>
              <w:right w:type="dxa" w:w="100"/>
            </w:tcMar>
          </w:tcPr>
          <w:p>
            <w:r>
              <w:rPr>
                <w:b w:val="false"/>
                <w:bCs w:val="false"/>
                <w:sz w:val="20"/>
                <w:szCs w:val="20"/>
              </w:rPr>
              <w:t xml:space="preserve">Can a customer move it?</w:t>
            </w:r>
          </w:p>
        </w:tc>
        <w:tc>
          <w:tcPr>
            <w:tcMar>
              <w:top w:type="dxa" w:w="60"/>
              <w:left w:type="dxa" w:w="100"/>
              <w:bottom w:type="dxa" w:w="60"/>
              <w:right w:type="dxa" w:w="100"/>
            </w:tcMar>
          </w:tcPr>
          <w:p>
            <w:r>
              <w:rPr>
                <w:b w:val="false"/>
                <w:bCs w:val="false"/>
                <w:sz w:val="20"/>
                <w:szCs w:val="20"/>
              </w:rPr>
              <w:t xml:space="preserve">Not on any sellable timescale</w:t>
            </w:r>
          </w:p>
        </w:tc>
        <w:tc>
          <w:tcPr>
            <w:tcMar>
              <w:top w:type="dxa" w:w="60"/>
              <w:left w:type="dxa" w:w="100"/>
              <w:bottom w:type="dxa" w:w="60"/>
              <w:right w:type="dxa" w:w="100"/>
            </w:tcMar>
          </w:tcPr>
          <w:p>
            <w:r>
              <w:rPr>
                <w:b w:val="false"/>
                <w:bCs w:val="false"/>
                <w:sz w:val="20"/>
                <w:szCs w:val="20"/>
              </w:rPr>
              <w:t xml:space="preserve">Yes, in roughly 2 to 8 weeks</w:t>
            </w:r>
          </w:p>
        </w:tc>
      </w:tr>
      <w:tr>
        <w:trPr>
          <w:tblHeader w:val="false"/>
        </w:trPr>
        <w:tc>
          <w:tcPr>
            <w:tcMar>
              <w:top w:type="dxa" w:w="60"/>
              <w:left w:type="dxa" w:w="100"/>
              <w:bottom w:type="dxa" w:w="60"/>
              <w:right w:type="dxa" w:w="100"/>
            </w:tcMar>
          </w:tcPr>
          <w:p>
            <w:r>
              <w:rPr>
                <w:b w:val="false"/>
                <w:bCs w:val="false"/>
                <w:sz w:val="20"/>
                <w:szCs w:val="20"/>
              </w:rPr>
              <w:t xml:space="preserve">Changes when</w:t>
            </w:r>
          </w:p>
        </w:tc>
        <w:tc>
          <w:tcPr>
            <w:tcMar>
              <w:top w:type="dxa" w:w="60"/>
              <w:left w:type="dxa" w:w="100"/>
              <w:bottom w:type="dxa" w:w="60"/>
              <w:right w:type="dxa" w:w="100"/>
            </w:tcMar>
          </w:tcPr>
          <w:p>
            <w:r>
              <w:rPr>
                <w:b w:val="false"/>
                <w:bCs w:val="false"/>
                <w:sz w:val="20"/>
                <w:szCs w:val="20"/>
              </w:rPr>
              <w:t xml:space="preserve">The model is retrained, every 6 to 18 months</w:t>
            </w:r>
          </w:p>
        </w:tc>
        <w:tc>
          <w:tcPr>
            <w:tcMar>
              <w:top w:type="dxa" w:w="60"/>
              <w:left w:type="dxa" w:w="100"/>
              <w:bottom w:type="dxa" w:w="60"/>
              <w:right w:type="dxa" w:w="100"/>
            </w:tcMar>
          </w:tcPr>
          <w:p>
            <w:r>
              <w:rPr>
                <w:b w:val="false"/>
                <w:bCs w:val="false"/>
                <w:sz w:val="20"/>
                <w:szCs w:val="20"/>
              </w:rPr>
              <w:t xml:space="preserve">Continuously</w:t>
            </w:r>
          </w:p>
        </w:tc>
      </w:tr>
      <w:tr>
        <w:trPr>
          <w:tblHeader w:val="false"/>
        </w:trPr>
        <w:tc>
          <w:tcPr>
            <w:tcMar>
              <w:top w:type="dxa" w:w="60"/>
              <w:left w:type="dxa" w:w="100"/>
              <w:bottom w:type="dxa" w:w="60"/>
              <w:right w:type="dxa" w:w="100"/>
            </w:tcMar>
          </w:tcPr>
          <w:p>
            <w:r>
              <w:rPr>
                <w:b w:val="false"/>
                <w:bCs w:val="false"/>
                <w:sz w:val="20"/>
                <w:szCs w:val="20"/>
              </w:rPr>
              <w:t xml:space="preserve">What we measure today</w:t>
            </w:r>
          </w:p>
        </w:tc>
        <w:tc>
          <w:tcPr>
            <w:tcMar>
              <w:top w:type="dxa" w:w="60"/>
              <w:left w:type="dxa" w:w="100"/>
              <w:bottom w:type="dxa" w:w="60"/>
              <w:right w:type="dxa" w:w="100"/>
            </w:tcMar>
          </w:tcPr>
          <w:p>
            <w:r>
              <w:rPr>
                <w:b w:val="false"/>
                <w:bCs w:val="false"/>
                <w:sz w:val="20"/>
                <w:szCs w:val="20"/>
              </w:rPr>
              <w:t xml:space="preserve">This one</w:t>
            </w:r>
          </w:p>
        </w:tc>
        <w:tc>
          <w:tcPr>
            <w:tcMar>
              <w:top w:type="dxa" w:w="60"/>
              <w:left w:type="dxa" w:w="100"/>
              <w:bottom w:type="dxa" w:w="60"/>
              <w:right w:type="dxa" w:w="100"/>
            </w:tcMar>
          </w:tcPr>
          <w:p>
            <w:r>
              <w:rPr>
                <w:b w:val="false"/>
                <w:bCs w:val="false"/>
                <w:sz w:val="20"/>
                <w:szCs w:val="20"/>
              </w:rPr>
              <w:t xml:space="preserve">Nothing</w:t>
            </w:r>
          </w:p>
        </w:tc>
      </w:tr>
    </w:tbl>
    <w:p>
      <w:pPr>
        <w:spacing w:after="120"/>
      </w:pPr>
    </w:p>
    <w:p>
      <w:pPr>
        <w:spacing w:after="80"/>
      </w:pPr>
      <w:r>
        <w:rPr>
          <w:b/>
          <w:bCs/>
        </w:rPr>
        <w:t xml:space="preserve">The commercial consequence: </w:t>
      </w:r>
      <w:r>
        <w:t xml:space="preserve">we currently sell a subscription whose central promise is progress, while measuring the only channel that will not show progress. A customer doing everything right sees a flat score and cancels, correctly.</w:t>
      </w:r>
    </w:p>
    <w:p>
      <w:pPr>
        <w:pStyle w:val="Heading1"/>
        <w:spacing w:after="120" w:before="300"/>
      </w:pPr>
      <w:r>
        <w:rPr>
          <w:b/>
          <w:bCs/>
          <w:color w:val="4F46E5"/>
        </w:rPr>
        <w:t xml:space="preserve">3. What we require</w:t>
      </w:r>
    </w:p>
    <w:p>
      <w:pPr>
        <w:spacing w:after="100"/>
      </w:pPr>
      <w:r>
        <w:t xml:space="preserve">Grouped by purpose. Each has an acceptance test, so "done" is not a matter of opinion.</w:t>
      </w:r>
    </w:p>
    <w:p>
      <w:pPr>
        <w:pStyle w:val="Heading2"/>
        <w:spacing w:after="80" w:before="200"/>
      </w:pPr>
      <w:r>
        <w:rPr>
          <w:b/>
          <w:bCs/>
        </w:rPr>
        <w:t xml:space="preserve">R1. Grounded scanning (blocks everything)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F46E5"/>
            <w:tcMar>
              <w:top w:type="dxa" w:w="60"/>
              <w:left w:type="dxa" w:w="100"/>
              <w:bottom w:type="dxa" w:w="60"/>
              <w:right w:type="dxa" w:w="100"/>
            </w:tcMar>
          </w:tcPr>
          <w:p>
            <w:r>
              <w:rPr>
                <w:b/>
                <w:bCs/>
                <w:color w:val="FFFFFF"/>
                <w:sz w:val="20"/>
                <w:szCs w:val="20"/>
              </w:rPr>
              <w:t xml:space="preserve">Req</w:t>
            </w:r>
          </w:p>
        </w:tc>
        <w:tc>
          <w:tcPr>
            <w:shd w:fill="4F46E5"/>
            <w:tcMar>
              <w:top w:type="dxa" w:w="60"/>
              <w:left w:type="dxa" w:w="100"/>
              <w:bottom w:type="dxa" w:w="60"/>
              <w:right w:type="dxa" w:w="100"/>
            </w:tcMar>
          </w:tcPr>
          <w:p>
            <w:r>
              <w:rPr>
                <w:b/>
                <w:bCs/>
                <w:color w:val="FFFFFF"/>
                <w:sz w:val="20"/>
                <w:szCs w:val="20"/>
              </w:rPr>
              <w:t xml:space="preserve">Detail</w:t>
            </w:r>
          </w:p>
        </w:tc>
        <w:tc>
          <w:tcPr>
            <w:shd w:fill="4F46E5"/>
            <w:tcMar>
              <w:top w:type="dxa" w:w="60"/>
              <w:left w:type="dxa" w:w="100"/>
              <w:bottom w:type="dxa" w:w="60"/>
              <w:right w:type="dxa" w:w="100"/>
            </w:tcMar>
          </w:tcPr>
          <w:p>
            <w:r>
              <w:rPr>
                <w:b/>
                <w:bCs/>
                <w:color w:val="FFFFFF"/>
                <w:sz w:val="20"/>
                <w:szCs w:val="20"/>
              </w:rPr>
              <w:t xml:space="preserve">Acceptance test</w:t>
            </w:r>
          </w:p>
        </w:tc>
      </w:tr>
      <w:tr>
        <w:trPr>
          <w:tblHeader w:val="false"/>
        </w:trPr>
        <w:tc>
          <w:tcPr>
            <w:tcMar>
              <w:top w:type="dxa" w:w="60"/>
              <w:left w:type="dxa" w:w="100"/>
              <w:bottom w:type="dxa" w:w="60"/>
              <w:right w:type="dxa" w:w="100"/>
            </w:tcMar>
          </w:tcPr>
          <w:p>
            <w:r>
              <w:rPr>
                <w:b w:val="false"/>
                <w:bCs w:val="false"/>
                <w:sz w:val="20"/>
                <w:szCs w:val="20"/>
              </w:rPr>
              <w:t xml:space="preserve">R1.1</w:t>
            </w:r>
          </w:p>
        </w:tc>
        <w:tc>
          <w:tcPr>
            <w:tcMar>
              <w:top w:type="dxa" w:w="60"/>
              <w:left w:type="dxa" w:w="100"/>
              <w:bottom w:type="dxa" w:w="60"/>
              <w:right w:type="dxa" w:w="100"/>
            </w:tcMar>
          </w:tcPr>
          <w:p>
            <w:r>
              <w:rPr>
                <w:b w:val="false"/>
                <w:bCs w:val="false"/>
                <w:sz w:val="20"/>
                <w:szCs w:val="20"/>
              </w:rPr>
              <w:t xml:space="preserve">Enable web search on all engines. OpenAI MUST force it with tool_choice, see finding 1 in section 5.</w:t>
            </w:r>
          </w:p>
        </w:tc>
        <w:tc>
          <w:tcPr>
            <w:tcMar>
              <w:top w:type="dxa" w:w="60"/>
              <w:left w:type="dxa" w:w="100"/>
              <w:bottom w:type="dxa" w:w="60"/>
              <w:right w:type="dxa" w:w="100"/>
            </w:tcMar>
          </w:tcPr>
          <w:p>
            <w:r>
              <w:rPr>
                <w:b w:val="false"/>
                <w:bCs w:val="false"/>
                <w:sz w:val="20"/>
                <w:szCs w:val="20"/>
              </w:rPr>
              <w:t xml:space="preserve">Grounded scan returns citations; verified 10 Aug</w:t>
            </w:r>
          </w:p>
        </w:tc>
      </w:tr>
      <w:tr>
        <w:trPr>
          <w:tblHeader w:val="false"/>
        </w:trPr>
        <w:tc>
          <w:tcPr>
            <w:tcMar>
              <w:top w:type="dxa" w:w="60"/>
              <w:left w:type="dxa" w:w="100"/>
              <w:bottom w:type="dxa" w:w="60"/>
              <w:right w:type="dxa" w:w="100"/>
            </w:tcMar>
          </w:tcPr>
          <w:p>
            <w:r>
              <w:rPr>
                <w:b w:val="false"/>
                <w:bCs w:val="false"/>
                <w:sz w:val="20"/>
                <w:szCs w:val="20"/>
              </w:rPr>
              <w:t xml:space="preserve">R1.2</w:t>
            </w:r>
          </w:p>
        </w:tc>
        <w:tc>
          <w:tcPr>
            <w:tcMar>
              <w:top w:type="dxa" w:w="60"/>
              <w:left w:type="dxa" w:w="100"/>
              <w:bottom w:type="dxa" w:w="60"/>
              <w:right w:type="dxa" w:w="100"/>
            </w:tcMar>
          </w:tcPr>
          <w:p>
            <w:r>
              <w:rPr>
                <w:b w:val="false"/>
                <w:bCs w:val="false"/>
                <w:sz w:val="20"/>
                <w:szCs w:val="20"/>
              </w:rPr>
              <w:t xml:space="preserve">Capture cited source domains. Read Gemini from web.title, not web.uri or web.domain.</w:t>
            </w:r>
          </w:p>
        </w:tc>
        <w:tc>
          <w:tcPr>
            <w:tcMar>
              <w:top w:type="dxa" w:w="60"/>
              <w:left w:type="dxa" w:w="100"/>
              <w:bottom w:type="dxa" w:w="60"/>
              <w:right w:type="dxa" w:w="100"/>
            </w:tcMar>
          </w:tcPr>
          <w:p>
            <w:r>
              <w:rPr>
                <w:b w:val="false"/>
                <w:bCs w:val="false"/>
                <w:sz w:val="20"/>
                <w:szCs w:val="20"/>
              </w:rPr>
              <w:t xml:space="preserve">Every mention row carries real domains, not redirects</w:t>
            </w:r>
          </w:p>
        </w:tc>
      </w:tr>
      <w:tr>
        <w:trPr>
          <w:tblHeader w:val="false"/>
        </w:trPr>
        <w:tc>
          <w:tcPr>
            <w:tcMar>
              <w:top w:type="dxa" w:w="60"/>
              <w:left w:type="dxa" w:w="100"/>
              <w:bottom w:type="dxa" w:w="60"/>
              <w:right w:type="dxa" w:w="100"/>
            </w:tcMar>
          </w:tcPr>
          <w:p>
            <w:r>
              <w:rPr>
                <w:b w:val="false"/>
                <w:bCs w:val="false"/>
                <w:sz w:val="20"/>
                <w:szCs w:val="20"/>
              </w:rPr>
              <w:t xml:space="preserve">R1.3</w:t>
            </w:r>
          </w:p>
        </w:tc>
        <w:tc>
          <w:tcPr>
            <w:tcMar>
              <w:top w:type="dxa" w:w="60"/>
              <w:left w:type="dxa" w:w="100"/>
              <w:bottom w:type="dxa" w:w="60"/>
              <w:right w:type="dxa" w:w="100"/>
            </w:tcMar>
          </w:tcPr>
          <w:p>
            <w:r>
              <w:rPr>
                <w:b w:val="false"/>
                <w:bCs w:val="false"/>
                <w:sz w:val="20"/>
                <w:szCs w:val="20"/>
              </w:rPr>
              <w:t xml:space="preserve">Record the channel used on every scan row</w:t>
            </w:r>
          </w:p>
        </w:tc>
        <w:tc>
          <w:tcPr>
            <w:tcMar>
              <w:top w:type="dxa" w:w="60"/>
              <w:left w:type="dxa" w:w="100"/>
              <w:bottom w:type="dxa" w:w="60"/>
              <w:right w:type="dxa" w:w="100"/>
            </w:tcMar>
          </w:tcPr>
          <w:p>
            <w:r>
              <w:rPr>
                <w:b w:val="false"/>
                <w:bCs w:val="false"/>
                <w:sz w:val="20"/>
                <w:szCs w:val="20"/>
              </w:rPr>
              <w:t xml:space="preserve">A scan can be filtered to grounded or parametric</w:t>
            </w:r>
          </w:p>
        </w:tc>
      </w:tr>
      <w:tr>
        <w:trPr>
          <w:tblHeader w:val="false"/>
        </w:trPr>
        <w:tc>
          <w:tcPr>
            <w:tcMar>
              <w:top w:type="dxa" w:w="60"/>
              <w:left w:type="dxa" w:w="100"/>
              <w:bottom w:type="dxa" w:w="60"/>
              <w:right w:type="dxa" w:w="100"/>
            </w:tcMar>
          </w:tcPr>
          <w:p>
            <w:r>
              <w:rPr>
                <w:b w:val="false"/>
                <w:bCs w:val="false"/>
                <w:sz w:val="20"/>
                <w:szCs w:val="20"/>
              </w:rPr>
              <w:t xml:space="preserve">R1.4</w:t>
            </w:r>
          </w:p>
        </w:tc>
        <w:tc>
          <w:tcPr>
            <w:tcMar>
              <w:top w:type="dxa" w:w="60"/>
              <w:left w:type="dxa" w:w="100"/>
              <w:bottom w:type="dxa" w:w="60"/>
              <w:right w:type="dxa" w:w="100"/>
            </w:tcMar>
          </w:tcPr>
          <w:p>
            <w:r>
              <w:rPr>
                <w:b w:val="false"/>
                <w:bCs w:val="false"/>
                <w:sz w:val="20"/>
                <w:szCs w:val="20"/>
              </w:rPr>
              <w:t xml:space="preserve">Handle the higher cost and latency of grounded calls</w:t>
            </w:r>
          </w:p>
        </w:tc>
        <w:tc>
          <w:tcPr>
            <w:tcMar>
              <w:top w:type="dxa" w:w="60"/>
              <w:left w:type="dxa" w:w="100"/>
              <w:bottom w:type="dxa" w:w="60"/>
              <w:right w:type="dxa" w:w="100"/>
            </w:tcMar>
          </w:tcPr>
          <w:p>
            <w:r>
              <w:rPr>
                <w:b w:val="false"/>
                <w:bCs w:val="false"/>
                <w:sz w:val="20"/>
                <w:szCs w:val="20"/>
              </w:rPr>
              <w:t xml:space="preserve">A 20 prompt, 3 run scan completes inside the request budget and its cost is logged</w:t>
            </w:r>
          </w:p>
        </w:tc>
      </w:tr>
    </w:tbl>
    <w:p>
      <w:pPr>
        <w:spacing w:after="120"/>
      </w:pPr>
    </w:p>
    <w:p>
      <w:pPr>
        <w:spacing w:after="80"/>
      </w:pPr>
      <w:r>
        <w:rPr>
          <w:b/>
          <w:bCs/>
        </w:rPr>
        <w:t xml:space="preserve">R1.2 is not optional decoration. </w:t>
      </w:r>
      <w:r>
        <w:t xml:space="preserve">The cited URLs are the product. Knowing that ChatGPT recommended a competitor because it read three specific pages tells a customer exactly what to go and fix, and no score alone can do that.</w:t>
      </w:r>
    </w:p>
    <w:p>
      <w:pPr>
        <w:pStyle w:val="Heading2"/>
        <w:spacing w:after="80" w:before="200"/>
      </w:pPr>
      <w:r>
        <w:rPr>
          <w:b/>
          <w:bCs/>
        </w:rPr>
        <w:t xml:space="preserve">R2. Dual measurement</w:t>
      </w:r>
    </w:p>
    <w:p>
      <w:pPr>
        <w:spacing w:after="100"/>
      </w:pPr>
      <w:r>
        <w:t xml:space="preserve">Keep both channels, used for different jobs, clearly labelled wherever a number appears.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F46E5"/>
            <w:tcMar>
              <w:top w:type="dxa" w:w="60"/>
              <w:left w:type="dxa" w:w="100"/>
              <w:bottom w:type="dxa" w:w="60"/>
              <w:right w:type="dxa" w:w="100"/>
            </w:tcMar>
          </w:tcPr>
          <w:p>
            <w:r>
              <w:rPr>
                <w:b/>
                <w:bCs/>
                <w:color w:val="FFFFFF"/>
                <w:sz w:val="20"/>
                <w:szCs w:val="20"/>
              </w:rPr>
              <w:t xml:space="preserve">Surface</w:t>
            </w:r>
          </w:p>
        </w:tc>
        <w:tc>
          <w:tcPr>
            <w:shd w:fill="4F46E5"/>
            <w:tcMar>
              <w:top w:type="dxa" w:w="60"/>
              <w:left w:type="dxa" w:w="100"/>
              <w:bottom w:type="dxa" w:w="60"/>
              <w:right w:type="dxa" w:w="100"/>
            </w:tcMar>
          </w:tcPr>
          <w:p>
            <w:r>
              <w:rPr>
                <w:b/>
                <w:bCs/>
                <w:color w:val="FFFFFF"/>
                <w:sz w:val="20"/>
                <w:szCs w:val="20"/>
              </w:rPr>
              <w:t xml:space="preserve">Channel</w:t>
            </w:r>
          </w:p>
        </w:tc>
        <w:tc>
          <w:tcPr>
            <w:shd w:fill="4F46E5"/>
            <w:tcMar>
              <w:top w:type="dxa" w:w="60"/>
              <w:left w:type="dxa" w:w="100"/>
              <w:bottom w:type="dxa" w:w="60"/>
              <w:right w:type="dxa" w:w="100"/>
            </w:tcMar>
          </w:tcPr>
          <w:p>
            <w:r>
              <w:rPr>
                <w:b/>
                <w:bCs/>
                <w:color w:val="FFFFFF"/>
                <w:sz w:val="20"/>
                <w:szCs w:val="20"/>
              </w:rPr>
              <w:t xml:space="preserve">Why</w:t>
            </w:r>
          </w:p>
        </w:tc>
      </w:tr>
      <w:tr>
        <w:trPr>
          <w:tblHeader w:val="false"/>
        </w:trPr>
        <w:tc>
          <w:tcPr>
            <w:tcMar>
              <w:top w:type="dxa" w:w="60"/>
              <w:left w:type="dxa" w:w="100"/>
              <w:bottom w:type="dxa" w:w="60"/>
              <w:right w:type="dxa" w:w="100"/>
            </w:tcMar>
          </w:tcPr>
          <w:p>
            <w:r>
              <w:rPr>
                <w:b w:val="false"/>
                <w:bCs w:val="false"/>
                <w:sz w:val="20"/>
                <w:szCs w:val="20"/>
              </w:rPr>
              <w:t xml:space="preserve">Public AI Visibility Index</w:t>
            </w:r>
          </w:p>
        </w:tc>
        <w:tc>
          <w:tcPr>
            <w:tcMar>
              <w:top w:type="dxa" w:w="60"/>
              <w:left w:type="dxa" w:w="100"/>
              <w:bottom w:type="dxa" w:w="60"/>
              <w:right w:type="dxa" w:w="100"/>
            </w:tcMar>
          </w:tcPr>
          <w:p>
            <w:r>
              <w:rPr>
                <w:b w:val="false"/>
                <w:bCs w:val="false"/>
                <w:sz w:val="20"/>
                <w:szCs w:val="20"/>
              </w:rPr>
              <w:t xml:space="preserve">Parametric</w:t>
            </w:r>
          </w:p>
        </w:tc>
        <w:tc>
          <w:tcPr>
            <w:tcMar>
              <w:top w:type="dxa" w:w="60"/>
              <w:left w:type="dxa" w:w="100"/>
              <w:bottom w:type="dxa" w:w="60"/>
              <w:right w:type="dxa" w:w="100"/>
            </w:tcMar>
          </w:tcPr>
          <w:p>
            <w:r>
              <w:rPr>
                <w:b w:val="false"/>
                <w:bCs w:val="false"/>
                <w:sz w:val="20"/>
                <w:szCs w:val="20"/>
              </w:rPr>
              <w:t xml:space="preserve">Stable and comparable across months, which is what a leaderboard needs. Existing Linear and Superhuman findings stay valid.</w:t>
            </w:r>
          </w:p>
        </w:tc>
      </w:tr>
      <w:tr>
        <w:trPr>
          <w:tblHeader w:val="false"/>
        </w:trPr>
        <w:tc>
          <w:tcPr>
            <w:tcMar>
              <w:top w:type="dxa" w:w="60"/>
              <w:left w:type="dxa" w:w="100"/>
              <w:bottom w:type="dxa" w:w="60"/>
              <w:right w:type="dxa" w:w="100"/>
            </w:tcMar>
          </w:tcPr>
          <w:p>
            <w:r>
              <w:rPr>
                <w:b w:val="false"/>
                <w:bCs w:val="false"/>
                <w:sz w:val="20"/>
                <w:szCs w:val="20"/>
              </w:rPr>
              <w:t xml:space="preserve">Customer scans and dashboard</w:t>
            </w:r>
          </w:p>
        </w:tc>
        <w:tc>
          <w:tcPr>
            <w:tcMar>
              <w:top w:type="dxa" w:w="60"/>
              <w:left w:type="dxa" w:w="100"/>
              <w:bottom w:type="dxa" w:w="60"/>
              <w:right w:type="dxa" w:w="100"/>
            </w:tcMar>
          </w:tcPr>
          <w:p>
            <w:r>
              <w:rPr>
                <w:b w:val="false"/>
                <w:bCs w:val="false"/>
                <w:sz w:val="20"/>
                <w:szCs w:val="20"/>
              </w:rPr>
              <w:t xml:space="preserve">Grounded</w:t>
            </w:r>
          </w:p>
        </w:tc>
        <w:tc>
          <w:tcPr>
            <w:tcMar>
              <w:top w:type="dxa" w:w="60"/>
              <w:left w:type="dxa" w:w="100"/>
              <w:bottom w:type="dxa" w:w="60"/>
              <w:right w:type="dxa" w:w="100"/>
            </w:tcMar>
          </w:tcPr>
          <w:p>
            <w:r>
              <w:rPr>
                <w:b w:val="false"/>
                <w:bCs w:val="false"/>
                <w:sz w:val="20"/>
                <w:szCs w:val="20"/>
              </w:rPr>
              <w:t xml:space="preserve">Responsive to work, shows progress, justifies a subscription</w:t>
            </w:r>
          </w:p>
        </w:tc>
      </w:tr>
      <w:tr>
        <w:trPr>
          <w:tblHeader w:val="false"/>
        </w:trPr>
        <w:tc>
          <w:tcPr>
            <w:tcMar>
              <w:top w:type="dxa" w:w="60"/>
              <w:left w:type="dxa" w:w="100"/>
              <w:bottom w:type="dxa" w:w="60"/>
              <w:right w:type="dxa" w:w="100"/>
            </w:tcMar>
          </w:tcPr>
          <w:p>
            <w:r>
              <w:rPr>
                <w:b w:val="false"/>
                <w:bCs w:val="false"/>
                <w:sz w:val="20"/>
                <w:szCs w:val="20"/>
              </w:rPr>
              <w:t xml:space="preserve">Free public scan</w:t>
            </w:r>
          </w:p>
        </w:tc>
        <w:tc>
          <w:tcPr>
            <w:tcMar>
              <w:top w:type="dxa" w:w="60"/>
              <w:left w:type="dxa" w:w="100"/>
              <w:bottom w:type="dxa" w:w="60"/>
              <w:right w:type="dxa" w:w="100"/>
            </w:tcMar>
          </w:tcPr>
          <w:p>
            <w:r>
              <w:rPr>
                <w:b w:val="false"/>
                <w:bCs w:val="false"/>
                <w:sz w:val="20"/>
                <w:szCs w:val="20"/>
              </w:rPr>
              <w:t xml:space="preserve">Grounded</w:t>
            </w:r>
          </w:p>
        </w:tc>
        <w:tc>
          <w:tcPr>
            <w:tcMar>
              <w:top w:type="dxa" w:w="60"/>
              <w:left w:type="dxa" w:w="100"/>
              <w:bottom w:type="dxa" w:w="60"/>
              <w:right w:type="dxa" w:w="100"/>
            </w:tcMar>
          </w:tcPr>
          <w:p>
            <w:r>
              <w:rPr>
                <w:b w:val="false"/>
                <w:bCs w:val="false"/>
                <w:sz w:val="20"/>
                <w:szCs w:val="20"/>
              </w:rPr>
              <w:t xml:space="preserve">It is the hook. It must reflect what a real user of ChatGPT would see.</w:t>
            </w:r>
          </w:p>
        </w:tc>
      </w:tr>
    </w:tbl>
    <w:p>
      <w:pPr>
        <w:pStyle w:val="Heading2"/>
        <w:spacing w:after="80" w:before="200"/>
      </w:pPr>
      <w:r>
        <w:rPr>
          <w:b/>
          <w:bCs/>
        </w:rPr>
        <w:t xml:space="preserve">R3. Proof instrumentation</w:t>
      </w:r>
    </w:p>
    <w:p>
      <w:pPr>
        <w:pStyle w:val="ListParagraph"/>
        <w:numPr>
          <w:ilvl w:val="0"/>
          <w:numId w:val="1"/>
        </w:numPr>
        <w:spacing w:after="40"/>
      </w:pPr>
      <w:r>
        <w:t xml:space="preserve">R3.1 Persist every scan so a time series per brand exists, with the channel recorded.</w:t>
      </w:r>
    </w:p>
    <w:p>
      <w:pPr>
        <w:pStyle w:val="ListParagraph"/>
        <w:numPr>
          <w:ilvl w:val="0"/>
          <w:numId w:val="1"/>
        </w:numPr>
        <w:spacing w:after="40"/>
      </w:pPr>
      <w:r>
        <w:t xml:space="preserve">R3.2 A visible progress view showing score, mentions and citation count over time.</w:t>
      </w:r>
    </w:p>
    <w:p>
      <w:pPr>
        <w:pStyle w:val="ListParagraph"/>
        <w:numPr>
          <w:ilvl w:val="0"/>
          <w:numId w:val="1"/>
        </w:numPr>
        <w:spacing w:after="40"/>
      </w:pPr>
      <w:r>
        <w:t xml:space="preserve">R3.3 Log every recommended action with the date it was completed, so cause and effect can be attributed.</w:t>
      </w:r>
    </w:p>
    <w:p>
      <w:pPr>
        <w:pStyle w:val="ListParagraph"/>
        <w:numPr>
          <w:ilvl w:val="0"/>
          <w:numId w:val="1"/>
        </w:numPr>
        <w:spacing w:after="40"/>
      </w:pPr>
      <w:r>
        <w:t xml:space="preserve">R3.4 Acceptance: for one instrumented brand we can state what changed, when it was done, and what the score did afterwards.</w:t>
      </w:r>
    </w:p>
    <w:p>
      <w:pPr>
        <w:pStyle w:val="Heading2"/>
        <w:spacing w:after="80" w:before="200"/>
      </w:pPr>
      <w:r>
        <w:rPr>
          <w:b/>
          <w:bCs/>
        </w:rPr>
        <w:t xml:space="preserve">R4. Commercial readiness</w:t>
      </w:r>
    </w:p>
    <w:p>
      <w:pPr>
        <w:pStyle w:val="ListParagraph"/>
        <w:numPr>
          <w:ilvl w:val="0"/>
          <w:numId w:val="1"/>
        </w:numPr>
        <w:spacing w:after="40"/>
      </w:pPr>
      <w:r>
        <w:t xml:space="preserve">R4.1 ANTHROPIC_API_KEY set, or Claude removed from the Max feature list.</w:t>
      </w:r>
    </w:p>
    <w:p>
      <w:pPr>
        <w:pStyle w:val="ListParagraph"/>
        <w:numPr>
          <w:ilvl w:val="0"/>
          <w:numId w:val="1"/>
        </w:numPr>
        <w:spacing w:after="40"/>
      </w:pPr>
      <w:r>
        <w:t xml:space="preserve">R4.2 BILLING_TEST_MODE=false with production webhook secret, verified by one real end-to-end purchase.</w:t>
      </w:r>
    </w:p>
    <w:p>
      <w:pPr>
        <w:pStyle w:val="ListParagraph"/>
        <w:numPr>
          <w:ilvl w:val="0"/>
          <w:numId w:val="1"/>
        </w:numPr>
        <w:spacing w:after="40"/>
      </w:pPr>
      <w:r>
        <w:t xml:space="preserve">R4.3 Seed the production index so the public data asset is not empty.</w:t>
      </w:r>
    </w:p>
    <w:p>
      <w:pPr>
        <w:pStyle w:val="ListParagraph"/>
        <w:numPr>
          <w:ilvl w:val="0"/>
          <w:numId w:val="1"/>
        </w:numPr>
        <w:spacing w:after="40"/>
      </w:pPr>
      <w:r>
        <w:t xml:space="preserve">R4.4 Deploy the current working tree. Five days of work is unshipped.</w:t>
      </w:r>
    </w:p>
    <w:p>
      <w:pPr>
        <w:pStyle w:val="ListParagraph"/>
        <w:numPr>
          <w:ilvl w:val="0"/>
          <w:numId w:val="1"/>
        </w:numPr>
        <w:spacing w:after="40"/>
      </w:pPr>
      <w:r>
        <w:t xml:space="preserve">R4.5 A defensible answer to "why not Otterly at $29 for four engines".</w:t>
      </w:r>
    </w:p>
    <w:p>
      <w:pPr>
        <w:pStyle w:val="Heading2"/>
        <w:spacing w:after="80" w:before="200"/>
      </w:pPr>
      <w:r>
        <w:rPr>
          <w:b/>
          <w:bCs/>
        </w:rPr>
        <w:t xml:space="preserve">R5. Winnability classification</w:t>
      </w:r>
    </w:p>
    <w:p>
      <w:pPr>
        <w:spacing w:after="100"/>
      </w:pPr>
      <w:r>
        <w:t xml:space="preserve">We cannot guarantee that a third party will list a customer, so expectations have to be set at scan time rather than after the invoice. Every missed query gets classified by how locked its retrieved set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F46E5"/>
            <w:tcMar>
              <w:top w:type="dxa" w:w="60"/>
              <w:left w:type="dxa" w:w="100"/>
              <w:bottom w:type="dxa" w:w="60"/>
              <w:right w:type="dxa" w:w="100"/>
            </w:tcMar>
          </w:tcPr>
          <w:p>
            <w:r>
              <w:rPr>
                <w:b/>
                <w:bCs/>
                <w:color w:val="FFFFFF"/>
                <w:sz w:val="20"/>
                <w:szCs w:val="20"/>
              </w:rPr>
              <w:t xml:space="preserve">Class</w:t>
            </w:r>
          </w:p>
        </w:tc>
        <w:tc>
          <w:tcPr>
            <w:shd w:fill="4F46E5"/>
            <w:tcMar>
              <w:top w:type="dxa" w:w="60"/>
              <w:left w:type="dxa" w:w="100"/>
              <w:bottom w:type="dxa" w:w="60"/>
              <w:right w:type="dxa" w:w="100"/>
            </w:tcMar>
          </w:tcPr>
          <w:p>
            <w:r>
              <w:rPr>
                <w:b/>
                <w:bCs/>
                <w:color w:val="FFFFFF"/>
                <w:sz w:val="20"/>
                <w:szCs w:val="20"/>
              </w:rPr>
              <w:t xml:space="preserve">Meaning</w:t>
            </w:r>
          </w:p>
        </w:tc>
        <w:tc>
          <w:tcPr>
            <w:shd w:fill="4F46E5"/>
            <w:tcMar>
              <w:top w:type="dxa" w:w="60"/>
              <w:left w:type="dxa" w:w="100"/>
              <w:bottom w:type="dxa" w:w="60"/>
              <w:right w:type="dxa" w:w="100"/>
            </w:tcMar>
          </w:tcPr>
          <w:p>
            <w:r>
              <w:rPr>
                <w:b/>
                <w:bCs/>
                <w:color w:val="FFFFFF"/>
                <w:sz w:val="20"/>
                <w:szCs w:val="20"/>
              </w:rPr>
              <w:t xml:space="preserve">What we tell the customer</w:t>
            </w:r>
          </w:p>
        </w:tc>
      </w:tr>
      <w:tr>
        <w:trPr>
          <w:tblHeader w:val="false"/>
        </w:trPr>
        <w:tc>
          <w:tcPr>
            <w:tcMar>
              <w:top w:type="dxa" w:w="60"/>
              <w:left w:type="dxa" w:w="100"/>
              <w:bottom w:type="dxa" w:w="60"/>
              <w:right w:type="dxa" w:w="100"/>
            </w:tcMar>
          </w:tcPr>
          <w:p>
            <w:r>
              <w:rPr>
                <w:b w:val="false"/>
                <w:bCs w:val="false"/>
                <w:sz w:val="20"/>
                <w:szCs w:val="20"/>
              </w:rPr>
              <w:t xml:space="preserve">Winnable</w:t>
            </w:r>
          </w:p>
        </w:tc>
        <w:tc>
          <w:tcPr>
            <w:tcMar>
              <w:top w:type="dxa" w:w="60"/>
              <w:left w:type="dxa" w:w="100"/>
              <w:bottom w:type="dxa" w:w="60"/>
              <w:right w:type="dxa" w:w="100"/>
            </w:tcMar>
          </w:tcPr>
          <w:p>
            <w:r>
              <w:rPr>
                <w:b w:val="false"/>
                <w:bCs w:val="false"/>
                <w:sz w:val="20"/>
                <w:szCs w:val="20"/>
              </w:rPr>
              <w:t xml:space="preserve">Retrieved set is thin, or contains self-serve sources such as review platforms and directories</w:t>
            </w:r>
          </w:p>
        </w:tc>
        <w:tc>
          <w:tcPr>
            <w:tcMar>
              <w:top w:type="dxa" w:w="60"/>
              <w:left w:type="dxa" w:w="100"/>
              <w:bottom w:type="dxa" w:w="60"/>
              <w:right w:type="dxa" w:w="100"/>
            </w:tcMar>
          </w:tcPr>
          <w:p>
            <w:r>
              <w:rPr>
                <w:b w:val="false"/>
                <w:bCs w:val="false"/>
                <w:sz w:val="20"/>
                <w:szCs w:val="20"/>
              </w:rPr>
              <w:t xml:space="preserve">We work on these</w:t>
            </w:r>
          </w:p>
        </w:tc>
      </w:tr>
      <w:tr>
        <w:trPr>
          <w:tblHeader w:val="false"/>
        </w:trPr>
        <w:tc>
          <w:tcPr>
            <w:tcMar>
              <w:top w:type="dxa" w:w="60"/>
              <w:left w:type="dxa" w:w="100"/>
              <w:bottom w:type="dxa" w:w="60"/>
              <w:right w:type="dxa" w:w="100"/>
            </w:tcMar>
          </w:tcPr>
          <w:p>
            <w:r>
              <w:rPr>
                <w:b w:val="false"/>
                <w:bCs w:val="false"/>
                <w:sz w:val="20"/>
                <w:szCs w:val="20"/>
              </w:rPr>
              <w:t xml:space="preserve">Hard</w:t>
            </w:r>
          </w:p>
        </w:tc>
        <w:tc>
          <w:tcPr>
            <w:tcMar>
              <w:top w:type="dxa" w:w="60"/>
              <w:left w:type="dxa" w:w="100"/>
              <w:bottom w:type="dxa" w:w="60"/>
              <w:right w:type="dxa" w:w="100"/>
            </w:tcMar>
          </w:tcPr>
          <w:p>
            <w:r>
              <w:rPr>
                <w:b w:val="false"/>
                <w:bCs w:val="false"/>
                <w:sz w:val="20"/>
                <w:szCs w:val="20"/>
              </w:rPr>
              <w:t xml:space="preserve">Set is held by large review platforms with editorial gatekeeping</w:t>
            </w:r>
          </w:p>
        </w:tc>
        <w:tc>
          <w:tcPr>
            <w:tcMar>
              <w:top w:type="dxa" w:w="60"/>
              <w:left w:type="dxa" w:w="100"/>
              <w:bottom w:type="dxa" w:w="60"/>
              <w:right w:type="dxa" w:w="100"/>
            </w:tcMar>
          </w:tcPr>
          <w:p>
            <w:r>
              <w:rPr>
                <w:b w:val="false"/>
                <w:bCs w:val="false"/>
                <w:sz w:val="20"/>
                <w:szCs w:val="20"/>
              </w:rPr>
              <w:t xml:space="preserve">Possible, slower, costs more effort</w:t>
            </w:r>
          </w:p>
        </w:tc>
      </w:tr>
      <w:tr>
        <w:trPr>
          <w:tblHeader w:val="false"/>
        </w:trPr>
        <w:tc>
          <w:tcPr>
            <w:tcMar>
              <w:top w:type="dxa" w:w="60"/>
              <w:left w:type="dxa" w:w="100"/>
              <w:bottom w:type="dxa" w:w="60"/>
              <w:right w:type="dxa" w:w="100"/>
            </w:tcMar>
          </w:tcPr>
          <w:p>
            <w:r>
              <w:rPr>
                <w:b w:val="false"/>
                <w:bCs w:val="false"/>
                <w:sz w:val="20"/>
                <w:szCs w:val="20"/>
              </w:rPr>
              <w:t xml:space="preserve">Locked</w:t>
            </w:r>
          </w:p>
        </w:tc>
        <w:tc>
          <w:tcPr>
            <w:tcMar>
              <w:top w:type="dxa" w:w="60"/>
              <w:left w:type="dxa" w:w="100"/>
              <w:bottom w:type="dxa" w:w="60"/>
              <w:right w:type="dxa" w:w="100"/>
            </w:tcMar>
          </w:tcPr>
          <w:p>
            <w:r>
              <w:rPr>
                <w:b w:val="false"/>
                <w:bCs w:val="false"/>
                <w:sz w:val="20"/>
                <w:szCs w:val="20"/>
              </w:rPr>
              <w:t xml:space="preserve">Set is editorial or competitor-owned only</w:t>
            </w:r>
          </w:p>
        </w:tc>
        <w:tc>
          <w:tcPr>
            <w:tcMar>
              <w:top w:type="dxa" w:w="60"/>
              <w:left w:type="dxa" w:w="100"/>
              <w:bottom w:type="dxa" w:w="60"/>
              <w:right w:type="dxa" w:w="100"/>
            </w:tcMar>
          </w:tcPr>
          <w:p>
            <w:r>
              <w:rPr>
                <w:b w:val="false"/>
                <w:bCs w:val="false"/>
                <w:sz w:val="20"/>
                <w:szCs w:val="20"/>
              </w:rPr>
              <w:t xml:space="preserve">Do not spend money here</w:t>
            </w:r>
          </w:p>
        </w:tc>
      </w:tr>
    </w:tbl>
    <w:p>
      <w:pPr>
        <w:spacing w:after="120"/>
      </w:pPr>
    </w:p>
    <w:p>
      <w:pPr>
        <w:pStyle w:val="ListParagraph"/>
        <w:numPr>
          <w:ilvl w:val="0"/>
          <w:numId w:val="1"/>
        </w:numPr>
        <w:spacing w:after="40"/>
      </w:pPr>
      <w:r>
        <w:t xml:space="preserve">R5.1 Classify every missed query from the cited domains already captured by R1.2. No new data collection is needed.</w:t>
      </w:r>
    </w:p>
    <w:p>
      <w:pPr>
        <w:pStyle w:val="ListParagraph"/>
        <w:numPr>
          <w:ilvl w:val="0"/>
          <w:numId w:val="1"/>
        </w:numPr>
        <w:spacing w:after="40"/>
      </w:pPr>
      <w:r>
        <w:t xml:space="preserve">R5.2 Maintain a list of self-serve source domains (G2, Capterra, TrustRadius, Product Hunt, AlternativeTo, SaaSHub, niche directories) as the winnable signal.</w:t>
      </w:r>
    </w:p>
    <w:p>
      <w:pPr>
        <w:pStyle w:val="ListParagraph"/>
        <w:numPr>
          <w:ilvl w:val="0"/>
          <w:numId w:val="1"/>
        </w:numPr>
        <w:spacing w:after="40"/>
      </w:pPr>
      <w:r>
        <w:t xml:space="preserve">R5.3 Show the split on the scan result, for example "12 winnable, 9 hard, 19 locked".</w:t>
      </w:r>
    </w:p>
    <w:p>
      <w:pPr>
        <w:pStyle w:val="ListParagraph"/>
        <w:numPr>
          <w:ilvl w:val="0"/>
          <w:numId w:val="1"/>
        </w:numPr>
        <w:spacing w:after="40"/>
      </w:pPr>
      <w:r>
        <w:t xml:space="preserve">R5.4 Acceptance: no customer is sold work on a query classified as locked.</w:t>
      </w:r>
    </w:p>
    <w:p>
      <w:pPr>
        <w:spacing w:after="80"/>
      </w:pPr>
      <w:r>
        <w:rPr>
          <w:b/>
          <w:bCs/>
        </w:rPr>
        <w:t xml:space="preserve">Why this is a feature and not a disclaimer: </w:t>
      </w:r>
      <w:r>
        <w:t xml:space="preserve">every competitor reports a score and implies it can be fixed. Being the only tool that says "do not bother with these 19" is a trust position, and it is the honest answer to the fact that placement is not fully in our control.</w:t>
      </w:r>
    </w:p>
    <w:p>
      <w:pPr>
        <w:pStyle w:val="Heading2"/>
        <w:spacing w:after="80" w:before="200"/>
      </w:pPr>
      <w:r>
        <w:rPr>
          <w:b/>
          <w:bCs/>
        </w:rPr>
        <w:t xml:space="preserve">R6. Differentiation</w:t>
      </w:r>
    </w:p>
    <w:p>
      <w:pPr>
        <w:spacing w:after="100"/>
      </w:pPr>
      <w:r>
        <w:t xml:space="preserve">Measurement is commoditised: over twenty tools, a price floor near $29, and Semrush and SE Ranking have shipped it. We do not win on engine count. Two candidate positions:</w:t>
      </w:r>
    </w:p>
    <w:p>
      <w:pPr>
        <w:pStyle w:val="ListParagraph"/>
        <w:numPr>
          <w:ilvl w:val="0"/>
          <w:numId w:val="1"/>
        </w:numPr>
        <w:spacing w:after="40"/>
      </w:pPr>
      <w:r>
        <w:t xml:space="preserve">Execution layer. Most tools report and stop. We already generate articles, publish to WordPress and draft outreach. "We show you the gap and then close it" is a different product and supports a higher price.</w:t>
      </w:r>
    </w:p>
    <w:p>
      <w:pPr>
        <w:pStyle w:val="ListParagraph"/>
        <w:numPr>
          <w:ilvl w:val="0"/>
          <w:numId w:val="1"/>
        </w:numPr>
        <w:spacing w:after="40"/>
      </w:pPr>
      <w:r>
        <w:t xml:space="preserve">Shopify vertical. No major competitor is in the Shopify App Store. We have a dozen Shopify apps of prior experience, so it is a distribution channel we can already reach, with built-in purchase intent and no cold outreach.</w:t>
      </w:r>
    </w:p>
    <w:p>
      <w:pPr>
        <w:spacing w:after="100"/>
      </w:pPr>
      <w:r>
        <w:t xml:space="preserve">This is an open decision, see section 6.</w:t>
      </w:r>
    </w:p>
    <w:p>
      <w:pPr>
        <w:pStyle w:val="Heading1"/>
        <w:spacing w:after="120" w:before="300"/>
      </w:pPr>
      <w:r>
        <w:rPr>
          <w:b/>
          <w:bCs/>
          <w:color w:val="4F46E5"/>
        </w:rPr>
        <w:t xml:space="preserve">4. How it will work</w:t>
      </w:r>
    </w:p>
    <w:p>
      <w:pPr>
        <w:pStyle w:val="Heading2"/>
        <w:spacing w:after="80" w:before="200"/>
      </w:pPr>
      <w:r>
        <w:rPr>
          <w:b/>
          <w:bCs/>
        </w:rPr>
        <w:t xml:space="preserve">4.1 Scan pipeline after the change</w:t>
      </w:r>
    </w:p>
    <w:p>
      <w:pPr>
        <w:pStyle w:val="ListParagraph"/>
        <w:numPr>
          <w:ilvl w:val="0"/>
          <w:numId w:val="1"/>
        </w:numPr>
        <w:spacing w:after="40"/>
      </w:pPr>
      <w:r>
        <w:t xml:space="preserve">1. Generate buyer-intent prompts for the category, never containing the brand name.</w:t>
      </w:r>
    </w:p>
    <w:p>
      <w:pPr>
        <w:pStyle w:val="ListParagraph"/>
        <w:numPr>
          <w:ilvl w:val="0"/>
          <w:numId w:val="1"/>
        </w:numPr>
        <w:spacing w:after="40"/>
      </w:pPr>
      <w:r>
        <w:t xml:space="preserve">2. For each prompt, query every engine on the plan with web search enabled, three times.</w:t>
      </w:r>
    </w:p>
    <w:p>
      <w:pPr>
        <w:pStyle w:val="ListParagraph"/>
        <w:numPr>
          <w:ilvl w:val="0"/>
          <w:numId w:val="1"/>
        </w:numPr>
        <w:spacing w:after="40"/>
      </w:pPr>
      <w:r>
        <w:t xml:space="preserve">3. Collapse the runs by majority verdict, keeping the per-run split and the stability figure.</w:t>
      </w:r>
    </w:p>
    <w:p>
      <w:pPr>
        <w:pStyle w:val="ListParagraph"/>
        <w:numPr>
          <w:ilvl w:val="0"/>
          <w:numId w:val="1"/>
        </w:numPr>
        <w:spacing w:after="40"/>
      </w:pPr>
      <w:r>
        <w:t xml:space="preserve">4. Record, per prompt: named or not, position, sentiment, competitors named, and the URLs the engine cited.</w:t>
      </w:r>
    </w:p>
    <w:p>
      <w:pPr>
        <w:pStyle w:val="ListParagraph"/>
        <w:numPr>
          <w:ilvl w:val="0"/>
          <w:numId w:val="1"/>
        </w:numPr>
        <w:spacing w:after="40"/>
      </w:pPr>
      <w:r>
        <w:t xml:space="preserve">5. Score as today: 50% mention frequency, 30% position, 20% sentiment.</w:t>
      </w:r>
    </w:p>
    <w:p>
      <w:pPr>
        <w:pStyle w:val="ListParagraph"/>
        <w:numPr>
          <w:ilvl w:val="0"/>
          <w:numId w:val="1"/>
        </w:numPr>
        <w:spacing w:after="40"/>
      </w:pPr>
      <w:r>
        <w:t xml:space="preserve">6. Derive the fix list from the citations, not from generic advice: the specific pages that named a competitor and not us.</w:t>
      </w:r>
    </w:p>
    <w:p>
      <w:pPr>
        <w:spacing w:after="100"/>
      </w:pPr>
      <w:r>
        <w:t xml:space="preserve">Step 6 is the whole difference. Today the fix plan is generic advice a model invents. With citations it becomes a named list of real pages to go and get listed on.</w:t>
      </w:r>
    </w:p>
    <w:p>
      <w:pPr>
        <w:pStyle w:val="Heading2"/>
        <w:spacing w:after="80" w:before="200"/>
      </w:pPr>
      <w:r>
        <w:rPr>
          <w:b/>
          <w:bCs/>
        </w:rPr>
        <w:t xml:space="preserve">4.2 Files this touches</w:t>
      </w:r>
    </w:p>
    <w:p>
      <w:pPr>
        <w:spacing w:after="60"/>
      </w:pPr>
      <w:r>
        <w:rPr>
          <w:rFonts w:ascii="Consolas" w:cs="Consolas" w:eastAsia="Consolas" w:hAnsi="Consolas"/>
          <w:color w:val="64748B"/>
          <w:sz w:val="19"/>
          <w:szCs w:val="19"/>
        </w:rPr>
        <w:t xml:space="preserve">src/lib/engines.ts        add search tooling per engine, return citations</w:t>
      </w:r>
    </w:p>
    <w:p>
      <w:pPr>
        <w:spacing w:after="60"/>
      </w:pPr>
      <w:r>
        <w:rPr>
          <w:rFonts w:ascii="Consolas" w:cs="Consolas" w:eastAsia="Consolas" w:hAnsi="Consolas"/>
          <w:color w:val="64748B"/>
          <w:sz w:val="19"/>
          <w:szCs w:val="19"/>
        </w:rPr>
        <w:t xml:space="preserve">src/lib/analyzer.ts       unchanged, already channel agnostic</w:t>
      </w:r>
    </w:p>
    <w:p>
      <w:pPr>
        <w:spacing w:after="60"/>
      </w:pPr>
      <w:r>
        <w:rPr>
          <w:rFonts w:ascii="Consolas" w:cs="Consolas" w:eastAsia="Consolas" w:hAnsi="Consolas"/>
          <w:color w:val="64748B"/>
          <w:sz w:val="19"/>
          <w:szCs w:val="19"/>
        </w:rPr>
        <w:t xml:space="preserve">src/lib/index-scan.ts     thread channel and citations through PromptRow</w:t>
      </w:r>
    </w:p>
    <w:p>
      <w:pPr>
        <w:spacing w:after="60"/>
      </w:pPr>
      <w:r>
        <w:rPr>
          <w:rFonts w:ascii="Consolas" w:cs="Consolas" w:eastAsia="Consolas" w:hAnsi="Consolas"/>
          <w:color w:val="64748B"/>
          <w:sz w:val="19"/>
          <w:szCs w:val="19"/>
        </w:rPr>
        <w:t xml:space="preserve">src/lib/scan-runner.ts    same, for customer scans</w:t>
      </w:r>
    </w:p>
    <w:p>
      <w:pPr>
        <w:spacing w:after="60"/>
      </w:pPr>
      <w:r>
        <w:rPr>
          <w:rFonts w:ascii="Consolas" w:cs="Consolas" w:eastAsia="Consolas" w:hAnsi="Consolas"/>
          <w:color w:val="64748B"/>
          <w:sz w:val="19"/>
          <w:szCs w:val="19"/>
        </w:rPr>
        <w:t xml:space="preserve">supabase/                 migration for citations and channel columns</w:t>
      </w:r>
    </w:p>
    <w:p>
      <w:pPr>
        <w:spacing w:after="100"/>
      </w:pPr>
      <w:r>
        <w:t xml:space="preserve">The scoring core, which is the tested part, does not change. This is a change to how answers are obtained, not to how they are judged.</w:t>
      </w:r>
    </w:p>
    <w:p>
      <w:pPr>
        <w:pStyle w:val="Heading1"/>
        <w:spacing w:after="120" w:before="300"/>
      </w:pPr>
      <w:r>
        <w:rPr>
          <w:b/>
          <w:bCs/>
          <w:color w:val="4F46E5"/>
        </w:rPr>
        <w:t xml:space="preserve">5. How we prove it works</w:t>
      </w:r>
    </w:p>
    <w:p>
      <w:pPr>
        <w:spacing w:after="100"/>
      </w:pPr>
      <w:r>
        <w:t xml:space="preserve">Three levels, cheapest first. Do not proceed to the next until the current one passes.</w:t>
      </w:r>
    </w:p>
    <w:p>
      <w:pPr>
        <w:pStyle w:val="Heading2"/>
        <w:spacing w:after="80" w:before="200"/>
      </w:pPr>
      <w:r>
        <w:rPr>
          <w:b/>
          <w:bCs/>
        </w:rPr>
        <w:t xml:space="preserve">Level 1: the scanner sees the live web. RUN AND PASSED, 10 August 2026</w:t>
      </w:r>
    </w:p>
    <w:p>
      <w:pPr>
        <w:spacing w:after="100"/>
      </w:pPr>
      <w:r>
        <w:t xml:space="preserve">Executed via scripts/grounding-test.mjs and scripts/grounding-test2.mjs against the live OpenAI and Gemini APIs. Result: grounding works, search can be forced, and citations with real source domains are capturable on both engines.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4F46E5"/>
            <w:tcMar>
              <w:top w:type="dxa" w:w="60"/>
              <w:left w:type="dxa" w:w="100"/>
              <w:bottom w:type="dxa" w:w="60"/>
              <w:right w:type="dxa" w:w="100"/>
            </w:tcMar>
          </w:tcPr>
          <w:p>
            <w:r>
              <w:rPr>
                <w:b/>
                <w:bCs/>
                <w:color w:val="FFFFFF"/>
                <w:sz w:val="20"/>
                <w:szCs w:val="20"/>
              </w:rPr>
              <w:t xml:space="preserve">Engine</w:t>
            </w:r>
          </w:p>
        </w:tc>
        <w:tc>
          <w:tcPr>
            <w:shd w:fill="4F46E5"/>
            <w:tcMar>
              <w:top w:type="dxa" w:w="60"/>
              <w:left w:type="dxa" w:w="100"/>
              <w:bottom w:type="dxa" w:w="60"/>
              <w:right w:type="dxa" w:w="100"/>
            </w:tcMar>
          </w:tcPr>
          <w:p>
            <w:r>
              <w:rPr>
                <w:b/>
                <w:bCs/>
                <w:color w:val="FFFFFF"/>
                <w:sz w:val="20"/>
                <w:szCs w:val="20"/>
              </w:rPr>
              <w:t xml:space="preserve">Parametric</w:t>
            </w:r>
          </w:p>
        </w:tc>
        <w:tc>
          <w:tcPr>
            <w:shd w:fill="4F46E5"/>
            <w:tcMar>
              <w:top w:type="dxa" w:w="60"/>
              <w:left w:type="dxa" w:w="100"/>
              <w:bottom w:type="dxa" w:w="60"/>
              <w:right w:type="dxa" w:w="100"/>
            </w:tcMar>
          </w:tcPr>
          <w:p>
            <w:r>
              <w:rPr>
                <w:b/>
                <w:bCs/>
                <w:color w:val="FFFFFF"/>
                <w:sz w:val="20"/>
                <w:szCs w:val="20"/>
              </w:rPr>
              <w:t xml:space="preserve">Grounded</w:t>
            </w:r>
          </w:p>
        </w:tc>
        <w:tc>
          <w:tcPr>
            <w:shd w:fill="4F46E5"/>
            <w:tcMar>
              <w:top w:type="dxa" w:w="60"/>
              <w:left w:type="dxa" w:w="100"/>
              <w:bottom w:type="dxa" w:w="60"/>
              <w:right w:type="dxa" w:w="100"/>
            </w:tcMar>
          </w:tcPr>
          <w:p>
            <w:r>
              <w:rPr>
                <w:b/>
                <w:bCs/>
                <w:color w:val="FFFFFF"/>
                <w:sz w:val="20"/>
                <w:szCs w:val="20"/>
              </w:rPr>
              <w:t xml:space="preserve">Verdict</w:t>
            </w:r>
          </w:p>
        </w:tc>
      </w:tr>
      <w:tr>
        <w:trPr>
          <w:tblHeader w:val="false"/>
        </w:trPr>
        <w:tc>
          <w:tcPr>
            <w:tcMar>
              <w:top w:type="dxa" w:w="60"/>
              <w:left w:type="dxa" w:w="100"/>
              <w:bottom w:type="dxa" w:w="60"/>
              <w:right w:type="dxa" w:w="100"/>
            </w:tcMar>
          </w:tcPr>
          <w:p>
            <w:r>
              <w:rPr>
                <w:b w:val="false"/>
                <w:bCs w:val="false"/>
                <w:sz w:val="20"/>
                <w:szCs w:val="20"/>
              </w:rPr>
              <w:t xml:space="preserve">OpenAI</w:t>
            </w:r>
          </w:p>
        </w:tc>
        <w:tc>
          <w:tcPr>
            <w:tcMar>
              <w:top w:type="dxa" w:w="60"/>
              <w:left w:type="dxa" w:w="100"/>
              <w:bottom w:type="dxa" w:w="60"/>
              <w:right w:type="dxa" w:w="100"/>
            </w:tcMar>
          </w:tcPr>
          <w:p>
            <w:r>
              <w:rPr>
                <w:b w:val="false"/>
                <w:bCs w:val="false"/>
                <w:sz w:val="20"/>
                <w:szCs w:val="20"/>
              </w:rPr>
              <w:t xml:space="preserve">Answered from weights. On the category query it named Tableau, Sisense and Power BI, which are BI tools, not AI visibility tools.</w:t>
            </w:r>
          </w:p>
        </w:tc>
        <w:tc>
          <w:tcPr>
            <w:tcMar>
              <w:top w:type="dxa" w:w="60"/>
              <w:left w:type="dxa" w:w="100"/>
              <w:bottom w:type="dxa" w:w="60"/>
              <w:right w:type="dxa" w:w="100"/>
            </w:tcMar>
          </w:tcPr>
          <w:p>
            <w:r>
              <w:rPr>
                <w:b w:val="false"/>
                <w:bCs w:val="false"/>
                <w:sz w:val="20"/>
                <w:szCs w:val="20"/>
              </w:rPr>
              <w:t xml:space="preserve">With tool_choice forced: search ran, 14 citations with real domains, correct current answer.</w:t>
            </w:r>
          </w:p>
        </w:tc>
        <w:tc>
          <w:tcPr>
            <w:tcMar>
              <w:top w:type="dxa" w:w="60"/>
              <w:left w:type="dxa" w:w="100"/>
              <w:bottom w:type="dxa" w:w="60"/>
              <w:right w:type="dxa" w:w="100"/>
            </w:tcMar>
          </w:tcPr>
          <w:p>
            <w:r>
              <w:rPr>
                <w:b w:val="false"/>
                <w:bCs w:val="false"/>
                <w:color w:val="B45309"/>
                <w:sz w:val="20"/>
                <w:szCs w:val="20"/>
              </w:rPr>
              <w:t xml:space="preserve">Pass, with a caveat</w:t>
            </w:r>
          </w:p>
        </w:tc>
      </w:tr>
      <w:tr>
        <w:trPr>
          <w:tblHeader w:val="false"/>
        </w:trPr>
        <w:tc>
          <w:tcPr>
            <w:tcMar>
              <w:top w:type="dxa" w:w="60"/>
              <w:left w:type="dxa" w:w="100"/>
              <w:bottom w:type="dxa" w:w="60"/>
              <w:right w:type="dxa" w:w="100"/>
            </w:tcMar>
          </w:tcPr>
          <w:p>
            <w:r>
              <w:rPr>
                <w:b w:val="false"/>
                <w:bCs w:val="false"/>
                <w:sz w:val="20"/>
                <w:szCs w:val="20"/>
              </w:rPr>
              <w:t xml:space="preserve">Gemini</w:t>
            </w:r>
          </w:p>
        </w:tc>
        <w:tc>
          <w:tcPr>
            <w:tcMar>
              <w:top w:type="dxa" w:w="60"/>
              <w:left w:type="dxa" w:w="100"/>
              <w:bottom w:type="dxa" w:w="60"/>
              <w:right w:type="dxa" w:w="100"/>
            </w:tcMar>
          </w:tcPr>
          <w:p>
            <w:r>
              <w:rPr>
                <w:b w:val="false"/>
                <w:bCs w:val="false"/>
                <w:sz w:val="20"/>
                <w:szCs w:val="20"/>
              </w:rPr>
              <w:t xml:space="preserve">No citations, generic answer</w:t>
            </w:r>
          </w:p>
        </w:tc>
        <w:tc>
          <w:tcPr>
            <w:tcMar>
              <w:top w:type="dxa" w:w="60"/>
              <w:left w:type="dxa" w:w="100"/>
              <w:bottom w:type="dxa" w:w="60"/>
              <w:right w:type="dxa" w:w="100"/>
            </w:tcMar>
          </w:tcPr>
          <w:p>
            <w:r>
              <w:rPr>
                <w:b w:val="false"/>
                <w:bCs w:val="false"/>
                <w:sz w:val="20"/>
                <w:szCs w:val="20"/>
              </w:rPr>
              <w:t xml:space="preserve">11 grounded sources, 5 distinct search queries issued</w:t>
            </w:r>
          </w:p>
        </w:tc>
        <w:tc>
          <w:tcPr>
            <w:tcMar>
              <w:top w:type="dxa" w:w="60"/>
              <w:left w:type="dxa" w:w="100"/>
              <w:bottom w:type="dxa" w:w="60"/>
              <w:right w:type="dxa" w:w="100"/>
            </w:tcMar>
          </w:tcPr>
          <w:p>
            <w:r>
              <w:rPr>
                <w:b w:val="false"/>
                <w:bCs w:val="false"/>
                <w:color w:val="15803D"/>
                <w:sz w:val="20"/>
                <w:szCs w:val="20"/>
              </w:rPr>
              <w:t xml:space="preserve">Pass</w:t>
            </w:r>
          </w:p>
        </w:tc>
      </w:tr>
    </w:tbl>
    <w:p>
      <w:pPr>
        <w:spacing w:after="120"/>
      </w:pPr>
    </w:p>
    <w:p>
      <w:pPr>
        <w:pStyle w:val="Heading2"/>
        <w:spacing w:after="80" w:before="200"/>
      </w:pPr>
      <w:r>
        <w:rPr>
          <w:b/>
          <w:bCs/>
        </w:rPr>
        <w:t xml:space="preserve">5.1.1 Two implementation findings</w:t>
      </w:r>
    </w:p>
    <w:p>
      <w:pPr>
        <w:spacing w:after="80"/>
      </w:pPr>
      <w:r>
        <w:rPr>
          <w:b/>
          <w:bCs/>
        </w:rPr>
        <w:t xml:space="preserve">Finding 1. OpenAI search is optional and the model skips it. </w:t>
      </w:r>
      <w:r>
        <w:t xml:space="preserve">Passing the web_search tool is not enough. On category queries the model ignored it, answered from memory, and was wrong. It must be forced with tool_choice, otherwise grounded scanning silently degrades to parametric scanning and produces worse results than the current code.</w:t>
      </w:r>
    </w:p>
    <w:p>
      <w:pPr>
        <w:spacing w:after="80"/>
      </w:pPr>
      <w:r>
        <w:rPr>
          <w:b/>
          <w:bCs/>
        </w:rPr>
        <w:t xml:space="preserve">Finding 2. Gemini returns redirect URLs, not source domains. </w:t>
      </w:r>
      <w:r>
        <w:t xml:space="preserve">groundingChunks[].web.uri is a vertexaisearch.cloud.google.com redirect and web.domain is null. The real source is in web.title. The citation map is the product, so this must be read from the correct field.</w:t>
      </w:r>
    </w:p>
    <w:p>
      <w:pPr>
        <w:pStyle w:val="Heading2"/>
        <w:spacing w:after="80" w:before="200"/>
      </w:pPr>
      <w:r>
        <w:rPr>
          <w:b/>
          <w:bCs/>
        </w:rPr>
        <w:t xml:space="preserve">5.1.2 The commercially important finding</w:t>
      </w:r>
    </w:p>
    <w:p>
      <w:pPr>
        <w:spacing w:after="100"/>
      </w:pPr>
      <w:r>
        <w:t xml:space="preserve">The domains actually cited for "best AI visibility tracking tools" were not the funded incumbents.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4F46E5"/>
            <w:tcMar>
              <w:top w:type="dxa" w:w="60"/>
              <w:left w:type="dxa" w:w="100"/>
              <w:bottom w:type="dxa" w:w="60"/>
              <w:right w:type="dxa" w:w="100"/>
            </w:tcMar>
          </w:tcPr>
          <w:p>
            <w:r>
              <w:rPr>
                <w:b/>
                <w:bCs/>
                <w:color w:val="FFFFFF"/>
                <w:sz w:val="20"/>
                <w:szCs w:val="20"/>
              </w:rPr>
              <w:t xml:space="preserve">Engine</w:t>
            </w:r>
          </w:p>
        </w:tc>
        <w:tc>
          <w:tcPr>
            <w:shd w:fill="4F46E5"/>
            <w:tcMar>
              <w:top w:type="dxa" w:w="60"/>
              <w:left w:type="dxa" w:w="100"/>
              <w:bottom w:type="dxa" w:w="60"/>
              <w:right w:type="dxa" w:w="100"/>
            </w:tcMar>
          </w:tcPr>
          <w:p>
            <w:r>
              <w:rPr>
                <w:b/>
                <w:bCs/>
                <w:color w:val="FFFFFF"/>
                <w:sz w:val="20"/>
                <w:szCs w:val="20"/>
              </w:rPr>
              <w:t xml:space="preserve">Domains cited</w:t>
            </w:r>
          </w:p>
        </w:tc>
      </w:tr>
      <w:tr>
        <w:trPr>
          <w:tblHeader w:val="false"/>
        </w:trPr>
        <w:tc>
          <w:tcPr>
            <w:tcMar>
              <w:top w:type="dxa" w:w="60"/>
              <w:left w:type="dxa" w:w="100"/>
              <w:bottom w:type="dxa" w:w="60"/>
              <w:right w:type="dxa" w:w="100"/>
            </w:tcMar>
          </w:tcPr>
          <w:p>
            <w:r>
              <w:rPr>
                <w:b w:val="false"/>
                <w:bCs w:val="false"/>
                <w:sz w:val="20"/>
                <w:szCs w:val="20"/>
              </w:rPr>
              <w:t xml:space="preserve">OpenAI</w:t>
            </w:r>
          </w:p>
        </w:tc>
        <w:tc>
          <w:tcPr>
            <w:tcMar>
              <w:top w:type="dxa" w:w="60"/>
              <w:left w:type="dxa" w:w="100"/>
              <w:bottom w:type="dxa" w:w="60"/>
              <w:right w:type="dxa" w:w="100"/>
            </w:tcMar>
          </w:tcPr>
          <w:p>
            <w:r>
              <w:rPr>
                <w:b w:val="false"/>
                <w:bCs w:val="false"/>
                <w:sz w:val="20"/>
                <w:szCs w:val="20"/>
              </w:rPr>
              <w:t xml:space="preserve">aeovision.ai, siftly.ai, viaudit.com, allmond.app, honeyb.ai, oneglanse.com, ahoylighthouse.com, linksii.com, bourd.dev, doishowup.com</w:t>
            </w:r>
          </w:p>
        </w:tc>
      </w:tr>
      <w:tr>
        <w:trPr>
          <w:tblHeader w:val="false"/>
        </w:trPr>
        <w:tc>
          <w:tcPr>
            <w:tcMar>
              <w:top w:type="dxa" w:w="60"/>
              <w:left w:type="dxa" w:w="100"/>
              <w:bottom w:type="dxa" w:w="60"/>
              <w:right w:type="dxa" w:w="100"/>
            </w:tcMar>
          </w:tcPr>
          <w:p>
            <w:r>
              <w:rPr>
                <w:b w:val="false"/>
                <w:bCs w:val="false"/>
                <w:sz w:val="20"/>
                <w:szCs w:val="20"/>
              </w:rPr>
              <w:t xml:space="preserve">Gemini</w:t>
            </w:r>
          </w:p>
        </w:tc>
        <w:tc>
          <w:tcPr>
            <w:tcMar>
              <w:top w:type="dxa" w:w="60"/>
              <w:left w:type="dxa" w:w="100"/>
              <w:bottom w:type="dxa" w:w="60"/>
              <w:right w:type="dxa" w:w="100"/>
            </w:tcMar>
          </w:tcPr>
          <w:p>
            <w:r>
              <w:rPr>
                <w:b w:val="false"/>
                <w:bCs w:val="false"/>
                <w:sz w:val="20"/>
                <w:szCs w:val="20"/>
              </w:rPr>
              <w:t xml:space="preserve">workduo.ai, aibrandpulse.ai, siftly.ai, beamtrace.com, hubspot.com, adobe.com, usegrowthos.com, alhena.ai, semai.ai, builtin.com, otterly.ai</w:t>
            </w:r>
          </w:p>
        </w:tc>
      </w:tr>
    </w:tbl>
    <w:p>
      <w:pPr>
        <w:spacing w:after="120"/>
      </w:pPr>
    </w:p>
    <w:p>
      <w:pPr>
        <w:spacing w:after="140" w:before="120"/>
        <w:ind w:left="360"/>
      </w:pPr>
      <w:r>
        <w:rPr>
          <w:i/>
          <w:iCs/>
          <w:color w:val="4F46E5"/>
        </w:rPr>
        <w:t xml:space="preserve">The category is crowded at the listicle layer and thin at the retrieval layer. We are competing for a citation slot against allmond.app and honeyb.ai, not against Semrush.</w:t>
      </w:r>
    </w:p>
    <w:p>
      <w:pPr>
        <w:spacing w:after="100"/>
      </w:pPr>
      <w:r>
        <w:t xml:space="preserve">This materially improves the outlook. Earlier analysis of Google results suggested a saturated market dominated by Profound, Peec and Semrush. What the models actually retrieve is a different and far more winnable set of small, recent domains. Those tools got in somehow, recently, without funding. That path is reproducible.</w:t>
      </w:r>
    </w:p>
    <w:p>
      <w:pPr>
        <w:spacing w:after="80"/>
      </w:pPr>
      <w:r>
        <w:rPr>
          <w:b/>
          <w:bCs/>
        </w:rPr>
        <w:t xml:space="preserve">Second observation: the two engines barely overlap. </w:t>
      </w:r>
      <w:r>
        <w:t xml:space="preserve">Of roughly eleven sources each, only siftly.ai appeared in both. Visibility is therefore per-engine, not global, and a customer needs a different target list for each engine. No competitor is currently framing it this way.</w:t>
      </w:r>
    </w:p>
    <w:p>
      <w:pPr>
        <w:spacing w:after="80"/>
      </w:pPr>
      <w:r>
        <w:rPr>
          <w:b/>
          <w:bCs/>
        </w:rPr>
        <w:t xml:space="preserve">Third observation, about our own brand: </w:t>
      </w:r>
      <w:r>
        <w:t xml:space="preserve">SEO4AI was not named on either the head or the long-tail category query by any engine, grounded or not. On a direct brand query the models found seo4ai.app but confused it with a Chrome extension of the same name and with a separate service called SEO-4AI. There is a brand collision that damages our own visibility work and should be considered before further brand investment.</w:t>
      </w:r>
    </w:p>
    <w:p>
      <w:pPr>
        <w:pStyle w:val="Heading2"/>
        <w:spacing w:after="80" w:before="200"/>
      </w:pPr>
      <w:r>
        <w:rPr>
          <w:b/>
          <w:bCs/>
        </w:rPr>
        <w:t xml:space="preserve">Level 2: a controlled brand moves (4 to 8 weeks)</w:t>
      </w:r>
    </w:p>
    <w:p>
      <w:pPr>
        <w:spacing w:after="100"/>
      </w:pPr>
      <w:r>
        <w:t xml:space="preserve">Use SEO4AI itself. Baseline scan today, published publicly whatever it says. Then execute only the retrieval levers and re-scan weekly.</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F46E5"/>
            <w:tcMar>
              <w:top w:type="dxa" w:w="60"/>
              <w:left w:type="dxa" w:w="100"/>
              <w:bottom w:type="dxa" w:w="60"/>
              <w:right w:type="dxa" w:w="100"/>
            </w:tcMar>
          </w:tcPr>
          <w:p>
            <w:r>
              <w:rPr>
                <w:b/>
                <w:bCs/>
                <w:color w:val="FFFFFF"/>
                <w:sz w:val="20"/>
                <w:szCs w:val="20"/>
              </w:rPr>
              <w:t xml:space="preserve">Lever</w:t>
            </w:r>
          </w:p>
        </w:tc>
        <w:tc>
          <w:tcPr>
            <w:shd w:fill="4F46E5"/>
            <w:tcMar>
              <w:top w:type="dxa" w:w="60"/>
              <w:left w:type="dxa" w:w="100"/>
              <w:bottom w:type="dxa" w:w="60"/>
              <w:right w:type="dxa" w:w="100"/>
            </w:tcMar>
          </w:tcPr>
          <w:p>
            <w:r>
              <w:rPr>
                <w:b/>
                <w:bCs/>
                <w:color w:val="FFFFFF"/>
                <w:sz w:val="20"/>
                <w:szCs w:val="20"/>
              </w:rPr>
              <w:t xml:space="preserve">Expected effect</w:t>
            </w:r>
          </w:p>
        </w:tc>
        <w:tc>
          <w:tcPr>
            <w:shd w:fill="4F46E5"/>
            <w:tcMar>
              <w:top w:type="dxa" w:w="60"/>
              <w:left w:type="dxa" w:w="100"/>
              <w:bottom w:type="dxa" w:w="60"/>
              <w:right w:type="dxa" w:w="100"/>
            </w:tcMar>
          </w:tcPr>
          <w:p>
            <w:r>
              <w:rPr>
                <w:b/>
                <w:bCs/>
                <w:color w:val="FFFFFF"/>
                <w:sz w:val="20"/>
                <w:szCs w:val="20"/>
              </w:rPr>
              <w:t xml:space="preserve">Time to show</w:t>
            </w:r>
          </w:p>
        </w:tc>
      </w:tr>
      <w:tr>
        <w:trPr>
          <w:tblHeader w:val="false"/>
        </w:trPr>
        <w:tc>
          <w:tcPr>
            <w:tcMar>
              <w:top w:type="dxa" w:w="60"/>
              <w:left w:type="dxa" w:w="100"/>
              <w:bottom w:type="dxa" w:w="60"/>
              <w:right w:type="dxa" w:w="100"/>
            </w:tcMar>
          </w:tcPr>
          <w:p>
            <w:r>
              <w:rPr>
                <w:b w:val="false"/>
                <w:bCs w:val="false"/>
                <w:sz w:val="20"/>
                <w:szCs w:val="20"/>
              </w:rPr>
              <w:t xml:space="preserve">Get listed in 3 to 4 existing category roundups</w:t>
            </w:r>
          </w:p>
        </w:tc>
        <w:tc>
          <w:tcPr>
            <w:tcMar>
              <w:top w:type="dxa" w:w="60"/>
              <w:left w:type="dxa" w:w="100"/>
              <w:bottom w:type="dxa" w:w="60"/>
              <w:right w:type="dxa" w:w="100"/>
            </w:tcMar>
          </w:tcPr>
          <w:p>
            <w:r>
              <w:rPr>
                <w:b w:val="false"/>
                <w:bCs w:val="false"/>
                <w:sz w:val="20"/>
                <w:szCs w:val="20"/>
              </w:rPr>
              <w:t xml:space="preserve">Largest single lever</w:t>
            </w:r>
          </w:p>
        </w:tc>
        <w:tc>
          <w:tcPr>
            <w:tcMar>
              <w:top w:type="dxa" w:w="60"/>
              <w:left w:type="dxa" w:w="100"/>
              <w:bottom w:type="dxa" w:w="60"/>
              <w:right w:type="dxa" w:w="100"/>
            </w:tcMar>
          </w:tcPr>
          <w:p>
            <w:r>
              <w:rPr>
                <w:b w:val="false"/>
                <w:bCs w:val="false"/>
                <w:sz w:val="20"/>
                <w:szCs w:val="20"/>
              </w:rPr>
              <w:t xml:space="preserve">2 to 6 weeks</w:t>
            </w:r>
          </w:p>
        </w:tc>
      </w:tr>
      <w:tr>
        <w:trPr>
          <w:tblHeader w:val="false"/>
        </w:trPr>
        <w:tc>
          <w:tcPr>
            <w:tcMar>
              <w:top w:type="dxa" w:w="60"/>
              <w:left w:type="dxa" w:w="100"/>
              <w:bottom w:type="dxa" w:w="60"/>
              <w:right w:type="dxa" w:w="100"/>
            </w:tcMar>
          </w:tcPr>
          <w:p>
            <w:r>
              <w:rPr>
                <w:b w:val="false"/>
                <w:bCs w:val="false"/>
                <w:sz w:val="20"/>
                <w:szCs w:val="20"/>
              </w:rPr>
              <w:t xml:space="preserve">Rank in Bing for the category query</w:t>
            </w:r>
          </w:p>
        </w:tc>
        <w:tc>
          <w:tcPr>
            <w:tcMar>
              <w:top w:type="dxa" w:w="60"/>
              <w:left w:type="dxa" w:w="100"/>
              <w:bottom w:type="dxa" w:w="60"/>
              <w:right w:type="dxa" w:w="100"/>
            </w:tcMar>
          </w:tcPr>
          <w:p>
            <w:r>
              <w:rPr>
                <w:b w:val="false"/>
                <w:bCs w:val="false"/>
                <w:sz w:val="20"/>
                <w:szCs w:val="20"/>
              </w:rPr>
              <w:t xml:space="preserve">Feeds ChatGPT and Copilot directly</w:t>
            </w:r>
          </w:p>
        </w:tc>
        <w:tc>
          <w:tcPr>
            <w:tcMar>
              <w:top w:type="dxa" w:w="60"/>
              <w:left w:type="dxa" w:w="100"/>
              <w:bottom w:type="dxa" w:w="60"/>
              <w:right w:type="dxa" w:w="100"/>
            </w:tcMar>
          </w:tcPr>
          <w:p>
            <w:r>
              <w:rPr>
                <w:b w:val="false"/>
                <w:bCs w:val="false"/>
                <w:sz w:val="20"/>
                <w:szCs w:val="20"/>
              </w:rPr>
              <w:t xml:space="preserve">3 to 8 weeks</w:t>
            </w:r>
          </w:p>
        </w:tc>
      </w:tr>
      <w:tr>
        <w:trPr>
          <w:tblHeader w:val="false"/>
        </w:trPr>
        <w:tc>
          <w:tcPr>
            <w:tcMar>
              <w:top w:type="dxa" w:w="60"/>
              <w:left w:type="dxa" w:w="100"/>
              <w:bottom w:type="dxa" w:w="60"/>
              <w:right w:type="dxa" w:w="100"/>
            </w:tcMar>
          </w:tcPr>
          <w:p>
            <w:r>
              <w:rPr>
                <w:b w:val="false"/>
                <w:bCs w:val="false"/>
                <w:sz w:val="20"/>
                <w:szCs w:val="20"/>
              </w:rPr>
              <w:t xml:space="preserve">Extractable content, FAQ, schema</w:t>
            </w:r>
          </w:p>
        </w:tc>
        <w:tc>
          <w:tcPr>
            <w:tcMar>
              <w:top w:type="dxa" w:w="60"/>
              <w:left w:type="dxa" w:w="100"/>
              <w:bottom w:type="dxa" w:w="60"/>
              <w:right w:type="dxa" w:w="100"/>
            </w:tcMar>
          </w:tcPr>
          <w:p>
            <w:r>
              <w:rPr>
                <w:b w:val="false"/>
                <w:bCs w:val="false"/>
                <w:sz w:val="20"/>
                <w:szCs w:val="20"/>
              </w:rPr>
              <w:t xml:space="preserve">Modest alone, raises conversion of the above</w:t>
            </w:r>
          </w:p>
        </w:tc>
        <w:tc>
          <w:tcPr>
            <w:tcMar>
              <w:top w:type="dxa" w:w="60"/>
              <w:left w:type="dxa" w:w="100"/>
              <w:bottom w:type="dxa" w:w="60"/>
              <w:right w:type="dxa" w:w="100"/>
            </w:tcMar>
          </w:tcPr>
          <w:p>
            <w:r>
              <w:rPr>
                <w:b w:val="false"/>
                <w:bCs w:val="false"/>
                <w:sz w:val="20"/>
                <w:szCs w:val="20"/>
              </w:rPr>
              <w:t xml:space="preserve">1 to 3 weeks</w:t>
            </w:r>
          </w:p>
        </w:tc>
      </w:tr>
      <w:tr>
        <w:trPr>
          <w:tblHeader w:val="false"/>
        </w:trPr>
        <w:tc>
          <w:tcPr>
            <w:tcMar>
              <w:top w:type="dxa" w:w="60"/>
              <w:left w:type="dxa" w:w="100"/>
              <w:bottom w:type="dxa" w:w="60"/>
              <w:right w:type="dxa" w:w="100"/>
            </w:tcMar>
          </w:tcPr>
          <w:p>
            <w:r>
              <w:rPr>
                <w:b w:val="false"/>
                <w:bCs w:val="false"/>
                <w:sz w:val="20"/>
                <w:szCs w:val="20"/>
              </w:rPr>
              <w:t xml:space="preserve">Community and forum threads naming us</w:t>
            </w:r>
          </w:p>
        </w:tc>
        <w:tc>
          <w:tcPr>
            <w:tcMar>
              <w:top w:type="dxa" w:w="60"/>
              <w:left w:type="dxa" w:w="100"/>
              <w:bottom w:type="dxa" w:w="60"/>
              <w:right w:type="dxa" w:w="100"/>
            </w:tcMar>
          </w:tcPr>
          <w:p>
            <w:r>
              <w:rPr>
                <w:b w:val="false"/>
                <w:bCs w:val="false"/>
                <w:sz w:val="20"/>
                <w:szCs w:val="20"/>
              </w:rPr>
              <w:t xml:space="preserve">Real, hard to manufacture honestly</w:t>
            </w:r>
          </w:p>
        </w:tc>
        <w:tc>
          <w:tcPr>
            <w:tcMar>
              <w:top w:type="dxa" w:w="60"/>
              <w:left w:type="dxa" w:w="100"/>
              <w:bottom w:type="dxa" w:w="60"/>
              <w:right w:type="dxa" w:w="100"/>
            </w:tcMar>
          </w:tcPr>
          <w:p>
            <w:r>
              <w:rPr>
                <w:b w:val="false"/>
                <w:bCs w:val="false"/>
                <w:sz w:val="20"/>
                <w:szCs w:val="20"/>
              </w:rPr>
              <w:t xml:space="preserve">2 to 6 weeks</w:t>
            </w:r>
          </w:p>
        </w:tc>
      </w:tr>
    </w:tbl>
    <w:p>
      <w:pPr>
        <w:spacing w:after="120"/>
      </w:pPr>
    </w:p>
    <w:p>
      <w:pPr>
        <w:spacing w:after="80"/>
      </w:pPr>
      <w:r>
        <w:rPr>
          <w:b/>
          <w:bCs/>
        </w:rPr>
        <w:t xml:space="preserve">Pass condition: </w:t>
      </w:r>
      <w:r>
        <w:t xml:space="preserve">score and citation count both rise, and the citations name the specific pages we caused to exist. Rising score with unrelated citations is coincidence, not proof.</w:t>
      </w:r>
    </w:p>
    <w:p>
      <w:pPr>
        <w:spacing w:after="100"/>
      </w:pPr>
      <w:r>
        <w:t xml:space="preserve">Magnitudes are reasoned estimates, not measurements. A brand moving from absent to present in several retrieved sources plausibly goes from 1 or 2 mentions in 20 to 8 or 10, which is a score around 10 rising to around 50. Level 2 exists to replace that estimate with a fact.</w:t>
      </w:r>
    </w:p>
    <w:p>
      <w:pPr>
        <w:pStyle w:val="Heading2"/>
        <w:spacing w:after="80" w:before="200"/>
      </w:pPr>
      <w:r>
        <w:rPr>
          <w:b/>
          <w:bCs/>
        </w:rPr>
        <w:t xml:space="preserve">Level 3: a customer brand moves (8 to 12 weeks)</w:t>
      </w:r>
    </w:p>
    <w:p>
      <w:pPr>
        <w:spacing w:after="100"/>
      </w:pPr>
      <w:r>
        <w:t xml:space="preserve">Repeat Level 2 on a paying customer who is not us, in a different category. One case study with real dates, real actions and real numbers is worth more than any amount of landing page copy, and it is the asset no competitor can copy.</w:t>
      </w:r>
    </w:p>
    <w:p>
      <w:pPr>
        <w:pStyle w:val="Heading2"/>
        <w:spacing w:after="80" w:before="200"/>
      </w:pPr>
      <w:r>
        <w:rPr>
          <w:b/>
          <w:bCs/>
        </w:rPr>
        <w:t xml:space="preserve">5.4 What would disprove the thesis</w:t>
      </w:r>
    </w:p>
    <w:p>
      <w:pPr>
        <w:spacing w:after="100"/>
      </w:pPr>
      <w:r>
        <w:rPr>
          <w:i/>
          <w:iCs/>
          <w:color w:val="64748B"/>
        </w:rPr>
        <w:t xml:space="preserve">Stated in advance so the answer cannot be rationalised later.</w:t>
      </w:r>
    </w:p>
    <w:p>
      <w:pPr>
        <w:pStyle w:val="ListParagraph"/>
        <w:numPr>
          <w:ilvl w:val="0"/>
          <w:numId w:val="1"/>
        </w:numPr>
        <w:spacing w:after="40"/>
      </w:pPr>
      <w:r>
        <w:t xml:space="preserve">Level 1 fails: grounded and parametric return the same thing. Then the channel distinction is not real and the product premise collapses.</w:t>
      </w:r>
    </w:p>
    <w:p>
      <w:pPr>
        <w:pStyle w:val="ListParagraph"/>
        <w:numPr>
          <w:ilvl w:val="0"/>
          <w:numId w:val="1"/>
        </w:numPr>
        <w:spacing w:after="40"/>
      </w:pPr>
      <w:r>
        <w:t xml:space="preserve">Level 2 runs 8 weeks with the levers genuinely executed and the score does not move. Then customers cannot move it either, and we should sell measurement only, at a measurement price.</w:t>
      </w:r>
    </w:p>
    <w:p>
      <w:pPr>
        <w:pStyle w:val="ListParagraph"/>
        <w:numPr>
          <w:ilvl w:val="0"/>
          <w:numId w:val="1"/>
        </w:numPr>
        <w:spacing w:after="40"/>
      </w:pPr>
      <w:r>
        <w:t xml:space="preserve">Level 2 passes but no one pays. Then the problem is real and solved but not valuable enough, which is a positioning problem, not a technical one.</w:t>
      </w:r>
    </w:p>
    <w:p>
      <w:pPr>
        <w:pStyle w:val="Heading1"/>
        <w:spacing w:after="120" w:before="300"/>
      </w:pPr>
      <w:r>
        <w:rPr>
          <w:b/>
          <w:bCs/>
          <w:color w:val="4F46E5"/>
        </w:rPr>
        <w:t xml:space="preserve">6. Open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F46E5"/>
            <w:tcMar>
              <w:top w:type="dxa" w:w="60"/>
              <w:left w:type="dxa" w:w="100"/>
              <w:bottom w:type="dxa" w:w="60"/>
              <w:right w:type="dxa" w:w="100"/>
            </w:tcMar>
          </w:tcPr>
          <w:p>
            <w:r>
              <w:rPr>
                <w:b/>
                <w:bCs/>
                <w:color w:val="FFFFFF"/>
                <w:sz w:val="20"/>
                <w:szCs w:val="20"/>
              </w:rPr>
              <w:t xml:space="preserve">#</w:t>
            </w:r>
          </w:p>
        </w:tc>
        <w:tc>
          <w:tcPr>
            <w:shd w:fill="4F46E5"/>
            <w:tcMar>
              <w:top w:type="dxa" w:w="60"/>
              <w:left w:type="dxa" w:w="100"/>
              <w:bottom w:type="dxa" w:w="60"/>
              <w:right w:type="dxa" w:w="100"/>
            </w:tcMar>
          </w:tcPr>
          <w:p>
            <w:r>
              <w:rPr>
                <w:b/>
                <w:bCs/>
                <w:color w:val="FFFFFF"/>
                <w:sz w:val="20"/>
                <w:szCs w:val="20"/>
              </w:rPr>
              <w:t xml:space="preserve">Decision</w:t>
            </w:r>
          </w:p>
        </w:tc>
        <w:tc>
          <w:tcPr>
            <w:shd w:fill="4F46E5"/>
            <w:tcMar>
              <w:top w:type="dxa" w:w="60"/>
              <w:left w:type="dxa" w:w="100"/>
              <w:bottom w:type="dxa" w:w="60"/>
              <w:right w:type="dxa" w:w="100"/>
            </w:tcMar>
          </w:tcPr>
          <w:p>
            <w:r>
              <w:rPr>
                <w:b/>
                <w:bCs/>
                <w:color w:val="FFFFFF"/>
                <w:sz w:val="20"/>
                <w:szCs w:val="20"/>
              </w:rPr>
              <w:t xml:space="preserve">Needed by</w:t>
            </w:r>
          </w:p>
        </w:tc>
      </w:tr>
      <w:tr>
        <w:trPr>
          <w:tblHeader w:val="false"/>
        </w:trPr>
        <w:tc>
          <w:tcPr>
            <w:tcMar>
              <w:top w:type="dxa" w:w="60"/>
              <w:left w:type="dxa" w:w="100"/>
              <w:bottom w:type="dxa" w:w="60"/>
              <w:right w:type="dxa" w:w="100"/>
            </w:tcMar>
          </w:tcPr>
          <w:p>
            <w:r>
              <w:rPr>
                <w:b w:val="false"/>
                <w:bCs w:val="false"/>
                <w:sz w:val="20"/>
                <w:szCs w:val="20"/>
              </w:rPr>
              <w:t xml:space="preserve">D1</w:t>
            </w:r>
          </w:p>
        </w:tc>
        <w:tc>
          <w:tcPr>
            <w:tcMar>
              <w:top w:type="dxa" w:w="60"/>
              <w:left w:type="dxa" w:w="100"/>
              <w:bottom w:type="dxa" w:w="60"/>
              <w:right w:type="dxa" w:w="100"/>
            </w:tcMar>
          </w:tcPr>
          <w:p>
            <w:r>
              <w:rPr>
                <w:b w:val="false"/>
                <w:bCs w:val="false"/>
                <w:sz w:val="20"/>
                <w:szCs w:val="20"/>
              </w:rPr>
              <w:t xml:space="preserve">Execution layer or Shopify vertical as the differentiator</w:t>
            </w:r>
          </w:p>
        </w:tc>
        <w:tc>
          <w:tcPr>
            <w:tcMar>
              <w:top w:type="dxa" w:w="60"/>
              <w:left w:type="dxa" w:w="100"/>
              <w:bottom w:type="dxa" w:w="60"/>
              <w:right w:type="dxa" w:w="100"/>
            </w:tcMar>
          </w:tcPr>
          <w:p>
            <w:r>
              <w:rPr>
                <w:b w:val="false"/>
                <w:bCs w:val="false"/>
                <w:sz w:val="20"/>
                <w:szCs w:val="20"/>
              </w:rPr>
              <w:t xml:space="preserve">Before pricing is fixed</w:t>
            </w:r>
          </w:p>
        </w:tc>
      </w:tr>
      <w:tr>
        <w:trPr>
          <w:tblHeader w:val="false"/>
        </w:trPr>
        <w:tc>
          <w:tcPr>
            <w:tcMar>
              <w:top w:type="dxa" w:w="60"/>
              <w:left w:type="dxa" w:w="100"/>
              <w:bottom w:type="dxa" w:w="60"/>
              <w:right w:type="dxa" w:w="100"/>
            </w:tcMar>
          </w:tcPr>
          <w:p>
            <w:r>
              <w:rPr>
                <w:b w:val="false"/>
                <w:bCs w:val="false"/>
                <w:sz w:val="20"/>
                <w:szCs w:val="20"/>
              </w:rPr>
              <w:t xml:space="preserve">D2</w:t>
            </w:r>
          </w:p>
        </w:tc>
        <w:tc>
          <w:tcPr>
            <w:tcMar>
              <w:top w:type="dxa" w:w="60"/>
              <w:left w:type="dxa" w:w="100"/>
              <w:bottom w:type="dxa" w:w="60"/>
              <w:right w:type="dxa" w:w="100"/>
            </w:tcMar>
          </w:tcPr>
          <w:p>
            <w:r>
              <w:rPr>
                <w:b w:val="false"/>
                <w:bCs w:val="false"/>
                <w:sz w:val="20"/>
                <w:szCs w:val="20"/>
              </w:rPr>
              <w:t xml:space="preserve">Pricing answer versus Otterly at about $29 for four engines</w:t>
            </w:r>
          </w:p>
        </w:tc>
        <w:tc>
          <w:tcPr>
            <w:tcMar>
              <w:top w:type="dxa" w:w="60"/>
              <w:left w:type="dxa" w:w="100"/>
              <w:bottom w:type="dxa" w:w="60"/>
              <w:right w:type="dxa" w:w="100"/>
            </w:tcMar>
          </w:tcPr>
          <w:p>
            <w:r>
              <w:rPr>
                <w:b w:val="false"/>
                <w:bCs w:val="false"/>
                <w:sz w:val="20"/>
                <w:szCs w:val="20"/>
              </w:rPr>
              <w:t xml:space="preserve">Before real billing is switched on</w:t>
            </w:r>
          </w:p>
        </w:tc>
      </w:tr>
      <w:tr>
        <w:trPr>
          <w:tblHeader w:val="false"/>
        </w:trPr>
        <w:tc>
          <w:tcPr>
            <w:tcMar>
              <w:top w:type="dxa" w:w="60"/>
              <w:left w:type="dxa" w:w="100"/>
              <w:bottom w:type="dxa" w:w="60"/>
              <w:right w:type="dxa" w:w="100"/>
            </w:tcMar>
          </w:tcPr>
          <w:p>
            <w:r>
              <w:rPr>
                <w:b w:val="false"/>
                <w:bCs w:val="false"/>
                <w:sz w:val="20"/>
                <w:szCs w:val="20"/>
              </w:rPr>
              <w:t xml:space="preserve">D3</w:t>
            </w:r>
          </w:p>
        </w:tc>
        <w:tc>
          <w:tcPr>
            <w:tcMar>
              <w:top w:type="dxa" w:w="60"/>
              <w:left w:type="dxa" w:w="100"/>
              <w:bottom w:type="dxa" w:w="60"/>
              <w:right w:type="dxa" w:w="100"/>
            </w:tcMar>
          </w:tcPr>
          <w:p>
            <w:r>
              <w:rPr>
                <w:b w:val="false"/>
                <w:bCs w:val="false"/>
                <w:sz w:val="20"/>
                <w:szCs w:val="20"/>
              </w:rPr>
              <w:t xml:space="preserve">Does the free public scan use grounded scanning, given it costs more per call</w:t>
            </w:r>
          </w:p>
        </w:tc>
        <w:tc>
          <w:tcPr>
            <w:tcMar>
              <w:top w:type="dxa" w:w="60"/>
              <w:left w:type="dxa" w:w="100"/>
              <w:bottom w:type="dxa" w:w="60"/>
              <w:right w:type="dxa" w:w="100"/>
            </w:tcMar>
          </w:tcPr>
          <w:p>
            <w:r>
              <w:rPr>
                <w:b w:val="false"/>
                <w:bCs w:val="false"/>
                <w:sz w:val="20"/>
                <w:szCs w:val="20"/>
              </w:rPr>
              <w:t xml:space="preserve">With R1</w:t>
            </w:r>
          </w:p>
        </w:tc>
      </w:tr>
      <w:tr>
        <w:trPr>
          <w:tblHeader w:val="false"/>
        </w:trPr>
        <w:tc>
          <w:tcPr>
            <w:tcMar>
              <w:top w:type="dxa" w:w="60"/>
              <w:left w:type="dxa" w:w="100"/>
              <w:bottom w:type="dxa" w:w="60"/>
              <w:right w:type="dxa" w:w="100"/>
            </w:tcMar>
          </w:tcPr>
          <w:p>
            <w:r>
              <w:rPr>
                <w:b w:val="false"/>
                <w:bCs w:val="false"/>
                <w:sz w:val="20"/>
                <w:szCs w:val="20"/>
              </w:rPr>
              <w:t xml:space="preserve">D4</w:t>
            </w:r>
          </w:p>
        </w:tc>
        <w:tc>
          <w:tcPr>
            <w:tcMar>
              <w:top w:type="dxa" w:w="60"/>
              <w:left w:type="dxa" w:w="100"/>
              <w:bottom w:type="dxa" w:w="60"/>
              <w:right w:type="dxa" w:w="100"/>
            </w:tcMar>
          </w:tcPr>
          <w:p>
            <w:r>
              <w:rPr>
                <w:b w:val="false"/>
                <w:bCs w:val="false"/>
                <w:sz w:val="20"/>
                <w:szCs w:val="20"/>
              </w:rPr>
              <w:t xml:space="preserve">Does the public Index stay parametric</w:t>
            </w:r>
          </w:p>
        </w:tc>
        <w:tc>
          <w:tcPr>
            <w:tcMar>
              <w:top w:type="dxa" w:w="60"/>
              <w:left w:type="dxa" w:w="100"/>
              <w:bottom w:type="dxa" w:w="60"/>
              <w:right w:type="dxa" w:w="100"/>
            </w:tcMar>
          </w:tcPr>
          <w:p>
            <w:r>
              <w:rPr>
                <w:b w:val="false"/>
                <w:bCs w:val="false"/>
                <w:sz w:val="20"/>
                <w:szCs w:val="20"/>
              </w:rPr>
              <w:t xml:space="preserve">Recommended yes, confirm before the next index run</w:t>
            </w:r>
          </w:p>
        </w:tc>
      </w:tr>
      <w:tr>
        <w:trPr>
          <w:tblHeader w:val="false"/>
        </w:trPr>
        <w:tc>
          <w:tcPr>
            <w:tcMar>
              <w:top w:type="dxa" w:w="60"/>
              <w:left w:type="dxa" w:w="100"/>
              <w:bottom w:type="dxa" w:w="60"/>
              <w:right w:type="dxa" w:w="100"/>
            </w:tcMar>
          </w:tcPr>
          <w:p>
            <w:r>
              <w:rPr>
                <w:b w:val="false"/>
                <w:bCs w:val="false"/>
                <w:sz w:val="20"/>
                <w:szCs w:val="20"/>
              </w:rPr>
              <w:t xml:space="preserve">D5</w:t>
            </w:r>
          </w:p>
        </w:tc>
        <w:tc>
          <w:tcPr>
            <w:tcMar>
              <w:top w:type="dxa" w:w="60"/>
              <w:left w:type="dxa" w:w="100"/>
              <w:bottom w:type="dxa" w:w="60"/>
              <w:right w:type="dxa" w:w="100"/>
            </w:tcMar>
          </w:tcPr>
          <w:p>
            <w:r>
              <w:rPr>
                <w:b w:val="false"/>
                <w:bCs w:val="false"/>
                <w:sz w:val="20"/>
                <w:szCs w:val="20"/>
              </w:rPr>
              <w:t xml:space="preserve">Whether launch timing shifts, since grounded scanning is now ahead of it</w:t>
            </w:r>
          </w:p>
        </w:tc>
        <w:tc>
          <w:tcPr>
            <w:tcMar>
              <w:top w:type="dxa" w:w="60"/>
              <w:left w:type="dxa" w:w="100"/>
              <w:bottom w:type="dxa" w:w="60"/>
              <w:right w:type="dxa" w:w="100"/>
            </w:tcMar>
          </w:tcPr>
          <w:p>
            <w:r>
              <w:rPr>
                <w:b w:val="false"/>
                <w:bCs w:val="false"/>
                <w:sz w:val="20"/>
                <w:szCs w:val="20"/>
              </w:rPr>
              <w:t xml:space="preserve">This week</w:t>
            </w:r>
          </w:p>
        </w:tc>
      </w:tr>
      <w:tr>
        <w:trPr>
          <w:tblHeader w:val="false"/>
        </w:trPr>
        <w:tc>
          <w:tcPr>
            <w:tcMar>
              <w:top w:type="dxa" w:w="60"/>
              <w:left w:type="dxa" w:w="100"/>
              <w:bottom w:type="dxa" w:w="60"/>
              <w:right w:type="dxa" w:w="100"/>
            </w:tcMar>
          </w:tcPr>
          <w:p>
            <w:r>
              <w:rPr>
                <w:b w:val="false"/>
                <w:bCs w:val="false"/>
                <w:sz w:val="20"/>
                <w:szCs w:val="20"/>
              </w:rPr>
              <w:t xml:space="preserve">D6</w:t>
            </w:r>
          </w:p>
        </w:tc>
        <w:tc>
          <w:tcPr>
            <w:tcMar>
              <w:top w:type="dxa" w:w="60"/>
              <w:left w:type="dxa" w:w="100"/>
              <w:bottom w:type="dxa" w:w="60"/>
              <w:right w:type="dxa" w:w="100"/>
            </w:tcMar>
          </w:tcPr>
          <w:p>
            <w:r>
              <w:rPr>
                <w:b w:val="false"/>
                <w:bCs w:val="false"/>
                <w:sz w:val="20"/>
                <w:szCs w:val="20"/>
              </w:rPr>
              <w:t xml:space="preserve">Brand collision: a Chrome extension and a service called SEO-4AI share the name and confuse the models</w:t>
            </w:r>
          </w:p>
        </w:tc>
        <w:tc>
          <w:tcPr>
            <w:tcMar>
              <w:top w:type="dxa" w:w="60"/>
              <w:left w:type="dxa" w:w="100"/>
              <w:bottom w:type="dxa" w:w="60"/>
              <w:right w:type="dxa" w:w="100"/>
            </w:tcMar>
          </w:tcPr>
          <w:p>
            <w:r>
              <w:rPr>
                <w:b w:val="false"/>
                <w:bCs w:val="false"/>
                <w:sz w:val="20"/>
                <w:szCs w:val="20"/>
              </w:rPr>
              <w:t xml:space="preserve">Before further brand spend</w:t>
            </w:r>
          </w:p>
        </w:tc>
      </w:tr>
    </w:tbl>
    <w:p>
      <w:pPr>
        <w:pStyle w:val="Heading1"/>
        <w:spacing w:after="120" w:before="300"/>
      </w:pPr>
      <w:r>
        <w:rPr>
          <w:b/>
          <w:bCs/>
          <w:color w:val="4F46E5"/>
        </w:rPr>
        <w:t xml:space="preserve">7.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F46E5"/>
            <w:tcMar>
              <w:top w:type="dxa" w:w="60"/>
              <w:left w:type="dxa" w:w="100"/>
              <w:bottom w:type="dxa" w:w="60"/>
              <w:right w:type="dxa" w:w="100"/>
            </w:tcMar>
          </w:tcPr>
          <w:p>
            <w:r>
              <w:rPr>
                <w:b/>
                <w:bCs/>
                <w:color w:val="FFFFFF"/>
                <w:sz w:val="20"/>
                <w:szCs w:val="20"/>
              </w:rPr>
              <w:t xml:space="preserve">Order</w:t>
            </w:r>
          </w:p>
        </w:tc>
        <w:tc>
          <w:tcPr>
            <w:shd w:fill="4F46E5"/>
            <w:tcMar>
              <w:top w:type="dxa" w:w="60"/>
              <w:left w:type="dxa" w:w="100"/>
              <w:bottom w:type="dxa" w:w="60"/>
              <w:right w:type="dxa" w:w="100"/>
            </w:tcMar>
          </w:tcPr>
          <w:p>
            <w:r>
              <w:rPr>
                <w:b/>
                <w:bCs/>
                <w:color w:val="FFFFFF"/>
                <w:sz w:val="20"/>
                <w:szCs w:val="20"/>
              </w:rPr>
              <w:t xml:space="preserve">Work</w:t>
            </w:r>
          </w:p>
        </w:tc>
        <w:tc>
          <w:tcPr>
            <w:shd w:fill="4F46E5"/>
            <w:tcMar>
              <w:top w:type="dxa" w:w="60"/>
              <w:left w:type="dxa" w:w="100"/>
              <w:bottom w:type="dxa" w:w="60"/>
              <w:right w:type="dxa" w:w="100"/>
            </w:tcMar>
          </w:tcPr>
          <w:p>
            <w:r>
              <w:rPr>
                <w:b/>
                <w:bCs/>
                <w:color w:val="FFFFFF"/>
                <w:sz w:val="20"/>
                <w:szCs w:val="20"/>
              </w:rPr>
              <w:t xml:space="preserve">Gate</w:t>
            </w:r>
          </w:p>
        </w:tc>
      </w:tr>
      <w:tr>
        <w:trPr>
          <w:tblHeader w:val="false"/>
        </w:trPr>
        <w:tc>
          <w:tcPr>
            <w:tcMar>
              <w:top w:type="dxa" w:w="60"/>
              <w:left w:type="dxa" w:w="100"/>
              <w:bottom w:type="dxa" w:w="60"/>
              <w:right w:type="dxa" w:w="100"/>
            </w:tcMar>
          </w:tcPr>
          <w:p>
            <w:r>
              <w:rPr>
                <w:b w:val="false"/>
                <w:bCs w:val="false"/>
                <w:sz w:val="20"/>
                <w:szCs w:val="20"/>
              </w:rPr>
              <w:t xml:space="preserve">1</w:t>
            </w:r>
          </w:p>
        </w:tc>
        <w:tc>
          <w:tcPr>
            <w:tcMar>
              <w:top w:type="dxa" w:w="60"/>
              <w:left w:type="dxa" w:w="100"/>
              <w:bottom w:type="dxa" w:w="60"/>
              <w:right w:type="dxa" w:w="100"/>
            </w:tcMar>
          </w:tcPr>
          <w:p>
            <w:r>
              <w:rPr>
                <w:b w:val="false"/>
                <w:bCs w:val="false"/>
                <w:sz w:val="20"/>
                <w:szCs w:val="20"/>
              </w:rPr>
              <w:t xml:space="preserve">Level 1 proof, grounded versus parametric</w:t>
            </w:r>
          </w:p>
        </w:tc>
        <w:tc>
          <w:tcPr>
            <w:tcMar>
              <w:top w:type="dxa" w:w="60"/>
              <w:left w:type="dxa" w:w="100"/>
              <w:bottom w:type="dxa" w:w="60"/>
              <w:right w:type="dxa" w:w="100"/>
            </w:tcMar>
          </w:tcPr>
          <w:p>
            <w:r>
              <w:rPr>
                <w:b w:val="false"/>
                <w:bCs w:val="false"/>
                <w:color w:val="15803D"/>
                <w:sz w:val="20"/>
                <w:szCs w:val="20"/>
              </w:rPr>
              <w:t xml:space="preserve">DONE 10 Aug, passed</w:t>
            </w:r>
          </w:p>
        </w:tc>
      </w:tr>
      <w:tr>
        <w:trPr>
          <w:tblHeader w:val="false"/>
        </w:trPr>
        <w:tc>
          <w:tcPr>
            <w:tcMar>
              <w:top w:type="dxa" w:w="60"/>
              <w:left w:type="dxa" w:w="100"/>
              <w:bottom w:type="dxa" w:w="60"/>
              <w:right w:type="dxa" w:w="100"/>
            </w:tcMar>
          </w:tcPr>
          <w:p>
            <w:r>
              <w:rPr>
                <w:b w:val="false"/>
                <w:bCs w:val="false"/>
                <w:sz w:val="20"/>
                <w:szCs w:val="20"/>
              </w:rPr>
              <w:t xml:space="preserve">2</w:t>
            </w:r>
          </w:p>
        </w:tc>
        <w:tc>
          <w:tcPr>
            <w:tcMar>
              <w:top w:type="dxa" w:w="60"/>
              <w:left w:type="dxa" w:w="100"/>
              <w:bottom w:type="dxa" w:w="60"/>
              <w:right w:type="dxa" w:w="100"/>
            </w:tcMar>
          </w:tcPr>
          <w:p>
            <w:r>
              <w:rPr>
                <w:b w:val="false"/>
                <w:bCs w:val="false"/>
                <w:sz w:val="20"/>
                <w:szCs w:val="20"/>
              </w:rPr>
              <w:t xml:space="preserve">R1 grounded scanning with citations, plus R5 winnability</w:t>
            </w:r>
          </w:p>
        </w:tc>
        <w:tc>
          <w:tcPr>
            <w:tcMar>
              <w:top w:type="dxa" w:w="60"/>
              <w:left w:type="dxa" w:w="100"/>
              <w:bottom w:type="dxa" w:w="60"/>
              <w:right w:type="dxa" w:w="100"/>
            </w:tcMar>
          </w:tcPr>
          <w:p>
            <w:r>
              <w:rPr>
                <w:b w:val="false"/>
                <w:bCs w:val="false"/>
                <w:sz w:val="20"/>
                <w:szCs w:val="20"/>
              </w:rPr>
              <w:t xml:space="preserve">Blocks R3 and Gate 2</w:t>
            </w:r>
          </w:p>
        </w:tc>
      </w:tr>
      <w:tr>
        <w:trPr>
          <w:tblHeader w:val="false"/>
        </w:trPr>
        <w:tc>
          <w:tcPr>
            <w:tcMar>
              <w:top w:type="dxa" w:w="60"/>
              <w:left w:type="dxa" w:w="100"/>
              <w:bottom w:type="dxa" w:w="60"/>
              <w:right w:type="dxa" w:w="100"/>
            </w:tcMar>
          </w:tcPr>
          <w:p>
            <w:r>
              <w:rPr>
                <w:b w:val="false"/>
                <w:bCs w:val="false"/>
                <w:sz w:val="20"/>
                <w:szCs w:val="20"/>
              </w:rPr>
              <w:t xml:space="preserve">3</w:t>
            </w:r>
          </w:p>
        </w:tc>
        <w:tc>
          <w:tcPr>
            <w:tcMar>
              <w:top w:type="dxa" w:w="60"/>
              <w:left w:type="dxa" w:w="100"/>
              <w:bottom w:type="dxa" w:w="60"/>
              <w:right w:type="dxa" w:w="100"/>
            </w:tcMar>
          </w:tcPr>
          <w:p>
            <w:r>
              <w:rPr>
                <w:b w:val="false"/>
                <w:bCs w:val="false"/>
                <w:sz w:val="20"/>
                <w:szCs w:val="20"/>
              </w:rPr>
              <w:t xml:space="preserve">R4 commercial readiness, deploy the working tree, seed the index</w:t>
            </w:r>
          </w:p>
        </w:tc>
        <w:tc>
          <w:tcPr>
            <w:tcMar>
              <w:top w:type="dxa" w:w="60"/>
              <w:left w:type="dxa" w:w="100"/>
              <w:bottom w:type="dxa" w:w="60"/>
              <w:right w:type="dxa" w:w="100"/>
            </w:tcMar>
          </w:tcPr>
          <w:p>
            <w:r>
              <w:rPr>
                <w:b w:val="false"/>
                <w:bCs w:val="false"/>
                <w:sz w:val="20"/>
                <w:szCs w:val="20"/>
              </w:rPr>
              <w:t xml:space="preserve">Gate 2</w:t>
            </w:r>
          </w:p>
        </w:tc>
      </w:tr>
      <w:tr>
        <w:trPr>
          <w:tblHeader w:val="false"/>
        </w:trPr>
        <w:tc>
          <w:tcPr>
            <w:tcMar>
              <w:top w:type="dxa" w:w="60"/>
              <w:left w:type="dxa" w:w="100"/>
              <w:bottom w:type="dxa" w:w="60"/>
              <w:right w:type="dxa" w:w="100"/>
            </w:tcMar>
          </w:tcPr>
          <w:p>
            <w:r>
              <w:rPr>
                <w:b w:val="false"/>
                <w:bCs w:val="false"/>
                <w:sz w:val="20"/>
                <w:szCs w:val="20"/>
              </w:rPr>
              <w:t xml:space="preserve">4</w:t>
            </w:r>
          </w:p>
        </w:tc>
        <w:tc>
          <w:tcPr>
            <w:tcMar>
              <w:top w:type="dxa" w:w="60"/>
              <w:left w:type="dxa" w:w="100"/>
              <w:bottom w:type="dxa" w:w="60"/>
              <w:right w:type="dxa" w:w="100"/>
            </w:tcMar>
          </w:tcPr>
          <w:p>
            <w:r>
              <w:rPr>
                <w:b w:val="false"/>
                <w:bCs w:val="false"/>
                <w:sz w:val="20"/>
                <w:szCs w:val="20"/>
              </w:rPr>
              <w:t xml:space="preserve">R3 progress instrumentation</w:t>
            </w:r>
          </w:p>
        </w:tc>
        <w:tc>
          <w:tcPr>
            <w:tcMar>
              <w:top w:type="dxa" w:w="60"/>
              <w:left w:type="dxa" w:w="100"/>
              <w:bottom w:type="dxa" w:w="60"/>
              <w:right w:type="dxa" w:w="100"/>
            </w:tcMar>
          </w:tcPr>
          <w:p>
            <w:r>
              <w:rPr>
                <w:b w:val="false"/>
                <w:bCs w:val="false"/>
                <w:sz w:val="20"/>
                <w:szCs w:val="20"/>
              </w:rPr>
              <w:t xml:space="preserve">Needed for proof</w:t>
            </w:r>
          </w:p>
        </w:tc>
      </w:tr>
      <w:tr>
        <w:trPr>
          <w:tblHeader w:val="false"/>
        </w:trPr>
        <w:tc>
          <w:tcPr>
            <w:tcMar>
              <w:top w:type="dxa" w:w="60"/>
              <w:left w:type="dxa" w:w="100"/>
              <w:bottom w:type="dxa" w:w="60"/>
              <w:right w:type="dxa" w:w="100"/>
            </w:tcMar>
          </w:tcPr>
          <w:p>
            <w:r>
              <w:rPr>
                <w:b w:val="false"/>
                <w:bCs w:val="false"/>
                <w:sz w:val="20"/>
                <w:szCs w:val="20"/>
              </w:rPr>
              <w:t xml:space="preserve">5</w:t>
            </w:r>
          </w:p>
        </w:tc>
        <w:tc>
          <w:tcPr>
            <w:tcMar>
              <w:top w:type="dxa" w:w="60"/>
              <w:left w:type="dxa" w:w="100"/>
              <w:bottom w:type="dxa" w:w="60"/>
              <w:right w:type="dxa" w:w="100"/>
            </w:tcMar>
          </w:tcPr>
          <w:p>
            <w:r>
              <w:rPr>
                <w:b w:val="false"/>
                <w:bCs w:val="false"/>
                <w:sz w:val="20"/>
                <w:szCs w:val="20"/>
              </w:rPr>
              <w:t xml:space="preserve">Baseline scan of SEO4AI, published, Level 2 begins</w:t>
            </w:r>
          </w:p>
        </w:tc>
        <w:tc>
          <w:tcPr>
            <w:tcMar>
              <w:top w:type="dxa" w:w="60"/>
              <w:left w:type="dxa" w:w="100"/>
              <w:bottom w:type="dxa" w:w="60"/>
              <w:right w:type="dxa" w:w="100"/>
            </w:tcMar>
          </w:tcPr>
          <w:p>
            <w:r>
              <w:rPr>
                <w:b w:val="false"/>
                <w:bCs w:val="false"/>
                <w:sz w:val="20"/>
                <w:szCs w:val="20"/>
              </w:rPr>
              <w:t xml:space="preserve">Starts the 8 week clock</w:t>
            </w:r>
          </w:p>
        </w:tc>
      </w:tr>
      <w:tr>
        <w:trPr>
          <w:tblHeader w:val="false"/>
        </w:trPr>
        <w:tc>
          <w:tcPr>
            <w:tcMar>
              <w:top w:type="dxa" w:w="60"/>
              <w:left w:type="dxa" w:w="100"/>
              <w:bottom w:type="dxa" w:w="60"/>
              <w:right w:type="dxa" w:w="100"/>
            </w:tcMar>
          </w:tcPr>
          <w:p>
            <w:r>
              <w:rPr>
                <w:b w:val="false"/>
                <w:bCs w:val="false"/>
                <w:sz w:val="20"/>
                <w:szCs w:val="20"/>
              </w:rPr>
              <w:t xml:space="preserve">6</w:t>
            </w:r>
          </w:p>
        </w:tc>
        <w:tc>
          <w:tcPr>
            <w:tcMar>
              <w:top w:type="dxa" w:w="60"/>
              <w:left w:type="dxa" w:w="100"/>
              <w:bottom w:type="dxa" w:w="60"/>
              <w:right w:type="dxa" w:w="100"/>
            </w:tcMar>
          </w:tcPr>
          <w:p>
            <w:r>
              <w:rPr>
                <w:b w:val="false"/>
                <w:bCs w:val="false"/>
                <w:sz w:val="20"/>
                <w:szCs w:val="20"/>
              </w:rPr>
              <w:t xml:space="preserve">Category leaderboard pages, weekly rhythm begins</w:t>
            </w:r>
          </w:p>
        </w:tc>
        <w:tc>
          <w:tcPr>
            <w:tcMar>
              <w:top w:type="dxa" w:w="60"/>
              <w:left w:type="dxa" w:w="100"/>
              <w:bottom w:type="dxa" w:w="60"/>
              <w:right w:type="dxa" w:w="100"/>
            </w:tcMar>
          </w:tcPr>
          <w:p>
            <w:r>
              <w:rPr>
                <w:b w:val="false"/>
                <w:bCs w:val="false"/>
                <w:sz w:val="20"/>
                <w:szCs w:val="20"/>
              </w:rPr>
              <w:t xml:space="preserve">Growth engine</w:t>
            </w:r>
          </w:p>
        </w:tc>
      </w:tr>
      <w:tr>
        <w:trPr>
          <w:tblHeader w:val="false"/>
        </w:trPr>
        <w:tc>
          <w:tcPr>
            <w:tcMar>
              <w:top w:type="dxa" w:w="60"/>
              <w:left w:type="dxa" w:w="100"/>
              <w:bottom w:type="dxa" w:w="60"/>
              <w:right w:type="dxa" w:w="100"/>
            </w:tcMar>
          </w:tcPr>
          <w:p>
            <w:r>
              <w:rPr>
                <w:b w:val="false"/>
                <w:bCs w:val="false"/>
                <w:sz w:val="20"/>
                <w:szCs w:val="20"/>
              </w:rPr>
              <w:t xml:space="preserve">7</w:t>
            </w:r>
          </w:p>
        </w:tc>
        <w:tc>
          <w:tcPr>
            <w:tcMar>
              <w:top w:type="dxa" w:w="60"/>
              <w:left w:type="dxa" w:w="100"/>
              <w:bottom w:type="dxa" w:w="60"/>
              <w:right w:type="dxa" w:w="100"/>
            </w:tcMar>
          </w:tcPr>
          <w:p>
            <w:r>
              <w:rPr>
                <w:b w:val="false"/>
                <w:bCs w:val="false"/>
                <w:sz w:val="20"/>
                <w:szCs w:val="20"/>
              </w:rPr>
              <w:t xml:space="preserve">Re-evaluate launch date against Level 2 results</w:t>
            </w:r>
          </w:p>
        </w:tc>
        <w:tc>
          <w:tcPr>
            <w:tcMar>
              <w:top w:type="dxa" w:w="60"/>
              <w:left w:type="dxa" w:w="100"/>
              <w:bottom w:type="dxa" w:w="60"/>
              <w:right w:type="dxa" w:w="100"/>
            </w:tcMar>
          </w:tcPr>
          <w:p>
            <w:r>
              <w:rPr>
                <w:b w:val="false"/>
                <w:bCs w:val="false"/>
                <w:sz w:val="20"/>
                <w:szCs w:val="20"/>
              </w:rPr>
              <w:t xml:space="preserve">Gate 3</w:t>
            </w:r>
          </w:p>
        </w:tc>
      </w:tr>
    </w:tbl>
    <w:p>
      <w:pPr>
        <w:spacing w:after="120"/>
      </w:pPr>
    </w:p>
    <w:p>
      <w:pPr>
        <w:spacing w:after="80"/>
      </w:pPr>
      <w:r>
        <w:rPr>
          <w:b/>
          <w:bCs/>
        </w:rPr>
        <w:t xml:space="preserve">Note on ordering: </w:t>
      </w:r>
      <w:r>
        <w:t xml:space="preserve">the launch plan dated today put category leaderboard pages first. Grounded scanning now takes precedence, because leaderboards market a product whose central claim we cannot currently demonstrate.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2026-08-10T18:23:41.263Z</dcterms:created>
  <dcterms:modified xsi:type="dcterms:W3CDTF">2026-08-10T18:23:41.264Z</dcterms:modified>
</cp:coreProperties>
</file>

<file path=docProps/custom.xml><?xml version="1.0" encoding="utf-8"?>
<Properties xmlns="http://schemas.openxmlformats.org/officeDocument/2006/custom-properties" xmlns:vt="http://schemas.openxmlformats.org/officeDocument/2006/docPropsVTypes"/>
</file>