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Explore and Compare two Cities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May 2021</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will explore residential areas in two cities based on the most popular locations in the area. This location data will be used to create a model and cluster the locations. The same will be used to explore similar and unique area in both cities. This will enable anyone moving between cities to understand the similar areas to live.</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t xml:space="preserve">Following data has been used for the project:</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List of residential sectors for Noida has been extracted from url -  “https://www.findeasy.in/noida-sectors/”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List of residential areas for Thane and Navi Mumbai has been extracted from following urls -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r w:rsidDel="00000000" w:rsidR="00000000" w:rsidRPr="00000000">
        <w:rPr>
          <w:rtl w:val="0"/>
        </w:rPr>
        <w:t xml:space="preserve">https://www.magicbricks.com/localities-in-thane”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r w:rsidDel="00000000" w:rsidR="00000000" w:rsidRPr="00000000">
        <w:rPr>
          <w:rtl w:val="0"/>
        </w:rPr>
        <w:t xml:space="preserve">https://www.magicbricks.com/localities-in-Navi-Mumbai</w:t>
      </w:r>
      <w:r w:rsidDel="00000000" w:rsidR="00000000" w:rsidRPr="00000000">
        <w:rPr>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neighborhood data for residential sectors has been extracted from Foursquare API - “</w:t>
      </w:r>
      <w:r w:rsidDel="00000000" w:rsidR="00000000" w:rsidRPr="00000000">
        <w:rPr>
          <w:rtl w:val="0"/>
        </w:rPr>
        <w:t xml:space="preserve">https://api.foursquare.com/v2/venues/explore</w:t>
      </w:r>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latitude and longitude for the residential sectors has been extracted using geolocator from Nominatim.</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areas for which the location data was not available with Nominatim were extracted manually and updated to the data.</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Test1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Test2</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pStyle w:val="Heading1"/>
        <w:rPr/>
      </w:pPr>
      <w:bookmarkStart w:colFirst="0" w:colLast="0" w:name="_7ar579od6h5k" w:id="8"/>
      <w:bookmarkEnd w:id="8"/>
      <w:r w:rsidDel="00000000" w:rsidR="00000000" w:rsidRPr="00000000">
        <w:rPr>
          <w:rtl w:val="0"/>
        </w:rPr>
        <w:t xml:space="preserve">DISCUSSION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godjrlv3jkcx" w:id="9"/>
      <w:bookmarkEnd w:id="9"/>
      <w:r w:rsidDel="00000000" w:rsidR="00000000" w:rsidRPr="00000000">
        <w:rPr>
          <w:rtl w:val="0"/>
        </w:rPr>
        <w:t xml:space="preserve">CONCLUSION</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