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Technology Intelligence Report Generation</w:t>
      </w:r>
    </w:p>
    <w:p>
      <w:pPr>
        <w:jc w:val="center"/>
      </w:pPr>
      <w:r>
        <w:rPr>
          <w:b/>
          <w:color w:val="595959"/>
          <w:sz w:val="24"/>
        </w:rPr>
        <w:t>Synopsis - How the Intelligence Pipeline Works</w:t>
      </w:r>
    </w:p>
    <w:p>
      <w:pPr>
        <w:jc w:val="center"/>
      </w:pPr>
      <w:r>
        <w:rPr>
          <w:i/>
          <w:sz w:val="21"/>
        </w:rPr>
        <w:t>Official updates tell us what changed. Research sources tell us where AI is moving. The intelligence layer connects the two, removes duplication and noise, ranks the strongest relationships, and translates the implications for each role.</w:t>
      </w:r>
    </w:p>
    <w:p>
      <w:pPr>
        <w:pStyle w:val="Heading1"/>
        <w:keepNext/>
      </w:pPr>
      <w:r>
        <w:t>Simple System Flow</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792"/>
        <w:gridCol w:w="2448"/>
        <w:gridCol w:w="6840"/>
      </w:tblGrid>
      <w:tr>
        <w:tc>
          <w:tcPr>
            <w:tcW w:type="dxa" w:w="792"/>
            <w:tcMar>
              <w:top w:w="90" w:type="dxa"/>
              <w:start w:w="100" w:type="dxa"/>
              <w:bottom w:w="90" w:type="dxa"/>
              <w:end w:w="100" w:type="dxa"/>
            </w:tcMar>
            <w:vAlign w:val="center"/>
            <w:shd w:fill="D9EAF7"/>
          </w:tcPr>
          <w:p>
            <w:pPr>
              <w:pStyle w:val="FlowLabel"/>
              <w:jc w:val="center"/>
            </w:pPr>
            <w:r>
              <w:t>1</w:t>
            </w:r>
          </w:p>
        </w:tc>
        <w:tc>
          <w:tcPr>
            <w:tcW w:type="dxa" w:w="2448"/>
            <w:tcMar>
              <w:top w:w="90" w:type="dxa"/>
              <w:start w:w="100" w:type="dxa"/>
              <w:bottom w:w="90" w:type="dxa"/>
              <w:end w:w="100" w:type="dxa"/>
            </w:tcMar>
            <w:vAlign w:val="center"/>
            <w:shd w:fill="EAF1F8"/>
          </w:tcPr>
          <w:p>
            <w:pPr>
              <w:pStyle w:val="FlowLabel"/>
            </w:pPr>
            <w:r>
              <w:t>Curated Sources</w:t>
            </w:r>
          </w:p>
        </w:tc>
        <w:tc>
          <w:tcPr>
            <w:tcW w:type="dxa" w:w="6840"/>
            <w:tcMar>
              <w:top w:w="90" w:type="dxa"/>
              <w:start w:w="100" w:type="dxa"/>
              <w:bottom w:w="90" w:type="dxa"/>
              <w:end w:w="100" w:type="dxa"/>
            </w:tcMar>
            <w:vAlign w:val="center"/>
          </w:tcPr>
          <w:p>
            <w:pPr>
              <w:spacing w:after="0"/>
            </w:pPr>
            <w:r>
              <w:t>CurrentOfficial + TrendResearch</w:t>
            </w:r>
          </w:p>
        </w:tc>
      </w:tr>
      <w:tr>
        <w:tc>
          <w:tcPr>
            <w:tcW w:type="dxa" w:w="792"/>
            <w:tcMar>
              <w:top w:w="90" w:type="dxa"/>
              <w:start w:w="100" w:type="dxa"/>
              <w:bottom w:w="90" w:type="dxa"/>
              <w:end w:w="100" w:type="dxa"/>
            </w:tcMar>
            <w:vAlign w:val="center"/>
            <w:shd w:fill="D9EAF7"/>
          </w:tcPr>
          <w:p>
            <w:pPr>
              <w:pStyle w:val="FlowLabel"/>
              <w:jc w:val="center"/>
            </w:pPr>
            <w:r>
              <w:t>2</w:t>
            </w:r>
          </w:p>
        </w:tc>
        <w:tc>
          <w:tcPr>
            <w:tcW w:type="dxa" w:w="2448"/>
            <w:tcMar>
              <w:top w:w="90" w:type="dxa"/>
              <w:start w:w="100" w:type="dxa"/>
              <w:bottom w:w="90" w:type="dxa"/>
              <w:end w:w="100" w:type="dxa"/>
            </w:tcMar>
            <w:vAlign w:val="center"/>
            <w:shd w:fill="EAF1F8"/>
          </w:tcPr>
          <w:p>
            <w:pPr>
              <w:pStyle w:val="FlowLabel"/>
            </w:pPr>
            <w:r>
              <w:t>Fetch &amp; Ingest</w:t>
            </w:r>
          </w:p>
        </w:tc>
        <w:tc>
          <w:tcPr>
            <w:tcW w:type="dxa" w:w="6840"/>
            <w:tcMar>
              <w:top w:w="90" w:type="dxa"/>
              <w:start w:w="100" w:type="dxa"/>
              <w:bottom w:w="90" w:type="dxa"/>
              <w:end w:w="100" w:type="dxa"/>
            </w:tcMar>
            <w:vAlign w:val="center"/>
          </w:tcPr>
          <w:p>
            <w:pPr>
              <w:spacing w:after="0"/>
            </w:pPr>
            <w:r>
              <w:t>Normalize and persist RawSourceItems</w:t>
            </w:r>
          </w:p>
        </w:tc>
      </w:tr>
      <w:tr>
        <w:tc>
          <w:tcPr>
            <w:tcW w:type="dxa" w:w="792"/>
            <w:tcMar>
              <w:top w:w="90" w:type="dxa"/>
              <w:start w:w="100" w:type="dxa"/>
              <w:bottom w:w="90" w:type="dxa"/>
              <w:end w:w="100" w:type="dxa"/>
            </w:tcMar>
            <w:vAlign w:val="center"/>
            <w:shd w:fill="D9EAF7"/>
          </w:tcPr>
          <w:p>
            <w:pPr>
              <w:pStyle w:val="FlowLabel"/>
              <w:jc w:val="center"/>
            </w:pPr>
            <w:r>
              <w:t>3</w:t>
            </w:r>
          </w:p>
        </w:tc>
        <w:tc>
          <w:tcPr>
            <w:tcW w:type="dxa" w:w="2448"/>
            <w:tcMar>
              <w:top w:w="90" w:type="dxa"/>
              <w:start w:w="100" w:type="dxa"/>
              <w:bottom w:w="90" w:type="dxa"/>
              <w:end w:w="100" w:type="dxa"/>
            </w:tcMar>
            <w:vAlign w:val="center"/>
            <w:shd w:fill="EAF1F8"/>
          </w:tcPr>
          <w:p>
            <w:pPr>
              <w:pStyle w:val="FlowLabel"/>
            </w:pPr>
            <w:r>
              <w:t>Analyze</w:t>
            </w:r>
          </w:p>
        </w:tc>
        <w:tc>
          <w:tcPr>
            <w:tcW w:type="dxa" w:w="6840"/>
            <w:tcMar>
              <w:top w:w="90" w:type="dxa"/>
              <w:start w:w="100" w:type="dxa"/>
              <w:bottom w:w="90" w:type="dxa"/>
              <w:end w:w="100" w:type="dxa"/>
            </w:tcMar>
            <w:vAlign w:val="center"/>
          </w:tcPr>
          <w:p>
            <w:pPr>
              <w:spacing w:after="0"/>
            </w:pPr>
            <w:r>
              <w:t>Current updates -&gt; IntelligenceItems</w:t>
              <w:br/>
              <w:t>Research -&gt; TrendEvidence</w:t>
            </w:r>
          </w:p>
        </w:tc>
      </w:tr>
      <w:tr>
        <w:tc>
          <w:tcPr>
            <w:tcW w:type="dxa" w:w="792"/>
            <w:tcMar>
              <w:top w:w="90" w:type="dxa"/>
              <w:start w:w="100" w:type="dxa"/>
              <w:bottom w:w="90" w:type="dxa"/>
              <w:end w:w="100" w:type="dxa"/>
            </w:tcMar>
            <w:vAlign w:val="center"/>
            <w:shd w:fill="D9EAF7"/>
          </w:tcPr>
          <w:p>
            <w:pPr>
              <w:pStyle w:val="FlowLabel"/>
              <w:jc w:val="center"/>
            </w:pPr>
            <w:r>
              <w:t>4</w:t>
            </w:r>
          </w:p>
        </w:tc>
        <w:tc>
          <w:tcPr>
            <w:tcW w:type="dxa" w:w="2448"/>
            <w:tcMar>
              <w:top w:w="90" w:type="dxa"/>
              <w:start w:w="100" w:type="dxa"/>
              <w:bottom w:w="90" w:type="dxa"/>
              <w:end w:w="100" w:type="dxa"/>
            </w:tcMar>
            <w:vAlign w:val="center"/>
            <w:shd w:fill="EAF1F8"/>
          </w:tcPr>
          <w:p>
            <w:pPr>
              <w:pStyle w:val="FlowLabel"/>
            </w:pPr>
            <w:r>
              <w:t>Clean &amp; Consolidate</w:t>
            </w:r>
          </w:p>
        </w:tc>
        <w:tc>
          <w:tcPr>
            <w:tcW w:type="dxa" w:w="6840"/>
            <w:tcMar>
              <w:top w:w="90" w:type="dxa"/>
              <w:start w:w="100" w:type="dxa"/>
              <w:bottom w:w="90" w:type="dxa"/>
              <w:end w:w="100" w:type="dxa"/>
            </w:tcMar>
            <w:vAlign w:val="center"/>
          </w:tcPr>
          <w:p>
            <w:pPr>
              <w:spacing w:after="0"/>
            </w:pPr>
            <w:r>
              <w:t>Concept / family classification, de-duplication, canonical trend selection</w:t>
            </w:r>
          </w:p>
        </w:tc>
      </w:tr>
      <w:tr>
        <w:tc>
          <w:tcPr>
            <w:tcW w:type="dxa" w:w="792"/>
            <w:tcMar>
              <w:top w:w="90" w:type="dxa"/>
              <w:start w:w="100" w:type="dxa"/>
              <w:bottom w:w="90" w:type="dxa"/>
              <w:end w:w="100" w:type="dxa"/>
            </w:tcMar>
            <w:vAlign w:val="center"/>
            <w:shd w:fill="D9EAF7"/>
          </w:tcPr>
          <w:p>
            <w:pPr>
              <w:pStyle w:val="FlowLabel"/>
              <w:jc w:val="center"/>
            </w:pPr>
            <w:r>
              <w:t>5</w:t>
            </w:r>
          </w:p>
        </w:tc>
        <w:tc>
          <w:tcPr>
            <w:tcW w:type="dxa" w:w="2448"/>
            <w:tcMar>
              <w:top w:w="90" w:type="dxa"/>
              <w:start w:w="100" w:type="dxa"/>
              <w:bottom w:w="90" w:type="dxa"/>
              <w:end w:w="100" w:type="dxa"/>
            </w:tcMar>
            <w:vAlign w:val="center"/>
            <w:shd w:fill="EAF1F8"/>
          </w:tcPr>
          <w:p>
            <w:pPr>
              <w:pStyle w:val="FlowLabel"/>
            </w:pPr>
            <w:r>
              <w:t>Rank Candidates</w:t>
            </w:r>
          </w:p>
        </w:tc>
        <w:tc>
          <w:tcPr>
            <w:tcW w:type="dxa" w:w="6840"/>
            <w:tcMar>
              <w:top w:w="90" w:type="dxa"/>
              <w:start w:w="100" w:type="dxa"/>
              <w:bottom w:w="90" w:type="dxa"/>
              <w:end w:w="100" w:type="dxa"/>
            </w:tcMar>
            <w:vAlign w:val="center"/>
          </w:tcPr>
          <w:p>
            <w:pPr>
              <w:spacing w:after="0"/>
            </w:pPr>
            <w:r>
              <w:t>Deterministic semantic ranking selects only relevant trend candidates</w:t>
            </w:r>
          </w:p>
        </w:tc>
      </w:tr>
      <w:tr>
        <w:tc>
          <w:tcPr>
            <w:tcW w:type="dxa" w:w="792"/>
            <w:tcMar>
              <w:top w:w="90" w:type="dxa"/>
              <w:start w:w="100" w:type="dxa"/>
              <w:bottom w:w="90" w:type="dxa"/>
              <w:end w:w="100" w:type="dxa"/>
            </w:tcMar>
            <w:vAlign w:val="center"/>
            <w:shd w:fill="D9EAF7"/>
          </w:tcPr>
          <w:p>
            <w:pPr>
              <w:pStyle w:val="FlowLabel"/>
              <w:jc w:val="center"/>
            </w:pPr>
            <w:r>
              <w:t>6</w:t>
            </w:r>
          </w:p>
        </w:tc>
        <w:tc>
          <w:tcPr>
            <w:tcW w:type="dxa" w:w="2448"/>
            <w:tcMar>
              <w:top w:w="90" w:type="dxa"/>
              <w:start w:w="100" w:type="dxa"/>
              <w:bottom w:w="90" w:type="dxa"/>
              <w:end w:w="100" w:type="dxa"/>
            </w:tcMar>
            <w:vAlign w:val="center"/>
            <w:shd w:fill="EAF1F8"/>
          </w:tcPr>
          <w:p>
            <w:pPr>
              <w:pStyle w:val="FlowLabel"/>
            </w:pPr>
            <w:r>
              <w:t>Correlate</w:t>
            </w:r>
          </w:p>
        </w:tc>
        <w:tc>
          <w:tcPr>
            <w:tcW w:type="dxa" w:w="6840"/>
            <w:tcMar>
              <w:top w:w="90" w:type="dxa"/>
              <w:start w:w="100" w:type="dxa"/>
              <w:bottom w:w="90" w:type="dxa"/>
              <w:end w:w="100" w:type="dxa"/>
            </w:tcMar>
            <w:vAlign w:val="center"/>
          </w:tcPr>
          <w:p>
            <w:pPr>
              <w:spacing w:after="0"/>
            </w:pPr>
            <w:r>
              <w:t>LLM assigns Supports / Extends / Contradicts / InsufficientEvidence</w:t>
            </w:r>
          </w:p>
        </w:tc>
      </w:tr>
      <w:tr>
        <w:tc>
          <w:tcPr>
            <w:tcW w:type="dxa" w:w="792"/>
            <w:tcMar>
              <w:top w:w="90" w:type="dxa"/>
              <w:start w:w="100" w:type="dxa"/>
              <w:bottom w:w="90" w:type="dxa"/>
              <w:end w:w="100" w:type="dxa"/>
            </w:tcMar>
            <w:vAlign w:val="center"/>
            <w:shd w:fill="D9EAF7"/>
          </w:tcPr>
          <w:p>
            <w:pPr>
              <w:pStyle w:val="FlowLabel"/>
              <w:jc w:val="center"/>
            </w:pPr>
            <w:r>
              <w:t>7</w:t>
            </w:r>
          </w:p>
        </w:tc>
        <w:tc>
          <w:tcPr>
            <w:tcW w:type="dxa" w:w="2448"/>
            <w:tcMar>
              <w:top w:w="90" w:type="dxa"/>
              <w:start w:w="100" w:type="dxa"/>
              <w:bottom w:w="90" w:type="dxa"/>
              <w:end w:w="100" w:type="dxa"/>
            </w:tcMar>
            <w:vAlign w:val="center"/>
            <w:shd w:fill="EAF1F8"/>
          </w:tcPr>
          <w:p>
            <w:pPr>
              <w:pStyle w:val="FlowLabel"/>
            </w:pPr>
            <w:r>
              <w:t>Interpret by Persona</w:t>
            </w:r>
          </w:p>
        </w:tc>
        <w:tc>
          <w:tcPr>
            <w:tcW w:type="dxa" w:w="6840"/>
            <w:tcMar>
              <w:top w:w="90" w:type="dxa"/>
              <w:start w:w="100" w:type="dxa"/>
              <w:bottom w:w="90" w:type="dxa"/>
              <w:end w:w="100" w:type="dxa"/>
            </w:tcMar>
            <w:vAlign w:val="center"/>
          </w:tcPr>
          <w:p>
            <w:pPr>
              <w:spacing w:after="0"/>
            </w:pPr>
            <w:r>
              <w:t>Developer, QA, BA, PM and Sales role briefs</w:t>
            </w:r>
          </w:p>
        </w:tc>
      </w:tr>
      <w:tr>
        <w:tc>
          <w:tcPr>
            <w:tcW w:type="dxa" w:w="792"/>
            <w:tcMar>
              <w:top w:w="90" w:type="dxa"/>
              <w:start w:w="100" w:type="dxa"/>
              <w:bottom w:w="90" w:type="dxa"/>
              <w:end w:w="100" w:type="dxa"/>
            </w:tcMar>
            <w:vAlign w:val="center"/>
            <w:shd w:fill="D9EAF7"/>
          </w:tcPr>
          <w:p>
            <w:pPr>
              <w:pStyle w:val="FlowLabel"/>
              <w:jc w:val="center"/>
            </w:pPr>
            <w:r>
              <w:t>8</w:t>
            </w:r>
          </w:p>
        </w:tc>
        <w:tc>
          <w:tcPr>
            <w:tcW w:type="dxa" w:w="2448"/>
            <w:tcMar>
              <w:top w:w="90" w:type="dxa"/>
              <w:start w:w="100" w:type="dxa"/>
              <w:bottom w:w="90" w:type="dxa"/>
              <w:end w:w="100" w:type="dxa"/>
            </w:tcMar>
            <w:vAlign w:val="center"/>
            <w:shd w:fill="EAF1F8"/>
          </w:tcPr>
          <w:p>
            <w:pPr>
              <w:pStyle w:val="FlowLabel"/>
            </w:pPr>
            <w:r>
              <w:t>Compose Report</w:t>
            </w:r>
          </w:p>
        </w:tc>
        <w:tc>
          <w:tcPr>
            <w:tcW w:type="dxa" w:w="6840"/>
            <w:tcMar>
              <w:top w:w="90" w:type="dxa"/>
              <w:start w:w="100" w:type="dxa"/>
              <w:bottom w:w="90" w:type="dxa"/>
              <w:end w:w="100" w:type="dxa"/>
            </w:tcMar>
            <w:vAlign w:val="center"/>
          </w:tcPr>
          <w:p>
            <w:pPr>
              <w:spacing w:after="0"/>
            </w:pPr>
            <w:r>
              <w:t>Executive highlights + current developments + trends + mappings + evidence + sources</w:t>
            </w:r>
          </w:p>
        </w:tc>
      </w:tr>
      <w:tr>
        <w:tc>
          <w:tcPr>
            <w:tcW w:type="dxa" w:w="792"/>
            <w:tcMar>
              <w:top w:w="90" w:type="dxa"/>
              <w:start w:w="100" w:type="dxa"/>
              <w:bottom w:w="90" w:type="dxa"/>
              <w:end w:w="100" w:type="dxa"/>
            </w:tcMar>
            <w:vAlign w:val="center"/>
            <w:shd w:fill="D9EAF7"/>
          </w:tcPr>
          <w:p>
            <w:pPr>
              <w:pStyle w:val="FlowLabel"/>
              <w:jc w:val="center"/>
            </w:pPr>
            <w:r>
              <w:t>9</w:t>
            </w:r>
          </w:p>
        </w:tc>
        <w:tc>
          <w:tcPr>
            <w:tcW w:type="dxa" w:w="2448"/>
            <w:tcMar>
              <w:top w:w="90" w:type="dxa"/>
              <w:start w:w="100" w:type="dxa"/>
              <w:bottom w:w="90" w:type="dxa"/>
              <w:end w:w="100" w:type="dxa"/>
            </w:tcMar>
            <w:vAlign w:val="center"/>
            <w:shd w:fill="EAF1F8"/>
          </w:tcPr>
          <w:p>
            <w:pPr>
              <w:pStyle w:val="FlowLabel"/>
            </w:pPr>
            <w:r>
              <w:t>Publish Output</w:t>
            </w:r>
          </w:p>
        </w:tc>
        <w:tc>
          <w:tcPr>
            <w:tcW w:type="dxa" w:w="6840"/>
            <w:tcMar>
              <w:top w:w="90" w:type="dxa"/>
              <w:start w:w="100" w:type="dxa"/>
              <w:bottom w:w="90" w:type="dxa"/>
              <w:end w:w="100" w:type="dxa"/>
            </w:tcMar>
            <w:vAlign w:val="center"/>
          </w:tcPr>
          <w:p>
            <w:pPr>
              <w:spacing w:after="0"/>
            </w:pPr>
            <w:r>
              <w:t>Markdown is canonical; DOCX generated deterministically from Markdown</w:t>
            </w:r>
          </w:p>
        </w:tc>
      </w:tr>
    </w:tbl>
    <w:p>
      <w:pPr>
        <w:pStyle w:val="Heading1"/>
        <w:keepNext/>
      </w:pPr>
      <w:r>
        <w:t>1. Raw Data Collection</w:t>
      </w:r>
    </w:p>
    <w:p>
      <w:pPr>
        <w:pStyle w:val="ListBullet"/>
        <w:spacing w:after="20"/>
      </w:pPr>
      <w:r>
        <w:t>Pull updates only from curated, trusted sources rather than the open web.</w:t>
      </w:r>
    </w:p>
    <w:p>
      <w:pPr>
        <w:pStyle w:val="ListBullet"/>
        <w:spacing w:after="20"/>
      </w:pPr>
      <w:r>
        <w:t>CurrentOfficial sources capture vendor/product changes such as Microsoft AI/Foundry blogs, official release notes, and GitHub releases.</w:t>
      </w:r>
    </w:p>
    <w:p>
      <w:pPr>
        <w:pStyle w:val="ListBullet"/>
        <w:spacing w:after="20"/>
      </w:pPr>
      <w:r>
        <w:t>TrendResearch sources capture broader industry direction using research publications such as Stanford AI Index, State of AI, and other configured trend sources.</w:t>
      </w:r>
    </w:p>
    <w:p>
      <w:pPr>
        <w:pStyle w:val="ListBullet"/>
        <w:spacing w:after="20"/>
      </w:pPr>
      <w:r>
        <w:t>Each raw item is stored with source, URL, date, source class, and provenance so later conclusions remain traceable.</w:t>
      </w:r>
    </w:p>
    <w:p>
      <w:pPr>
        <w:pStyle w:val="Heading1"/>
        <w:keepNext/>
      </w:pPr>
      <w:r>
        <w:t>2. Current Intelligence Selection and Ranking</w:t>
      </w:r>
    </w:p>
    <w:p>
      <w:pPr>
        <w:pStyle w:val="ListBullet"/>
        <w:spacing w:after="20"/>
      </w:pPr>
      <w:r>
        <w:t>Do not send every raw item to the LLM; obvious noise is removed first using deterministic filters.</w:t>
      </w:r>
    </w:p>
    <w:p>
      <w:pPr>
        <w:pStyle w:val="ListBullet"/>
        <w:spacing w:after="20"/>
      </w:pPr>
      <w:r>
        <w:t>CurrentOfficial items are prioritized using AI relevance signals so AI/Foundry updates rank above generic runtime or patch-release boilerplate.</w:t>
      </w:r>
    </w:p>
    <w:p>
      <w:pPr>
        <w:pStyle w:val="ListBullet"/>
        <w:spacing w:after="20"/>
      </w:pPr>
      <w:r>
        <w:t>The LLM then decides whether an item is genuinely relevant AI intelligence and extracts structured facts only for relevant items.</w:t>
      </w:r>
    </w:p>
    <w:p>
      <w:pPr>
        <w:pStyle w:val="ListBullet"/>
        <w:spacing w:after="20"/>
      </w:pPr>
      <w:r>
        <w:t>Only relevant items are persisted as IntelligenceItems, reducing noise and unnecessary model calls.</w:t>
      </w:r>
    </w:p>
    <w:p>
      <w:pPr>
        <w:pStyle w:val="Heading1"/>
        <w:keepNext/>
      </w:pPr>
      <w:r>
        <w:t>3. Trend Extraction, De-duplication and Canonicalization</w:t>
      </w:r>
    </w:p>
    <w:p>
      <w:pPr>
        <w:pStyle w:val="ListBullet"/>
        <w:spacing w:after="20"/>
      </w:pPr>
      <w:r>
        <w:t>Research reports are processed separately from current vendor updates.</w:t>
      </w:r>
    </w:p>
    <w:p>
      <w:pPr>
        <w:pStyle w:val="ListBullet"/>
        <w:spacing w:after="20"/>
      </w:pPr>
      <w:r>
        <w:t>The LLM extracts broader signals such as model-performance trends, AI adoption, investment, productivity, benchmark saturation, evaluation reliability, and open-vs-closed model movement.</w:t>
      </w:r>
    </w:p>
    <w:p>
      <w:pPr>
        <w:pStyle w:val="ListBullet"/>
        <w:spacing w:after="20"/>
      </w:pPr>
      <w:r>
        <w:t>Each extracted trend is stored as TrendEvidence with supporting evidence, time period, confidence, source URL, concept tags, and a deterministic TrendFamily where applicable.</w:t>
      </w:r>
    </w:p>
    <w:p>
      <w:pPr>
        <w:pStyle w:val="ListBullet"/>
        <w:spacing w:after="20"/>
      </w:pPr>
      <w:r>
        <w:t>Exact and near-duplicate trends are consolidated using normalized topic/finding signals, concept tags, trend family, source/publication context, confidence, and evidence quality. The original evidence is retained, while a canonical representative is selected for downstream use.</w:t>
      </w:r>
    </w:p>
    <w:p>
      <w:pPr>
        <w:pStyle w:val="ListBullet"/>
        <w:spacing w:after="20"/>
      </w:pPr>
      <w:r>
        <w:t>Report-time canonicalization applies an additional bounded de-duplication pass so multiple variants of the same broader finding do not consume report space.</w:t>
      </w:r>
    </w:p>
    <w:p>
      <w:pPr>
        <w:pStyle w:val="Heading1"/>
        <w:keepNext/>
      </w:pPr>
      <w:r>
        <w:t>4. Current Development to Trend Mapping</w:t>
      </w:r>
    </w:p>
    <w:p>
      <w:pPr>
        <w:pStyle w:val="ListBullet"/>
        <w:spacing w:after="20"/>
      </w:pPr>
      <w:r>
        <w:t>For each IntelligenceItem, the application first performs deterministic candidate ranking so only a small, relevant set of TrendEvidence reaches the LLM.</w:t>
      </w:r>
    </w:p>
    <w:p>
      <w:pPr>
        <w:pStyle w:val="ListBullet"/>
        <w:spacing w:after="20"/>
      </w:pPr>
      <w:r>
        <w:t>Ranking considers topic/category overlap, product or framework relevance, AI concept tags, specific-concept matches, publication period, confidence, source independence, trend-family compatibility, and semantic/token overlap.</w:t>
      </w:r>
    </w:p>
    <w:p>
      <w:pPr>
        <w:pStyle w:val="ListBullet"/>
        <w:spacing w:after="20"/>
      </w:pPr>
      <w:r>
        <w:t>Semantic relevance dominates the score: generic matches such as "AI", "model", or a broad TrendFamily do not create a positive relationship by themselves. Unrelated candidates can be marked ineligible and receive no score.</w:t>
      </w:r>
    </w:p>
    <w:p>
      <w:pPr>
        <w:pStyle w:val="ListBullet"/>
        <w:spacing w:after="20"/>
      </w:pPr>
      <w:r>
        <w:t>The selector ranks candidates only; it does not assign the relationship. The LLM independently evaluates the strongest candidates as Supports, Extends, Contradicts, or InsufficientEvidence.</w:t>
      </w:r>
    </w:p>
    <w:p>
      <w:pPr>
        <w:pStyle w:val="ListBullet"/>
        <w:spacing w:after="20"/>
      </w:pPr>
      <w:r>
        <w:t>InsufficientEvidence is a deliberate outcome. The system does not force a relationship simply because two items are broadly about AI.</w:t>
      </w:r>
    </w:p>
    <w:p>
      <w:pPr>
        <w:pStyle w:val="ListBullet"/>
        <w:spacing w:after="20"/>
      </w:pPr>
      <w:r>
        <w:t>The main report shows a concise mapping rationale, while detailed source facts and interpretation remain available in the Evidence Appendix.</w:t>
      </w:r>
    </w:p>
    <w:p>
      <w:pPr>
        <w:pStyle w:val="Heading1"/>
        <w:keepNext/>
      </w:pPr>
      <w:r>
        <w:t>5. Persona-Based Interpretation</w:t>
      </w:r>
    </w:p>
    <w:p>
      <w:pPr>
        <w:pStyle w:val="ListBullet"/>
        <w:spacing w:after="20"/>
      </w:pPr>
      <w:r>
        <w:t>The same evidence is interpreted independently for Developer, QA, Business Analyst, Project Manager, and Sales personas.</w:t>
      </w:r>
    </w:p>
    <w:p>
      <w:pPr>
        <w:pStyle w:val="ListBullet"/>
        <w:spacing w:after="20"/>
      </w:pPr>
      <w:r>
        <w:t>Developer focus: APIs, SDKs, architecture, frameworks, implementation, evaluation, observability, and migration impact.</w:t>
      </w:r>
    </w:p>
    <w:p>
      <w:pPr>
        <w:pStyle w:val="ListBullet"/>
        <w:spacing w:after="20"/>
      </w:pPr>
      <w:r>
        <w:t>QA focus: testing, regression, non-determinism, reproducibility, safety, sandboxing, reliability, and observability.</w:t>
      </w:r>
    </w:p>
    <w:p>
      <w:pPr>
        <w:pStyle w:val="ListBullet"/>
        <w:spacing w:after="20"/>
      </w:pPr>
      <w:r>
        <w:t>Business Analyst focus: workflows, requirements, acceptance criteria, vendor/workload fit, business use cases, and capability constraints.</w:t>
      </w:r>
    </w:p>
    <w:p>
      <w:pPr>
        <w:pStyle w:val="ListBullet"/>
        <w:spacing w:after="20"/>
      </w:pPr>
      <w:r>
        <w:t>Project Manager focus: delivery impact, dependencies, skills, sequencing, pilot risk, governance, and adoption readiness.</w:t>
      </w:r>
    </w:p>
    <w:p>
      <w:pPr>
        <w:pStyle w:val="ListBullet"/>
        <w:spacing w:after="20"/>
      </w:pPr>
      <w:r>
        <w:t>Sales focus: customer relevance, qualification, differentiators, POC framing, opportunities, and caveats that should not be oversold.</w:t>
      </w:r>
    </w:p>
    <w:p>
      <w:pPr>
        <w:pStyle w:val="ListBullet"/>
        <w:spacing w:after="20"/>
      </w:pPr>
      <w:r>
        <w:t>Persona output is structured as concise role briefs with bounded key signals, implications, actions, questions, and watch items so the report remains readable.</w:t>
      </w:r>
    </w:p>
    <w:p>
      <w:pPr>
        <w:pStyle w:val="Heading1"/>
        <w:keepNext/>
      </w:pPr>
      <w:r>
        <w:t>6. Report Generation</w:t>
      </w:r>
    </w:p>
    <w:p>
      <w:pPr>
        <w:pStyle w:val="ListBullet"/>
        <w:spacing w:after="20"/>
      </w:pPr>
      <w:r>
        <w:t>The report combines Executive Highlights, key current developments, canonical broader AI trends, compact current-vs-trend mappings, persona role briefs, detailed correlation evidence, and numbered source references.</w:t>
      </w:r>
    </w:p>
    <w:p>
      <w:pPr>
        <w:pStyle w:val="ListBullet"/>
        <w:spacing w:after="20"/>
      </w:pPr>
      <w:r>
        <w:t>Claims are generated from persisted IntelligenceItems and TrendEvidence rather than from uncontrolled web searching.</w:t>
      </w:r>
    </w:p>
    <w:p>
      <w:pPr>
        <w:pStyle w:val="ListBullet"/>
        <w:spacing w:after="20"/>
      </w:pPr>
      <w:r>
        <w:t>A single deterministic source index is used throughout the report so references such as [1], [7], and [13] resolve consistently to the Source References section.</w:t>
      </w:r>
    </w:p>
    <w:p>
      <w:pPr>
        <w:pStyle w:val="ListBullet"/>
        <w:spacing w:after="20"/>
      </w:pPr>
      <w:r>
        <w:t>Markdown is the canonical report format. DOCX is generated deterministically from the Markdown, preserving headings, bullets, numbered lists, hyperlinks, source numbering, and XML-safe text handling.</w:t>
      </w:r>
    </w:p>
    <w:p>
      <w:pPr>
        <w:pStyle w:val="ListBullet"/>
        <w:spacing w:after="20"/>
      </w:pPr>
      <w:r>
        <w:t>The main report is optimized for scanning, while the Evidence Appendix preserves full correlation explanations and provenance for auditability.</w:t>
      </w:r>
    </w:p>
    <w:p>
      <w:pPr>
        <w:pStyle w:val="Heading1"/>
        <w:keepNext/>
      </w:pPr>
      <w:r>
        <w:t>7. Agentic Orchestration</w:t>
      </w:r>
    </w:p>
    <w:p>
      <w:pPr>
        <w:pStyle w:val="ListBullet"/>
        <w:spacing w:after="20"/>
      </w:pPr>
      <w:r>
        <w:t>Microsoft Agent Framework coordinates the end-to-end workflow without replacing deterministic business logic.</w:t>
      </w:r>
    </w:p>
    <w:p>
      <w:pPr>
        <w:pStyle w:val="ListBullet"/>
        <w:spacing w:after="20"/>
      </w:pPr>
      <w:r>
        <w:t>The current sequence is: Ingest -&gt; Analyze Current -&gt; Analyze Trends -&gt; Correlate -&gt; Generate Personas -&gt; Render Markdown -&gt; Generate DOCX.</w:t>
      </w:r>
    </w:p>
    <w:p>
      <w:pPr>
        <w:pStyle w:val="ListBullet"/>
        <w:spacing w:after="20"/>
      </w:pPr>
      <w:r>
        <w:t>Filtering, de-duplication, concept/family classification, candidate ranking, limits, persistence, provenance, canonical trend selection, source indexing, and document rendering remain deterministic and controlled.</w:t>
      </w:r>
    </w:p>
    <w:p>
      <w:pPr>
        <w:pStyle w:val="ListBullet"/>
        <w:spacing w:after="20"/>
      </w:pPr>
      <w:r>
        <w:t>The agentic layer provides a foundation for future capabilities such as topic-specific reports, persona-specific reports, Teams publishing, approval steps, research tools, and historical retrieval.</w:t>
      </w:r>
    </w:p>
    <w:p>
      <w:pPr>
        <w:pStyle w:val="Heading1"/>
        <w:keepNext/>
      </w:pPr>
      <w:r>
        <w:t>Why We Designed It This Way</w:t>
      </w:r>
    </w:p>
    <w:p>
      <w:pPr>
        <w:pStyle w:val="ListBullet"/>
        <w:spacing w:after="20"/>
      </w:pPr>
      <w:r>
        <w:t>Less noise: irrelevant release notes, duplicate trends, and generic updates are filtered or consolidated before expensive reasoning.</w:t>
      </w:r>
    </w:p>
    <w:p>
      <w:pPr>
        <w:pStyle w:val="ListBullet"/>
        <w:spacing w:after="20"/>
      </w:pPr>
      <w:r>
        <w:t>Better ranking: only the strongest semantically relevant trend candidates are sent to the LLM for relationship evaluation.</w:t>
      </w:r>
    </w:p>
    <w:p>
      <w:pPr>
        <w:pStyle w:val="ListBullet"/>
        <w:spacing w:after="20"/>
      </w:pPr>
      <w:r>
        <w:t>Better context: current announcements are evaluated against broader industry and research evidence rather than being summarized in isolation.</w:t>
      </w:r>
    </w:p>
    <w:p>
      <w:pPr>
        <w:pStyle w:val="ListBullet"/>
        <w:spacing w:after="20"/>
      </w:pPr>
      <w:r>
        <w:t>Role relevance: the same evidence is translated differently for technical, delivery, business, and sales audiences.</w:t>
      </w:r>
    </w:p>
    <w:p>
      <w:pPr>
        <w:pStyle w:val="ListBullet"/>
        <w:spacing w:after="20"/>
      </w:pPr>
      <w:r>
        <w:t>Evidence discipline: weak relationships remain InsufficientEvidence instead of becoming unsupported claims.</w:t>
      </w:r>
    </w:p>
    <w:p>
      <w:pPr>
        <w:pStyle w:val="ListBullet"/>
        <w:spacing w:after="20"/>
      </w:pPr>
      <w:r>
        <w:t>Traceability: important observations retain source URLs, provenance, confidence, and numbered references.</w:t>
      </w:r>
    </w:p>
    <w:p>
      <w:pPr>
        <w:pStyle w:val="ListBullet"/>
        <w:spacing w:after="20"/>
      </w:pPr>
      <w:r>
        <w:t>Readability: the main report uses concise cards and role briefs while detailed evidence is moved to an appendix.</w:t>
      </w:r>
    </w:p>
    <w:p>
      <w:pPr>
        <w:pStyle w:val="ListBullet"/>
        <w:spacing w:after="20"/>
      </w:pPr>
      <w:r>
        <w:t>Extensibility: the agentic orchestration layer can add new capabilities later without rewriting the working intelligence pipeline.</w:t>
      </w:r>
    </w:p>
    <w:p>
      <w:pPr>
        <w:pStyle w:val="Heading1"/>
        <w:keepNext/>
      </w:pPr>
      <w:r>
        <w:t>Positioning</w:t>
      </w:r>
    </w:p>
    <w:p>
      <w:r>
        <w:t>We are not simply summarizing AI news. We have built an evidence-driven intelligence pipeline that separates current vendor developments from independent trend research, filters and ranks meaningful AI signals, de-duplicates and consolidates broader trend evidence, correlates current developments with the most relevant industry movement, and translates the implications for different organizational personas. The result is a source-traceable, role-aware intelligence output designed to support faster and better-informed decisions.</w:t>
      </w:r>
    </w:p>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060"/>
        <w:sz w:val="18"/>
      </w:rPr>
      <w:t>AI Technology Intelligence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Label">
    <w:name w:val="Flow Label"/>
    <w:pPr>
      <w:spacing w:after="0" w:before="0"/>
    </w:pPr>
    <w:rPr>
      <w:rFonts w:ascii="Aptos" w:hAnsi="Aptos"/>
      <w: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Technology Intelligence Report Generation - Synopsis</dc:title>
  <dc:subject>Updated intelligence pipeline synopsis including ranking, deduplication, correlation and report generation flow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