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drawing>
          <wp:inline distB="0" distT="0" distL="0" distR="0">
            <wp:extent cx="1409700" cy="466725"/>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097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after="40" w:lineRule="auto"/>
        <w:rPr/>
      </w:pPr>
      <w:r w:rsidDel="00000000" w:rsidR="00000000" w:rsidRPr="00000000">
        <w:rPr>
          <w:rFonts w:ascii="Arial" w:cs="Arial" w:eastAsia="Arial" w:hAnsi="Arial"/>
          <w:b w:val="1"/>
          <w:bCs w:val="1"/>
          <w:color w:val="1e2b28"/>
          <w:sz w:val="32"/>
          <w:szCs w:val="32"/>
          <w:rtl w:val="0"/>
        </w:rPr>
        <w:t xml:space="preserve">CareMap Physician Dashboard</w:t>
      </w:r>
      <w:r w:rsidDel="00000000" w:rsidR="00000000" w:rsidRPr="00000000">
        <w:rPr>
          <w:rtl w:val="0"/>
        </w:rPr>
      </w:r>
    </w:p>
    <w:p w:rsidR="00000000" w:rsidDel="00000000" w:rsidP="00000000" w:rsidRDefault="00000000" w:rsidRPr="00000000" w14:paraId="00000003">
      <w:pPr>
        <w:spacing w:after="120" w:before="0" w:line="270" w:lineRule="auto"/>
        <w:rPr/>
      </w:pPr>
      <w:r w:rsidDel="00000000" w:rsidR="00000000" w:rsidRPr="00000000">
        <w:rPr>
          <w:rFonts w:ascii="Arial" w:cs="Arial" w:eastAsia="Arial" w:hAnsi="Arial"/>
          <w:color w:val="5e716c"/>
          <w:sz w:val="18"/>
          <w:szCs w:val="18"/>
          <w:rtl w:val="0"/>
        </w:rPr>
        <w:t xml:space="preserve">One screen. Every row opens a detail panel on the right.</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drawing>
          <wp:inline distB="0" distT="0" distL="0" distR="0">
            <wp:extent cx="7591425" cy="474345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591425"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0" w:line="270" w:lineRule="auto"/>
        <w:rPr/>
      </w:pPr>
      <w:r w:rsidDel="00000000" w:rsidR="00000000" w:rsidRPr="00000000">
        <w:rPr>
          <w:rFonts w:ascii="Arial" w:cs="Arial" w:eastAsia="Arial" w:hAnsi="Arial"/>
          <w:color w:val="5e716c"/>
          <w:sz w:val="16"/>
          <w:szCs w:val="16"/>
          <w:rtl w:val="0"/>
        </w:rPr>
        <w:t xml:space="preserve">Default state, showing Kidney Function. Nothing on this screen requires scrolling.</w:t>
      </w:r>
      <w:r w:rsidDel="00000000" w:rsidR="00000000" w:rsidRPr="00000000">
        <w:rPr>
          <w:rtl w:val="0"/>
        </w:rPr>
      </w:r>
    </w:p>
    <w:p w:rsidR="00000000" w:rsidDel="00000000" w:rsidP="00000000" w:rsidRDefault="00000000" w:rsidRPr="00000000" w14:paraId="00000006">
      <w:pPr>
        <w:pageBreakBefore w:val="1"/>
        <w:spacing w:after="40" w:before="0" w:line="270" w:lineRule="auto"/>
        <w:rPr/>
      </w:pPr>
      <w:r w:rsidDel="00000000" w:rsidR="00000000" w:rsidRPr="00000000">
        <w:rPr>
          <w:rFonts w:ascii="Arial" w:cs="Arial" w:eastAsia="Arial" w:hAnsi="Arial"/>
          <w:b w:val="1"/>
          <w:bCs w:val="1"/>
          <w:color w:val="1e2b28"/>
          <w:sz w:val="28"/>
          <w:szCs w:val="28"/>
          <w:rtl w:val="0"/>
        </w:rPr>
        <w:t xml:space="preserve">What clicking gives you</w:t>
      </w:r>
      <w:r w:rsidDel="00000000" w:rsidR="00000000" w:rsidRPr="00000000">
        <w:rPr>
          <w:rtl w:val="0"/>
        </w:rPr>
      </w:r>
    </w:p>
    <w:p w:rsidR="00000000" w:rsidDel="00000000" w:rsidP="00000000" w:rsidRDefault="00000000" w:rsidRPr="00000000" w14:paraId="00000007">
      <w:pPr>
        <w:spacing w:after="150" w:before="0" w:line="270" w:lineRule="auto"/>
        <w:rPr/>
      </w:pPr>
      <w:r w:rsidDel="00000000" w:rsidR="00000000" w:rsidRPr="00000000">
        <w:rPr>
          <w:rFonts w:ascii="Arial" w:cs="Arial" w:eastAsia="Arial" w:hAnsi="Arial"/>
          <w:color w:val="5e716c"/>
          <w:sz w:val="17"/>
          <w:szCs w:val="17"/>
          <w:rtl w:val="0"/>
        </w:rPr>
        <w:t xml:space="preserve">Each row opens its own panel. These four come from Important Updates and Out of Range.</w:t>
      </w:r>
      <w:r w:rsidDel="00000000" w:rsidR="00000000" w:rsidRPr="00000000">
        <w:rPr>
          <w:rtl w:val="0"/>
        </w:rPr>
      </w:r>
    </w:p>
    <w:tbl>
      <w:tblPr>
        <w:tblStyle w:val="Table1"/>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40"/>
        <w:gridCol w:w="3240"/>
        <w:gridCol w:w="3240"/>
        <w:gridCol w:w="3240"/>
        <w:tblGridChange w:id="0">
          <w:tblGrid>
            <w:gridCol w:w="3240"/>
            <w:gridCol w:w="3240"/>
            <w:gridCol w:w="3240"/>
            <w:gridCol w:w="3240"/>
          </w:tblGrid>
        </w:tblGridChange>
      </w:tblGrid>
      <w:tr>
        <w:trPr>
          <w:cantSplit w:val="1"/>
          <w:tblHeader w:val="0"/>
        </w:trPr>
        <w:tc>
          <w:tcPr>
            <w:tcMar>
              <w:top w:w="0.0" w:type="dxa"/>
              <w:left w:w="70.0" w:type="dxa"/>
              <w:bottom w:w="0.0" w:type="dxa"/>
              <w:right w:w="70.0" w:type="dxa"/>
            </w:tcMar>
            <w:vAlign w:val="top"/>
          </w:tcPr>
          <w:p w:rsidR="00000000" w:rsidDel="00000000" w:rsidP="00000000" w:rsidRDefault="00000000" w:rsidRPr="00000000" w14:paraId="00000008">
            <w:pPr>
              <w:spacing w:after="50" w:lineRule="auto"/>
              <w:rPr/>
            </w:pPr>
            <w:r w:rsidDel="00000000" w:rsidR="00000000" w:rsidRPr="00000000">
              <w:rPr>
                <w:rFonts w:ascii="Arial" w:cs="Arial" w:eastAsia="Arial" w:hAnsi="Arial"/>
                <w:b w:val="1"/>
                <w:bCs w:val="1"/>
                <w:color w:val="1e2b28"/>
                <w:sz w:val="17"/>
                <w:szCs w:val="17"/>
                <w:rtl w:val="0"/>
              </w:rPr>
              <w:t xml:space="preserve">Renal ultrasound</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Fonts w:ascii="Georgia" w:cs="Georgia" w:eastAsia="Georgia" w:hAnsi="Georgia"/>
                <w:color w:val="5e716c"/>
                <w:sz w:val="15"/>
                <w:szCs w:val="15"/>
                <w:rtl w:val="0"/>
              </w:rPr>
              <w:t xml:space="preserve">Days overdue, who ordered it, and why it matters now</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drawing>
                <wp:inline distB="0" distT="0" distL="0" distR="0">
                  <wp:extent cx="1924050" cy="5086350"/>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924050" cy="5086350"/>
                          </a:xfrm>
                          <a:prstGeom prst="rect"/>
                          <a:ln/>
                        </pic:spPr>
                      </pic:pic>
                    </a:graphicData>
                  </a:graphic>
                </wp:inline>
              </w:drawing>
            </w:r>
            <w:r w:rsidDel="00000000" w:rsidR="00000000" w:rsidRPr="00000000">
              <w:rPr>
                <w:rtl w:val="0"/>
              </w:rPr>
            </w:r>
          </w:p>
        </w:tc>
        <w:tc>
          <w:tcPr>
            <w:tcMar>
              <w:top w:w="0.0" w:type="dxa"/>
              <w:left w:w="70.0" w:type="dxa"/>
              <w:bottom w:w="0.0" w:type="dxa"/>
              <w:right w:w="70.0" w:type="dxa"/>
            </w:tcMar>
            <w:vAlign w:val="top"/>
          </w:tcPr>
          <w:p w:rsidR="00000000" w:rsidDel="00000000" w:rsidP="00000000" w:rsidRDefault="00000000" w:rsidRPr="00000000" w14:paraId="0000000B">
            <w:pPr>
              <w:spacing w:after="50" w:lineRule="auto"/>
              <w:rPr/>
            </w:pPr>
            <w:r w:rsidDel="00000000" w:rsidR="00000000" w:rsidRPr="00000000">
              <w:rPr>
                <w:rFonts w:ascii="Arial" w:cs="Arial" w:eastAsia="Arial" w:hAnsi="Arial"/>
                <w:b w:val="1"/>
                <w:bCs w:val="1"/>
                <w:color w:val="1e2b28"/>
                <w:sz w:val="17"/>
                <w:szCs w:val="17"/>
                <w:rtl w:val="0"/>
              </w:rPr>
              <w:t xml:space="preserve">Lisinopril</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rFonts w:ascii="Georgia" w:cs="Georgia" w:eastAsia="Georgia" w:hAnsi="Georgia"/>
                <w:color w:val="5e716c"/>
                <w:sz w:val="15"/>
                <w:szCs w:val="15"/>
                <w:rtl w:val="0"/>
              </w:rPr>
              <w:t xml:space="preserve">The dose change, and that eGFR has not been repeated since</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drawing>
                <wp:inline distB="0" distT="0" distL="0" distR="0">
                  <wp:extent cx="1924050" cy="5086350"/>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24050" cy="5086350"/>
                          </a:xfrm>
                          <a:prstGeom prst="rect"/>
                          <a:ln/>
                        </pic:spPr>
                      </pic:pic>
                    </a:graphicData>
                  </a:graphic>
                </wp:inline>
              </w:drawing>
            </w:r>
            <w:r w:rsidDel="00000000" w:rsidR="00000000" w:rsidRPr="00000000">
              <w:rPr>
                <w:rtl w:val="0"/>
              </w:rPr>
            </w:r>
          </w:p>
        </w:tc>
        <w:tc>
          <w:tcPr>
            <w:tcMar>
              <w:top w:w="0.0" w:type="dxa"/>
              <w:left w:w="70.0" w:type="dxa"/>
              <w:bottom w:w="0.0" w:type="dxa"/>
              <w:right w:w="70.0" w:type="dxa"/>
            </w:tcMar>
            <w:vAlign w:val="top"/>
          </w:tcPr>
          <w:p w:rsidR="00000000" w:rsidDel="00000000" w:rsidP="00000000" w:rsidRDefault="00000000" w:rsidRPr="00000000" w14:paraId="0000000E">
            <w:pPr>
              <w:spacing w:after="50" w:lineRule="auto"/>
              <w:rPr/>
            </w:pPr>
            <w:r w:rsidDel="00000000" w:rsidR="00000000" w:rsidRPr="00000000">
              <w:rPr>
                <w:rFonts w:ascii="Arial" w:cs="Arial" w:eastAsia="Arial" w:hAnsi="Arial"/>
                <w:b w:val="1"/>
                <w:bCs w:val="1"/>
                <w:color w:val="1e2b28"/>
                <w:sz w:val="17"/>
                <w:szCs w:val="17"/>
                <w:rtl w:val="0"/>
              </w:rPr>
              <w:t xml:space="preserve">Creatine supplement</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Fonts w:ascii="Georgia" w:cs="Georgia" w:eastAsia="Georgia" w:hAnsi="Georgia"/>
                <w:color w:val="5e716c"/>
                <w:sz w:val="15"/>
                <w:szCs w:val="15"/>
                <w:rtl w:val="0"/>
              </w:rPr>
              <w:t xml:space="preserve">Why this changes how the creatinine reads</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drawing>
                <wp:inline distB="0" distT="0" distL="0" distR="0">
                  <wp:extent cx="1924050" cy="5086350"/>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924050" cy="5086350"/>
                          </a:xfrm>
                          <a:prstGeom prst="rect"/>
                          <a:ln/>
                        </pic:spPr>
                      </pic:pic>
                    </a:graphicData>
                  </a:graphic>
                </wp:inline>
              </w:drawing>
            </w:r>
            <w:r w:rsidDel="00000000" w:rsidR="00000000" w:rsidRPr="00000000">
              <w:rPr>
                <w:rtl w:val="0"/>
              </w:rPr>
            </w:r>
          </w:p>
        </w:tc>
        <w:tc>
          <w:tcPr>
            <w:tcMar>
              <w:top w:w="0.0" w:type="dxa"/>
              <w:left w:w="70.0" w:type="dxa"/>
              <w:bottom w:w="0.0" w:type="dxa"/>
              <w:right w:w="70.0" w:type="dxa"/>
            </w:tcMar>
            <w:vAlign w:val="top"/>
          </w:tcPr>
          <w:p w:rsidR="00000000" w:rsidDel="00000000" w:rsidP="00000000" w:rsidRDefault="00000000" w:rsidRPr="00000000" w14:paraId="00000011">
            <w:pPr>
              <w:spacing w:after="50" w:lineRule="auto"/>
              <w:rPr/>
            </w:pPr>
            <w:r w:rsidDel="00000000" w:rsidR="00000000" w:rsidRPr="00000000">
              <w:rPr>
                <w:rFonts w:ascii="Arial" w:cs="Arial" w:eastAsia="Arial" w:hAnsi="Arial"/>
                <w:b w:val="1"/>
                <w:bCs w:val="1"/>
                <w:color w:val="1e2b28"/>
                <w:sz w:val="17"/>
                <w:szCs w:val="17"/>
                <w:rtl w:val="0"/>
              </w:rPr>
              <w:t xml:space="preserve">HbA1c</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Fonts w:ascii="Georgia" w:cs="Georgia" w:eastAsia="Georgia" w:hAnsi="Georgia"/>
                <w:color w:val="5e716c"/>
                <w:sz w:val="15"/>
                <w:szCs w:val="15"/>
                <w:rtl w:val="0"/>
              </w:rPr>
              <w:t xml:space="preserve">Latest against range, with the twelve-month sequence</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drawing>
                <wp:inline distB="0" distT="0" distL="0" distR="0">
                  <wp:extent cx="1924050" cy="5086350"/>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924050" cy="5086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4">
      <w:pPr>
        <w:pageBreakBefore w:val="1"/>
        <w:spacing w:after="40" w:before="0" w:line="270" w:lineRule="auto"/>
        <w:rPr/>
      </w:pPr>
      <w:r w:rsidDel="00000000" w:rsidR="00000000" w:rsidRPr="00000000">
        <w:rPr>
          <w:rFonts w:ascii="Arial" w:cs="Arial" w:eastAsia="Arial" w:hAnsi="Arial"/>
          <w:b w:val="1"/>
          <w:bCs w:val="1"/>
          <w:color w:val="1e2b28"/>
          <w:sz w:val="28"/>
          <w:szCs w:val="28"/>
          <w:rtl w:val="0"/>
        </w:rPr>
        <w:t xml:space="preserve">Eight of the seventeen subjects</w:t>
      </w:r>
      <w:r w:rsidDel="00000000" w:rsidR="00000000" w:rsidRPr="00000000">
        <w:rPr>
          <w:rtl w:val="0"/>
        </w:rPr>
      </w:r>
    </w:p>
    <w:p w:rsidR="00000000" w:rsidDel="00000000" w:rsidP="00000000" w:rsidRDefault="00000000" w:rsidRPr="00000000" w14:paraId="00000015">
      <w:pPr>
        <w:spacing w:after="150" w:before="0" w:line="270" w:lineRule="auto"/>
        <w:rPr/>
      </w:pPr>
      <w:r w:rsidDel="00000000" w:rsidR="00000000" w:rsidRPr="00000000">
        <w:rPr>
          <w:rFonts w:ascii="Arial" w:cs="Arial" w:eastAsia="Arial" w:hAnsi="Arial"/>
          <w:color w:val="5e716c"/>
          <w:sz w:val="17"/>
          <w:szCs w:val="17"/>
          <w:rtl w:val="0"/>
        </w:rPr>
        <w:t xml:space="preserve">These four come from Watchlist, Future Care and Optimization Programs.</w:t>
      </w:r>
      <w:r w:rsidDel="00000000" w:rsidR="00000000" w:rsidRPr="00000000">
        <w:rPr>
          <w:rtl w:val="0"/>
        </w:rPr>
      </w:r>
    </w:p>
    <w:tbl>
      <w:tblPr>
        <w:tblStyle w:val="Table2"/>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40"/>
        <w:gridCol w:w="3240"/>
        <w:gridCol w:w="3240"/>
        <w:gridCol w:w="3240"/>
        <w:tblGridChange w:id="0">
          <w:tblGrid>
            <w:gridCol w:w="3240"/>
            <w:gridCol w:w="3240"/>
            <w:gridCol w:w="3240"/>
            <w:gridCol w:w="3240"/>
          </w:tblGrid>
        </w:tblGridChange>
      </w:tblGrid>
      <w:tr>
        <w:trPr>
          <w:cantSplit w:val="1"/>
          <w:tblHeader w:val="0"/>
        </w:trPr>
        <w:tc>
          <w:tcPr>
            <w:tcMar>
              <w:top w:w="0.0" w:type="dxa"/>
              <w:left w:w="70.0" w:type="dxa"/>
              <w:bottom w:w="0.0" w:type="dxa"/>
              <w:right w:w="70.0" w:type="dxa"/>
            </w:tcMar>
            <w:vAlign w:val="top"/>
          </w:tcPr>
          <w:p w:rsidR="00000000" w:rsidDel="00000000" w:rsidP="00000000" w:rsidRDefault="00000000" w:rsidRPr="00000000" w14:paraId="00000016">
            <w:pPr>
              <w:spacing w:after="50" w:lineRule="auto"/>
              <w:rPr/>
            </w:pPr>
            <w:r w:rsidDel="00000000" w:rsidR="00000000" w:rsidRPr="00000000">
              <w:rPr>
                <w:rFonts w:ascii="Arial" w:cs="Arial" w:eastAsia="Arial" w:hAnsi="Arial"/>
                <w:b w:val="1"/>
                <w:bCs w:val="1"/>
                <w:color w:val="1e2b28"/>
                <w:sz w:val="17"/>
                <w:szCs w:val="17"/>
                <w:rtl w:val="0"/>
              </w:rPr>
              <w:t xml:space="preserve">Kidney function</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rFonts w:ascii="Georgia" w:cs="Georgia" w:eastAsia="Georgia" w:hAnsi="Georgia"/>
                <w:color w:val="5e716c"/>
                <w:sz w:val="15"/>
                <w:szCs w:val="15"/>
                <w:rtl w:val="0"/>
              </w:rPr>
              <w:t xml:space="preserve">The full trend with the CKD stage 3 threshold marked</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drawing>
                <wp:inline distB="0" distT="0" distL="0" distR="0">
                  <wp:extent cx="1924050" cy="508635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924050" cy="5086350"/>
                          </a:xfrm>
                          <a:prstGeom prst="rect"/>
                          <a:ln/>
                        </pic:spPr>
                      </pic:pic>
                    </a:graphicData>
                  </a:graphic>
                </wp:inline>
              </w:drawing>
            </w:r>
            <w:r w:rsidDel="00000000" w:rsidR="00000000" w:rsidRPr="00000000">
              <w:rPr>
                <w:rtl w:val="0"/>
              </w:rPr>
            </w:r>
          </w:p>
        </w:tc>
        <w:tc>
          <w:tcPr>
            <w:tcMar>
              <w:top w:w="0.0" w:type="dxa"/>
              <w:left w:w="70.0" w:type="dxa"/>
              <w:bottom w:w="0.0" w:type="dxa"/>
              <w:right w:w="70.0" w:type="dxa"/>
            </w:tcMar>
            <w:vAlign w:val="top"/>
          </w:tcPr>
          <w:p w:rsidR="00000000" w:rsidDel="00000000" w:rsidP="00000000" w:rsidRDefault="00000000" w:rsidRPr="00000000" w14:paraId="00000019">
            <w:pPr>
              <w:spacing w:after="50" w:lineRule="auto"/>
              <w:rPr/>
            </w:pPr>
            <w:r w:rsidDel="00000000" w:rsidR="00000000" w:rsidRPr="00000000">
              <w:rPr>
                <w:rFonts w:ascii="Arial" w:cs="Arial" w:eastAsia="Arial" w:hAnsi="Arial"/>
                <w:b w:val="1"/>
                <w:bCs w:val="1"/>
                <w:color w:val="1e2b28"/>
                <w:sz w:val="17"/>
                <w:szCs w:val="17"/>
                <w:rtl w:val="0"/>
              </w:rPr>
              <w:t xml:space="preserve">Reclast evaluation</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Fonts w:ascii="Georgia" w:cs="Georgia" w:eastAsia="Georgia" w:hAnsi="Georgia"/>
                <w:color w:val="5e716c"/>
                <w:sz w:val="15"/>
                <w:szCs w:val="15"/>
                <w:rtl w:val="0"/>
              </w:rPr>
              <w:t xml:space="preserve">The contraindication, checked against this patient</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drawing>
                <wp:inline distB="0" distT="0" distL="0" distR="0">
                  <wp:extent cx="1924050" cy="508635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924050" cy="5086350"/>
                          </a:xfrm>
                          <a:prstGeom prst="rect"/>
                          <a:ln/>
                        </pic:spPr>
                      </pic:pic>
                    </a:graphicData>
                  </a:graphic>
                </wp:inline>
              </w:drawing>
            </w:r>
            <w:r w:rsidDel="00000000" w:rsidR="00000000" w:rsidRPr="00000000">
              <w:rPr>
                <w:rtl w:val="0"/>
              </w:rPr>
            </w:r>
          </w:p>
        </w:tc>
        <w:tc>
          <w:tcPr>
            <w:tcMar>
              <w:top w:w="0.0" w:type="dxa"/>
              <w:left w:w="70.0" w:type="dxa"/>
              <w:bottom w:w="0.0" w:type="dxa"/>
              <w:right w:w="70.0" w:type="dxa"/>
            </w:tcMar>
            <w:vAlign w:val="top"/>
          </w:tcPr>
          <w:p w:rsidR="00000000" w:rsidDel="00000000" w:rsidP="00000000" w:rsidRDefault="00000000" w:rsidRPr="00000000" w14:paraId="0000001C">
            <w:pPr>
              <w:spacing w:after="50" w:lineRule="auto"/>
              <w:rPr/>
            </w:pPr>
            <w:r w:rsidDel="00000000" w:rsidR="00000000" w:rsidRPr="00000000">
              <w:rPr>
                <w:rFonts w:ascii="Arial" w:cs="Arial" w:eastAsia="Arial" w:hAnsi="Arial"/>
                <w:b w:val="1"/>
                <w:bCs w:val="1"/>
                <w:color w:val="1e2b28"/>
                <w:sz w:val="17"/>
                <w:szCs w:val="17"/>
                <w:rtl w:val="0"/>
              </w:rPr>
              <w:t xml:space="preserve">Nephrology referral</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Georgia" w:cs="Georgia" w:eastAsia="Georgia" w:hAnsi="Georgia"/>
                <w:color w:val="5e716c"/>
                <w:sz w:val="15"/>
                <w:szCs w:val="15"/>
                <w:rtl w:val="0"/>
              </w:rPr>
              <w:t xml:space="preserve">Placed, never booked, and the case for expediting</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drawing>
                <wp:inline distB="0" distT="0" distL="0" distR="0">
                  <wp:extent cx="1924050" cy="508635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924050" cy="5086350"/>
                          </a:xfrm>
                          <a:prstGeom prst="rect"/>
                          <a:ln/>
                        </pic:spPr>
                      </pic:pic>
                    </a:graphicData>
                  </a:graphic>
                </wp:inline>
              </w:drawing>
            </w:r>
            <w:r w:rsidDel="00000000" w:rsidR="00000000" w:rsidRPr="00000000">
              <w:rPr>
                <w:rtl w:val="0"/>
              </w:rPr>
            </w:r>
          </w:p>
        </w:tc>
        <w:tc>
          <w:tcPr>
            <w:tcMar>
              <w:top w:w="0.0" w:type="dxa"/>
              <w:left w:w="70.0" w:type="dxa"/>
              <w:bottom w:w="0.0" w:type="dxa"/>
              <w:right w:w="70.0" w:type="dxa"/>
            </w:tcMar>
            <w:vAlign w:val="top"/>
          </w:tcPr>
          <w:p w:rsidR="00000000" w:rsidDel="00000000" w:rsidP="00000000" w:rsidRDefault="00000000" w:rsidRPr="00000000" w14:paraId="0000001F">
            <w:pPr>
              <w:spacing w:after="50" w:lineRule="auto"/>
              <w:rPr/>
            </w:pPr>
            <w:r w:rsidDel="00000000" w:rsidR="00000000" w:rsidRPr="00000000">
              <w:rPr>
                <w:rFonts w:ascii="Arial" w:cs="Arial" w:eastAsia="Arial" w:hAnsi="Arial"/>
                <w:b w:val="1"/>
                <w:bCs w:val="1"/>
                <w:color w:val="1e2b28"/>
                <w:sz w:val="17"/>
                <w:szCs w:val="17"/>
                <w:rtl w:val="0"/>
              </w:rPr>
              <w:t xml:space="preserve">Kidney Optimization</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Fonts w:ascii="Georgia" w:cs="Georgia" w:eastAsia="Georgia" w:hAnsi="Georgia"/>
                <w:color w:val="5e716c"/>
                <w:sz w:val="15"/>
                <w:szCs w:val="15"/>
                <w:rtl w:val="0"/>
              </w:rPr>
              <w:t xml:space="preserve">Why to hold enrolment until the imaging returns</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drawing>
                <wp:inline distB="0" distT="0" distL="0" distR="0">
                  <wp:extent cx="1924050" cy="508635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924050" cy="5086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2">
      <w:pPr>
        <w:pageBreakBefore w:val="1"/>
        <w:spacing w:after="40" w:before="0" w:line="270" w:lineRule="auto"/>
        <w:rPr/>
      </w:pPr>
      <w:r w:rsidDel="00000000" w:rsidR="00000000" w:rsidRPr="00000000">
        <w:rPr>
          <w:rFonts w:ascii="Arial" w:cs="Arial" w:eastAsia="Arial" w:hAnsi="Arial"/>
          <w:b w:val="1"/>
          <w:bCs w:val="1"/>
          <w:color w:val="1e2b28"/>
          <w:sz w:val="28"/>
          <w:szCs w:val="28"/>
          <w:rtl w:val="0"/>
        </w:rPr>
        <w:t xml:space="preserve">What changed from the first version</w:t>
      </w:r>
      <w:r w:rsidDel="00000000" w:rsidR="00000000" w:rsidRPr="00000000">
        <w:rPr>
          <w:rtl w:val="0"/>
        </w:rPr>
      </w:r>
    </w:p>
    <w:p w:rsidR="00000000" w:rsidDel="00000000" w:rsidP="00000000" w:rsidRDefault="00000000" w:rsidRPr="00000000" w14:paraId="00000023">
      <w:pPr>
        <w:spacing w:after="170" w:before="0" w:line="270" w:lineRule="auto"/>
        <w:rPr/>
      </w:pPr>
      <w:r w:rsidDel="00000000" w:rsidR="00000000" w:rsidRPr="00000000">
        <w:rPr>
          <w:rFonts w:ascii="Arial" w:cs="Arial" w:eastAsia="Arial" w:hAnsi="Arial"/>
          <w:color w:val="5e716c"/>
          <w:sz w:val="17"/>
          <w:szCs w:val="17"/>
          <w:rtl w:val="0"/>
        </w:rPr>
        <w:t xml:space="preserve">Every heading and every data point was kept. The hierarchy and the interaction changed.</w:t>
      </w:r>
      <w:r w:rsidDel="00000000" w:rsidR="00000000" w:rsidRPr="00000000">
        <w:rPr>
          <w:rtl w:val="0"/>
        </w:rPr>
      </w:r>
    </w:p>
    <w:tbl>
      <w:tblPr>
        <w:tblStyle w:val="Table3"/>
        <w:tblW w:w="12960.0" w:type="dxa"/>
        <w:jc w:val="left"/>
        <w:tblBorders>
          <w:top w:color="1e2b28" w:space="0" w:sz="12" w:val="single"/>
          <w:left w:color="000000" w:space="0" w:sz="0" w:val="nil"/>
          <w:bottom w:color="d8d2c8" w:space="0" w:sz="4" w:val="single"/>
          <w:right w:color="000000" w:space="0" w:sz="0" w:val="nil"/>
          <w:insideH w:color="d8d2c8" w:space="0" w:sz="4" w:val="single"/>
          <w:insideV w:color="000000" w:space="0" w:sz="0" w:val="nil"/>
        </w:tblBorders>
        <w:tblLayout w:type="fixed"/>
        <w:tblLook w:val="0000"/>
      </w:tblPr>
      <w:tblGrid>
        <w:gridCol w:w="3312"/>
        <w:gridCol w:w="3312"/>
        <w:gridCol w:w="6336"/>
        <w:tblGridChange w:id="0">
          <w:tblGrid>
            <w:gridCol w:w="3312"/>
            <w:gridCol w:w="3312"/>
            <w:gridCol w:w="6336"/>
          </w:tblGrid>
        </w:tblGridChange>
      </w:tblGrid>
      <w:tr>
        <w:trPr>
          <w:cantSplit w:val="0"/>
          <w:tblHeader w:val="1"/>
        </w:trPr>
        <w:tc>
          <w:tcPr>
            <w:shd w:fill="edf1ee" w:val="clear"/>
            <w:tcMar>
              <w:top w:w="100.0" w:type="dxa"/>
              <w:left w:w="130.0" w:type="dxa"/>
              <w:bottom w:w="100.0" w:type="dxa"/>
              <w:right w:w="13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1"/>
                <w:bCs w:val="1"/>
                <w:color w:val="1e2b28"/>
                <w:sz w:val="16"/>
                <w:szCs w:val="16"/>
                <w:rtl w:val="0"/>
              </w:rPr>
              <w:t xml:space="preserve">Was</w:t>
            </w:r>
            <w:r w:rsidDel="00000000" w:rsidR="00000000" w:rsidRPr="00000000">
              <w:rPr>
                <w:rtl w:val="0"/>
              </w:rPr>
            </w:r>
          </w:p>
        </w:tc>
        <w:tc>
          <w:tcPr>
            <w:shd w:fill="edf1ee" w:val="clear"/>
            <w:tcMar>
              <w:top w:w="100.0" w:type="dxa"/>
              <w:left w:w="130.0" w:type="dxa"/>
              <w:bottom w:w="100.0" w:type="dxa"/>
              <w:right w:w="130.0" w:type="dxa"/>
            </w:tcMar>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1e2b28"/>
                <w:sz w:val="16"/>
                <w:szCs w:val="16"/>
                <w:rtl w:val="0"/>
              </w:rPr>
              <w:t xml:space="preserve">Now</w:t>
            </w:r>
            <w:r w:rsidDel="00000000" w:rsidR="00000000" w:rsidRPr="00000000">
              <w:rPr>
                <w:rtl w:val="0"/>
              </w:rPr>
            </w:r>
          </w:p>
        </w:tc>
        <w:tc>
          <w:tcPr>
            <w:shd w:fill="edf1ee" w:val="clear"/>
            <w:tcMar>
              <w:top w:w="100.0" w:type="dxa"/>
              <w:left w:w="130.0" w:type="dxa"/>
              <w:bottom w:w="100.0" w:type="dxa"/>
              <w:right w:w="13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1"/>
                <w:bCs w:val="1"/>
                <w:color w:val="1e2b28"/>
                <w:sz w:val="16"/>
                <w:szCs w:val="16"/>
                <w:rtl w:val="0"/>
              </w:rPr>
              <w:t xml:space="preserve">Why</w:t>
            </w:r>
            <w:r w:rsidDel="00000000" w:rsidR="00000000" w:rsidRPr="00000000">
              <w:rPr>
                <w:rtl w:val="0"/>
              </w:rPr>
            </w:r>
          </w:p>
        </w:tc>
      </w:tr>
      <w:tr>
        <w:trPr>
          <w:cantSplit w:val="0"/>
          <w:tblHeader w:val="0"/>
        </w:trPr>
        <w:tc>
          <w:tcPr>
            <w:tcMar>
              <w:top w:w="110.0" w:type="dxa"/>
              <w:left w:w="130.0" w:type="dxa"/>
              <w:bottom w:w="110.0" w:type="dxa"/>
              <w:right w:w="130.0" w:type="dxa"/>
            </w:tcMar>
          </w:tcPr>
          <w:p w:rsidR="00000000" w:rsidDel="00000000" w:rsidP="00000000" w:rsidRDefault="00000000" w:rsidRPr="00000000" w14:paraId="00000027">
            <w:pPr>
              <w:spacing w:after="0" w:lineRule="auto"/>
              <w:rPr/>
            </w:pPr>
            <w:r w:rsidDel="00000000" w:rsidR="00000000" w:rsidRPr="00000000">
              <w:rPr>
                <w:rFonts w:ascii="Georgia" w:cs="Georgia" w:eastAsia="Georgia" w:hAnsi="Georgia"/>
                <w:color w:val="5e716c"/>
                <w:sz w:val="17"/>
                <w:szCs w:val="17"/>
                <w:rtl w:val="0"/>
              </w:rPr>
              <w:t xml:space="preserve">Six cards of equal weight</w:t>
            </w:r>
            <w:r w:rsidDel="00000000" w:rsidR="00000000" w:rsidRPr="00000000">
              <w:rPr>
                <w:rtl w:val="0"/>
              </w:rPr>
            </w:r>
          </w:p>
        </w:tc>
        <w:tc>
          <w:tcPr>
            <w:tcMar>
              <w:top w:w="110.0" w:type="dxa"/>
              <w:left w:w="130.0" w:type="dxa"/>
              <w:bottom w:w="110.0" w:type="dxa"/>
              <w:right w:w="130.0" w:type="dxa"/>
            </w:tcMar>
          </w:tcPr>
          <w:p w:rsidR="00000000" w:rsidDel="00000000" w:rsidP="00000000" w:rsidRDefault="00000000" w:rsidRPr="00000000" w14:paraId="00000028">
            <w:pPr>
              <w:spacing w:after="0" w:lineRule="auto"/>
              <w:rPr/>
            </w:pPr>
            <w:r w:rsidDel="00000000" w:rsidR="00000000" w:rsidRPr="00000000">
              <w:rPr>
                <w:rFonts w:ascii="Georgia" w:cs="Georgia" w:eastAsia="Georgia" w:hAnsi="Georgia"/>
                <w:b w:val="1"/>
                <w:bCs w:val="1"/>
                <w:color w:val="20302c"/>
                <w:sz w:val="17"/>
                <w:szCs w:val="17"/>
                <w:rtl w:val="0"/>
              </w:rPr>
              <w:t xml:space="preserve">One decision band at the top</w:t>
            </w:r>
            <w:r w:rsidDel="00000000" w:rsidR="00000000" w:rsidRPr="00000000">
              <w:rPr>
                <w:rtl w:val="0"/>
              </w:rPr>
            </w:r>
          </w:p>
        </w:tc>
        <w:tc>
          <w:tcPr>
            <w:tcMar>
              <w:top w:w="110.0" w:type="dxa"/>
              <w:left w:w="130.0" w:type="dxa"/>
              <w:bottom w:w="110.0" w:type="dxa"/>
              <w:right w:w="130.0" w:type="dxa"/>
            </w:tcMar>
          </w:tcPr>
          <w:p w:rsidR="00000000" w:rsidDel="00000000" w:rsidP="00000000" w:rsidRDefault="00000000" w:rsidRPr="00000000" w14:paraId="00000029">
            <w:pPr>
              <w:spacing w:after="0" w:lineRule="auto"/>
              <w:rPr/>
            </w:pPr>
            <w:r w:rsidDel="00000000" w:rsidR="00000000" w:rsidRPr="00000000">
              <w:rPr>
                <w:rFonts w:ascii="Georgia" w:cs="Georgia" w:eastAsia="Georgia" w:hAnsi="Georgia"/>
                <w:color w:val="20302c"/>
                <w:sz w:val="17"/>
                <w:szCs w:val="17"/>
                <w:rtl w:val="0"/>
              </w:rPr>
              <w:t xml:space="preserve">eGFR declining, lisinopril doubled, ultrasound overdue and urine ACR untested are the same clinical story. They were filed in four different cards. They are now stated together, with the actions attached.</w:t>
            </w:r>
            <w:r w:rsidDel="00000000" w:rsidR="00000000" w:rsidRPr="00000000">
              <w:rPr>
                <w:rtl w:val="0"/>
              </w:rPr>
            </w:r>
          </w:p>
        </w:tc>
      </w:tr>
      <w:tr>
        <w:trPr>
          <w:cantSplit w:val="0"/>
          <w:tblHeader w:val="0"/>
        </w:trPr>
        <w:tc>
          <w:tcPr>
            <w:tcMar>
              <w:top w:w="110.0" w:type="dxa"/>
              <w:left w:w="130.0" w:type="dxa"/>
              <w:bottom w:w="110.0" w:type="dxa"/>
              <w:right w:w="130.0" w:type="dxa"/>
            </w:tcMar>
          </w:tcPr>
          <w:p w:rsidR="00000000" w:rsidDel="00000000" w:rsidP="00000000" w:rsidRDefault="00000000" w:rsidRPr="00000000" w14:paraId="0000002A">
            <w:pPr>
              <w:spacing w:after="0" w:lineRule="auto"/>
              <w:rPr/>
            </w:pPr>
            <w:r w:rsidDel="00000000" w:rsidR="00000000" w:rsidRPr="00000000">
              <w:rPr>
                <w:rFonts w:ascii="Georgia" w:cs="Georgia" w:eastAsia="Georgia" w:hAnsi="Georgia"/>
                <w:color w:val="5e716c"/>
                <w:sz w:val="17"/>
                <w:szCs w:val="17"/>
                <w:rtl w:val="0"/>
              </w:rPr>
              <w:t xml:space="preserve">Badges that inverted severity</w:t>
            </w:r>
            <w:r w:rsidDel="00000000" w:rsidR="00000000" w:rsidRPr="00000000">
              <w:rPr>
                <w:rtl w:val="0"/>
              </w:rPr>
            </w:r>
          </w:p>
        </w:tc>
        <w:tc>
          <w:tcPr>
            <w:tcMar>
              <w:top w:w="110.0" w:type="dxa"/>
              <w:left w:w="130.0" w:type="dxa"/>
              <w:bottom w:w="110.0" w:type="dxa"/>
              <w:right w:w="130.0" w:type="dxa"/>
            </w:tcMar>
          </w:tcPr>
          <w:p w:rsidR="00000000" w:rsidDel="00000000" w:rsidP="00000000" w:rsidRDefault="00000000" w:rsidRPr="00000000" w14:paraId="0000002B">
            <w:pPr>
              <w:spacing w:after="0" w:lineRule="auto"/>
              <w:rPr/>
            </w:pPr>
            <w:r w:rsidDel="00000000" w:rsidR="00000000" w:rsidRPr="00000000">
              <w:rPr>
                <w:rFonts w:ascii="Georgia" w:cs="Georgia" w:eastAsia="Georgia" w:hAnsi="Georgia"/>
                <w:b w:val="1"/>
                <w:bCs w:val="1"/>
                <w:color w:val="20302c"/>
                <w:sz w:val="17"/>
                <w:szCs w:val="17"/>
                <w:rtl w:val="0"/>
              </w:rPr>
              <w:t xml:space="preserve">Triage by what is required</w:t>
            </w:r>
            <w:r w:rsidDel="00000000" w:rsidR="00000000" w:rsidRPr="00000000">
              <w:rPr>
                <w:rtl w:val="0"/>
              </w:rPr>
            </w:r>
          </w:p>
        </w:tc>
        <w:tc>
          <w:tcPr>
            <w:tcMar>
              <w:top w:w="110.0" w:type="dxa"/>
              <w:left w:w="130.0" w:type="dxa"/>
              <w:bottom w:w="110.0" w:type="dxa"/>
              <w:right w:w="130.0" w:type="dxa"/>
            </w:tcMar>
          </w:tcPr>
          <w:p w:rsidR="00000000" w:rsidDel="00000000" w:rsidP="00000000" w:rsidRDefault="00000000" w:rsidRPr="00000000" w14:paraId="0000002C">
            <w:pPr>
              <w:spacing w:after="0" w:lineRule="auto"/>
              <w:rPr/>
            </w:pPr>
            <w:r w:rsidDel="00000000" w:rsidR="00000000" w:rsidRPr="00000000">
              <w:rPr>
                <w:rFonts w:ascii="Georgia" w:cs="Georgia" w:eastAsia="Georgia" w:hAnsi="Georgia"/>
                <w:color w:val="20302c"/>
                <w:sz w:val="17"/>
                <w:szCs w:val="17"/>
                <w:rtl w:val="0"/>
              </w:rPr>
              <w:t xml:space="preserve">“Action Needed” was amber and “Urgent” was pink, so the 18-day overdue order did not read as the most pressing item. Updates are now grouped under Action needed and For review, red before amber.</w:t>
            </w:r>
            <w:r w:rsidDel="00000000" w:rsidR="00000000" w:rsidRPr="00000000">
              <w:rPr>
                <w:rtl w:val="0"/>
              </w:rPr>
            </w:r>
          </w:p>
        </w:tc>
      </w:tr>
      <w:tr>
        <w:trPr>
          <w:cantSplit w:val="0"/>
          <w:tblHeader w:val="0"/>
        </w:trPr>
        <w:tc>
          <w:tcPr>
            <w:tcMar>
              <w:top w:w="110.0" w:type="dxa"/>
              <w:left w:w="130.0" w:type="dxa"/>
              <w:bottom w:w="110.0" w:type="dxa"/>
              <w:right w:w="130.0" w:type="dxa"/>
            </w:tcMar>
          </w:tcPr>
          <w:p w:rsidR="00000000" w:rsidDel="00000000" w:rsidP="00000000" w:rsidRDefault="00000000" w:rsidRPr="00000000" w14:paraId="0000002D">
            <w:pPr>
              <w:spacing w:after="0" w:lineRule="auto"/>
              <w:rPr/>
            </w:pPr>
            <w:r w:rsidDel="00000000" w:rsidR="00000000" w:rsidRPr="00000000">
              <w:rPr>
                <w:rFonts w:ascii="Georgia" w:cs="Georgia" w:eastAsia="Georgia" w:hAnsi="Georgia"/>
                <w:color w:val="5e716c"/>
                <w:sz w:val="17"/>
                <w:szCs w:val="17"/>
                <w:rtl w:val="0"/>
              </w:rPr>
              <w:t xml:space="preserve">A fixed right panel</w:t>
            </w:r>
            <w:r w:rsidDel="00000000" w:rsidR="00000000" w:rsidRPr="00000000">
              <w:rPr>
                <w:rtl w:val="0"/>
              </w:rPr>
            </w:r>
          </w:p>
        </w:tc>
        <w:tc>
          <w:tcPr>
            <w:tcMar>
              <w:top w:w="110.0" w:type="dxa"/>
              <w:left w:w="130.0" w:type="dxa"/>
              <w:bottom w:w="110.0" w:type="dxa"/>
              <w:right w:w="130.0" w:type="dxa"/>
            </w:tcMar>
          </w:tcPr>
          <w:p w:rsidR="00000000" w:rsidDel="00000000" w:rsidP="00000000" w:rsidRDefault="00000000" w:rsidRPr="00000000" w14:paraId="0000002E">
            <w:pPr>
              <w:spacing w:after="0" w:lineRule="auto"/>
              <w:rPr/>
            </w:pPr>
            <w:r w:rsidDel="00000000" w:rsidR="00000000" w:rsidRPr="00000000">
              <w:rPr>
                <w:rFonts w:ascii="Georgia" w:cs="Georgia" w:eastAsia="Georgia" w:hAnsi="Georgia"/>
                <w:b w:val="1"/>
                <w:bCs w:val="1"/>
                <w:color w:val="20302c"/>
                <w:sz w:val="17"/>
                <w:szCs w:val="17"/>
                <w:rtl w:val="0"/>
              </w:rPr>
              <w:t xml:space="preserve">A panel that follows the click</w:t>
            </w:r>
            <w:r w:rsidDel="00000000" w:rsidR="00000000" w:rsidRPr="00000000">
              <w:rPr>
                <w:rtl w:val="0"/>
              </w:rPr>
            </w:r>
          </w:p>
        </w:tc>
        <w:tc>
          <w:tcPr>
            <w:tcMar>
              <w:top w:w="110.0" w:type="dxa"/>
              <w:left w:w="130.0" w:type="dxa"/>
              <w:bottom w:w="110.0" w:type="dxa"/>
              <w:right w:w="130.0" w:type="dxa"/>
            </w:tcMar>
          </w:tcPr>
          <w:p w:rsidR="00000000" w:rsidDel="00000000" w:rsidP="00000000" w:rsidRDefault="00000000" w:rsidRPr="00000000" w14:paraId="0000002F">
            <w:pPr>
              <w:spacing w:after="0" w:lineRule="auto"/>
              <w:rPr/>
            </w:pPr>
            <w:r w:rsidDel="00000000" w:rsidR="00000000" w:rsidRPr="00000000">
              <w:rPr>
                <w:rFonts w:ascii="Georgia" w:cs="Georgia" w:eastAsia="Georgia" w:hAnsi="Georgia"/>
                <w:color w:val="20302c"/>
                <w:sz w:val="17"/>
                <w:szCs w:val="17"/>
                <w:rtl w:val="0"/>
              </w:rPr>
              <w:t xml:space="preserve">The kidney detail was permanently docked. Any of the seventeen subjects now opens there, with its own figures, clinical note and actions.</w:t>
            </w:r>
            <w:r w:rsidDel="00000000" w:rsidR="00000000" w:rsidRPr="00000000">
              <w:rPr>
                <w:rtl w:val="0"/>
              </w:rPr>
            </w:r>
          </w:p>
        </w:tc>
      </w:tr>
      <w:tr>
        <w:trPr>
          <w:cantSplit w:val="0"/>
          <w:tblHeader w:val="0"/>
        </w:trPr>
        <w:tc>
          <w:tcPr>
            <w:tcMar>
              <w:top w:w="110.0" w:type="dxa"/>
              <w:left w:w="130.0" w:type="dxa"/>
              <w:bottom w:w="110.0" w:type="dxa"/>
              <w:right w:w="130.0" w:type="dxa"/>
            </w:tcMar>
          </w:tcPr>
          <w:p w:rsidR="00000000" w:rsidDel="00000000" w:rsidP="00000000" w:rsidRDefault="00000000" w:rsidRPr="00000000" w14:paraId="00000030">
            <w:pPr>
              <w:spacing w:after="0" w:lineRule="auto"/>
              <w:rPr/>
            </w:pPr>
            <w:r w:rsidDel="00000000" w:rsidR="00000000" w:rsidRPr="00000000">
              <w:rPr>
                <w:rFonts w:ascii="Georgia" w:cs="Georgia" w:eastAsia="Georgia" w:hAnsi="Georgia"/>
                <w:color w:val="5e716c"/>
                <w:sz w:val="17"/>
                <w:szCs w:val="17"/>
                <w:rtl w:val="0"/>
              </w:rPr>
              <w:t xml:space="preserve">A green tick on a 14% decline</w:t>
            </w:r>
            <w:r w:rsidDel="00000000" w:rsidR="00000000" w:rsidRPr="00000000">
              <w:rPr>
                <w:rtl w:val="0"/>
              </w:rPr>
            </w:r>
          </w:p>
        </w:tc>
        <w:tc>
          <w:tcPr>
            <w:tcMar>
              <w:top w:w="110.0" w:type="dxa"/>
              <w:left w:w="130.0" w:type="dxa"/>
              <w:bottom w:w="110.0" w:type="dxa"/>
              <w:right w:w="130.0" w:type="dxa"/>
            </w:tcMar>
          </w:tcPr>
          <w:p w:rsidR="00000000" w:rsidDel="00000000" w:rsidP="00000000" w:rsidRDefault="00000000" w:rsidRPr="00000000" w14:paraId="00000031">
            <w:pPr>
              <w:spacing w:after="0" w:lineRule="auto"/>
              <w:rPr/>
            </w:pPr>
            <w:r w:rsidDel="00000000" w:rsidR="00000000" w:rsidRPr="00000000">
              <w:rPr>
                <w:rFonts w:ascii="Georgia" w:cs="Georgia" w:eastAsia="Georgia" w:hAnsi="Georgia"/>
                <w:b w:val="1"/>
                <w:bCs w:val="1"/>
                <w:color w:val="20302c"/>
                <w:sz w:val="17"/>
                <w:szCs w:val="17"/>
                <w:rtl w:val="0"/>
              </w:rPr>
              <w:t xml:space="preserve">An amber warning</w:t>
            </w:r>
            <w:r w:rsidDel="00000000" w:rsidR="00000000" w:rsidRPr="00000000">
              <w:rPr>
                <w:rtl w:val="0"/>
              </w:rPr>
            </w:r>
          </w:p>
        </w:tc>
        <w:tc>
          <w:tcPr>
            <w:tcMar>
              <w:top w:w="110.0" w:type="dxa"/>
              <w:left w:w="130.0" w:type="dxa"/>
              <w:bottom w:w="110.0" w:type="dxa"/>
              <w:right w:w="130.0" w:type="dxa"/>
            </w:tcMar>
          </w:tcPr>
          <w:p w:rsidR="00000000" w:rsidDel="00000000" w:rsidP="00000000" w:rsidRDefault="00000000" w:rsidRPr="00000000" w14:paraId="00000032">
            <w:pPr>
              <w:spacing w:after="0" w:lineRule="auto"/>
              <w:rPr/>
            </w:pPr>
            <w:r w:rsidDel="00000000" w:rsidR="00000000" w:rsidRPr="00000000">
              <w:rPr>
                <w:rFonts w:ascii="Georgia" w:cs="Georgia" w:eastAsia="Georgia" w:hAnsi="Georgia"/>
                <w:color w:val="20302c"/>
                <w:sz w:val="17"/>
                <w:szCs w:val="17"/>
                <w:rtl w:val="0"/>
              </w:rPr>
              <w:t xml:space="preserve">A fall of that size is not a success state. The note now also observes that the recent rate is steeper than the earlier one.</w:t>
            </w:r>
            <w:r w:rsidDel="00000000" w:rsidR="00000000" w:rsidRPr="00000000">
              <w:rPr>
                <w:rtl w:val="0"/>
              </w:rPr>
            </w:r>
          </w:p>
        </w:tc>
      </w:tr>
      <w:tr>
        <w:trPr>
          <w:cantSplit w:val="0"/>
          <w:tblHeader w:val="0"/>
        </w:trPr>
        <w:tc>
          <w:tcPr>
            <w:tcMar>
              <w:top w:w="110.0" w:type="dxa"/>
              <w:left w:w="130.0" w:type="dxa"/>
              <w:bottom w:w="110.0" w:type="dxa"/>
              <w:right w:w="130.0" w:type="dxa"/>
            </w:tcMar>
          </w:tcPr>
          <w:p w:rsidR="00000000" w:rsidDel="00000000" w:rsidP="00000000" w:rsidRDefault="00000000" w:rsidRPr="00000000" w14:paraId="00000033">
            <w:pPr>
              <w:spacing w:after="0" w:lineRule="auto"/>
              <w:rPr/>
            </w:pPr>
            <w:r w:rsidDel="00000000" w:rsidR="00000000" w:rsidRPr="00000000">
              <w:rPr>
                <w:rFonts w:ascii="Georgia" w:cs="Georgia" w:eastAsia="Georgia" w:hAnsi="Georgia"/>
                <w:color w:val="5e716c"/>
                <w:sz w:val="17"/>
                <w:szCs w:val="17"/>
                <w:rtl w:val="0"/>
              </w:rPr>
              <w:t xml:space="preserve">“Not Tested” in neutral grey</w:t>
            </w:r>
            <w:r w:rsidDel="00000000" w:rsidR="00000000" w:rsidRPr="00000000">
              <w:rPr>
                <w:rtl w:val="0"/>
              </w:rPr>
            </w:r>
          </w:p>
        </w:tc>
        <w:tc>
          <w:tcPr>
            <w:tcMar>
              <w:top w:w="110.0" w:type="dxa"/>
              <w:left w:w="130.0" w:type="dxa"/>
              <w:bottom w:w="110.0" w:type="dxa"/>
              <w:right w:w="130.0" w:type="dxa"/>
            </w:tcMar>
          </w:tcPr>
          <w:p w:rsidR="00000000" w:rsidDel="00000000" w:rsidP="00000000" w:rsidRDefault="00000000" w:rsidRPr="00000000" w14:paraId="00000034">
            <w:pPr>
              <w:spacing w:after="0" w:lineRule="auto"/>
              <w:rPr/>
            </w:pPr>
            <w:r w:rsidDel="00000000" w:rsidR="00000000" w:rsidRPr="00000000">
              <w:rPr>
                <w:rFonts w:ascii="Georgia" w:cs="Georgia" w:eastAsia="Georgia" w:hAnsi="Georgia"/>
                <w:b w:val="1"/>
                <w:bCs w:val="1"/>
                <w:color w:val="20302c"/>
                <w:sz w:val="17"/>
                <w:szCs w:val="17"/>
                <w:rtl w:val="0"/>
              </w:rPr>
              <w:t xml:space="preserve">A flagged gap</w:t>
            </w:r>
            <w:r w:rsidDel="00000000" w:rsidR="00000000" w:rsidRPr="00000000">
              <w:rPr>
                <w:rtl w:val="0"/>
              </w:rPr>
            </w:r>
          </w:p>
        </w:tc>
        <w:tc>
          <w:tcPr>
            <w:tcMar>
              <w:top w:w="110.0" w:type="dxa"/>
              <w:left w:w="130.0" w:type="dxa"/>
              <w:bottom w:w="110.0" w:type="dxa"/>
              <w:right w:w="130.0" w:type="dxa"/>
            </w:tcMar>
          </w:tcPr>
          <w:p w:rsidR="00000000" w:rsidDel="00000000" w:rsidP="00000000" w:rsidRDefault="00000000" w:rsidRPr="00000000" w14:paraId="00000035">
            <w:pPr>
              <w:spacing w:after="0" w:lineRule="auto"/>
              <w:rPr/>
            </w:pPr>
            <w:r w:rsidDel="00000000" w:rsidR="00000000" w:rsidRPr="00000000">
              <w:rPr>
                <w:rFonts w:ascii="Georgia" w:cs="Georgia" w:eastAsia="Georgia" w:hAnsi="Georgia"/>
                <w:color w:val="20302c"/>
                <w:sz w:val="17"/>
                <w:szCs w:val="17"/>
                <w:rtl w:val="0"/>
              </w:rPr>
              <w:t xml:space="preserve">An untested urine ACR is a missing piece of CKD staging, not a neutral value. Absences are now amber and clickable throughout.</w:t>
            </w:r>
            <w:r w:rsidDel="00000000" w:rsidR="00000000" w:rsidRPr="00000000">
              <w:rPr>
                <w:rtl w:val="0"/>
              </w:rPr>
            </w:r>
          </w:p>
        </w:tc>
      </w:tr>
      <w:tr>
        <w:trPr>
          <w:cantSplit w:val="0"/>
          <w:tblHeader w:val="0"/>
        </w:trPr>
        <w:tc>
          <w:tcPr>
            <w:tcMar>
              <w:top w:w="110.0" w:type="dxa"/>
              <w:left w:w="130.0" w:type="dxa"/>
              <w:bottom w:w="110.0" w:type="dxa"/>
              <w:right w:w="130.0" w:type="dxa"/>
            </w:tcMar>
          </w:tcPr>
          <w:p w:rsidR="00000000" w:rsidDel="00000000" w:rsidP="00000000" w:rsidRDefault="00000000" w:rsidRPr="00000000" w14:paraId="00000036">
            <w:pPr>
              <w:spacing w:after="0" w:lineRule="auto"/>
              <w:rPr/>
            </w:pPr>
            <w:r w:rsidDel="00000000" w:rsidR="00000000" w:rsidRPr="00000000">
              <w:rPr>
                <w:rFonts w:ascii="Georgia" w:cs="Georgia" w:eastAsia="Georgia" w:hAnsi="Georgia"/>
                <w:color w:val="5e716c"/>
                <w:sz w:val="17"/>
                <w:szCs w:val="17"/>
                <w:rtl w:val="0"/>
              </w:rPr>
              <w:t xml:space="preserve">A trend line without context</w:t>
            </w:r>
            <w:r w:rsidDel="00000000" w:rsidR="00000000" w:rsidRPr="00000000">
              <w:rPr>
                <w:rtl w:val="0"/>
              </w:rPr>
            </w:r>
          </w:p>
        </w:tc>
        <w:tc>
          <w:tcPr>
            <w:tcMar>
              <w:top w:w="110.0" w:type="dxa"/>
              <w:left w:w="130.0" w:type="dxa"/>
              <w:bottom w:w="110.0" w:type="dxa"/>
              <w:right w:w="130.0" w:type="dxa"/>
            </w:tcMar>
          </w:tcPr>
          <w:p w:rsidR="00000000" w:rsidDel="00000000" w:rsidP="00000000" w:rsidRDefault="00000000" w:rsidRPr="00000000" w14:paraId="00000037">
            <w:pPr>
              <w:spacing w:after="0" w:lineRule="auto"/>
              <w:rPr/>
            </w:pPr>
            <w:r w:rsidDel="00000000" w:rsidR="00000000" w:rsidRPr="00000000">
              <w:rPr>
                <w:rFonts w:ascii="Georgia" w:cs="Georgia" w:eastAsia="Georgia" w:hAnsi="Georgia"/>
                <w:b w:val="1"/>
                <w:bCs w:val="1"/>
                <w:color w:val="20302c"/>
                <w:sz w:val="17"/>
                <w:szCs w:val="17"/>
                <w:rtl w:val="0"/>
              </w:rPr>
              <w:t xml:space="preserve">A threshold on the chart</w:t>
            </w:r>
            <w:r w:rsidDel="00000000" w:rsidR="00000000" w:rsidRPr="00000000">
              <w:rPr>
                <w:rtl w:val="0"/>
              </w:rPr>
            </w:r>
          </w:p>
        </w:tc>
        <w:tc>
          <w:tcPr>
            <w:tcMar>
              <w:top w:w="110.0" w:type="dxa"/>
              <w:left w:w="130.0" w:type="dxa"/>
              <w:bottom w:w="110.0" w:type="dxa"/>
              <w:right w:w="130.0" w:type="dxa"/>
            </w:tcMar>
          </w:tcPr>
          <w:p w:rsidR="00000000" w:rsidDel="00000000" w:rsidP="00000000" w:rsidRDefault="00000000" w:rsidRPr="00000000" w14:paraId="00000038">
            <w:pPr>
              <w:spacing w:after="0" w:lineRule="auto"/>
              <w:rPr/>
            </w:pPr>
            <w:r w:rsidDel="00000000" w:rsidR="00000000" w:rsidRPr="00000000">
              <w:rPr>
                <w:rFonts w:ascii="Georgia" w:cs="Georgia" w:eastAsia="Georgia" w:hAnsi="Georgia"/>
                <w:color w:val="20302c"/>
                <w:sz w:val="17"/>
                <w:szCs w:val="17"/>
                <w:rtl w:val="0"/>
              </w:rPr>
              <w:t xml:space="preserve">The eGFR line now shows the CKD stage 3 boundary at 60. The patient sits two points above it, which is the reason the trend matters.</w:t>
            </w:r>
            <w:r w:rsidDel="00000000" w:rsidR="00000000" w:rsidRPr="00000000">
              <w:rPr>
                <w:rtl w:val="0"/>
              </w:rPr>
            </w:r>
          </w:p>
        </w:tc>
      </w:tr>
    </w:tbl>
    <w:p w:rsidR="00000000" w:rsidDel="00000000" w:rsidP="00000000" w:rsidRDefault="00000000" w:rsidRPr="00000000" w14:paraId="00000039">
      <w:pPr>
        <w:spacing w:after="100" w:before="200" w:line="270" w:lineRule="auto"/>
        <w:rPr/>
      </w:pPr>
      <w:r w:rsidDel="00000000" w:rsidR="00000000" w:rsidRPr="00000000">
        <w:rPr>
          <w:rFonts w:ascii="Georgia" w:cs="Georgia" w:eastAsia="Georgia" w:hAnsi="Georgia"/>
          <w:i w:val="1"/>
          <w:iCs w:val="1"/>
          <w:color w:val="5e716c"/>
          <w:sz w:val="18"/>
          <w:szCs w:val="18"/>
          <w:rtl w:val="0"/>
        </w:rPr>
        <w:t xml:space="preserve">Two decisions remain open: whether this is branded CareMap or Inlay Health, and whether the action buttons drive the nine-state order lifecycle or stay presentational.</w:t>
      </w:r>
      <w:r w:rsidDel="00000000" w:rsidR="00000000" w:rsidRPr="00000000">
        <w:rPr>
          <w:rtl w:val="0"/>
        </w:rPr>
      </w:r>
    </w:p>
    <w:sectPr>
      <w:footerReference r:id="rId16" w:type="default"/>
      <w:pgSz w:h="12240" w:w="15840" w:orient="landscape"/>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center"/>
      <w:rPr/>
    </w:pPr>
    <w:r w:rsidDel="00000000" w:rsidR="00000000" w:rsidRPr="00000000">
      <w:rPr>
        <w:rFonts w:ascii="Arial" w:cs="Arial" w:eastAsia="Arial" w:hAnsi="Arial"/>
        <w:color w:val="5e716c"/>
        <w:sz w:val="15"/>
        <w:szCs w:val="15"/>
        <w:rtl w:val="0"/>
      </w:rPr>
      <w:t xml:space="preserve">CareMap Physician Dashboard  ·  </w:t>
    </w:r>
    <w:r w:rsidDel="00000000" w:rsidR="00000000" w:rsidRPr="00000000">
      <w:rPr>
        <w:rFonts w:ascii="Arial" w:cs="Arial" w:eastAsia="Arial" w:hAnsi="Arial"/>
        <w:color w:val="5e716c"/>
        <w:sz w:val="15"/>
        <w:szCs w:val="15"/>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20302c"/>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0302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