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5140" w14:textId="3EAD732C" w:rsidR="000E003C" w:rsidRPr="000E003C" w:rsidRDefault="000E003C" w:rsidP="00213BE6">
      <w:pPr>
        <w:shd w:val="clear" w:color="auto" w:fill="FFFFFF"/>
        <w:spacing w:after="0" w:line="240" w:lineRule="auto"/>
        <w:rPr>
          <w:rFonts w:ascii="inherit" w:eastAsia="Times New Roman" w:hAnsi="inherit" w:cs="Times New Roman"/>
          <w:b/>
          <w:bCs/>
          <w:color w:val="242424"/>
          <w:kern w:val="0"/>
          <w:sz w:val="22"/>
          <w:szCs w:val="22"/>
          <w:bdr w:val="none" w:sz="0" w:space="0" w:color="auto" w:frame="1"/>
          <w14:ligatures w14:val="none"/>
        </w:rPr>
      </w:pPr>
      <w:r w:rsidRPr="000E003C">
        <w:rPr>
          <w:rFonts w:ascii="inherit" w:eastAsia="Times New Roman" w:hAnsi="inherit" w:cs="Times New Roman"/>
          <w:b/>
          <w:bCs/>
          <w:color w:val="242424"/>
          <w:kern w:val="0"/>
          <w:sz w:val="22"/>
          <w:szCs w:val="22"/>
          <w:bdr w:val="none" w:sz="0" w:space="0" w:color="auto" w:frame="1"/>
          <w14:ligatures w14:val="none"/>
        </w:rPr>
        <w:t>Carolyn Avery</w:t>
      </w:r>
    </w:p>
    <w:p w14:paraId="06E3C5E9" w14:textId="3841BFD0" w:rsidR="00213BE6" w:rsidRPr="00213BE6" w:rsidRDefault="00213BE6" w:rsidP="00213BE6">
      <w:pPr>
        <w:shd w:val="clear" w:color="auto" w:fill="FFFFFF"/>
        <w:spacing w:after="0" w:line="240" w:lineRule="auto"/>
        <w:rPr>
          <w:rFonts w:ascii="Aptos" w:eastAsia="Times New Roman" w:hAnsi="Aptos" w:cs="Times New Roman"/>
          <w:color w:val="242424"/>
          <w:kern w:val="0"/>
          <w14:ligatures w14:val="none"/>
        </w:rPr>
      </w:pPr>
      <w:r w:rsidRPr="00213BE6">
        <w:rPr>
          <w:rFonts w:ascii="inherit" w:eastAsia="Times New Roman" w:hAnsi="inherit" w:cs="Times New Roman"/>
          <w:color w:val="242424"/>
          <w:kern w:val="0"/>
          <w:sz w:val="22"/>
          <w:szCs w:val="22"/>
          <w:bdr w:val="none" w:sz="0" w:space="0" w:color="auto" w:frame="1"/>
          <w14:ligatures w14:val="none"/>
        </w:rPr>
        <w:t>A few general thoughts on assessing the involved pediatric population:</w:t>
      </w:r>
    </w:p>
    <w:p w14:paraId="6B2C2886" w14:textId="77777777" w:rsidR="00213BE6" w:rsidRPr="00213BE6" w:rsidRDefault="00213BE6" w:rsidP="00213BE6">
      <w:pPr>
        <w:numPr>
          <w:ilvl w:val="0"/>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 xml:space="preserve">Health metrics </w:t>
      </w:r>
      <w:proofErr w:type="gramStart"/>
      <w:r w:rsidRPr="00213BE6">
        <w:rPr>
          <w:rFonts w:ascii="inherit" w:eastAsia="Times New Roman" w:hAnsi="inherit" w:cs="Segoe UI"/>
          <w:color w:val="242424"/>
          <w:kern w:val="0"/>
          <w:sz w:val="22"/>
          <w:szCs w:val="22"/>
          <w:bdr w:val="none" w:sz="0" w:space="0" w:color="auto" w:frame="1"/>
          <w14:ligatures w14:val="none"/>
        </w:rPr>
        <w:t>similar to</w:t>
      </w:r>
      <w:proofErr w:type="gramEnd"/>
      <w:r w:rsidRPr="00213BE6">
        <w:rPr>
          <w:rFonts w:ascii="inherit" w:eastAsia="Times New Roman" w:hAnsi="inherit" w:cs="Segoe UI"/>
          <w:color w:val="242424"/>
          <w:kern w:val="0"/>
          <w:sz w:val="22"/>
          <w:szCs w:val="22"/>
          <w:bdr w:val="none" w:sz="0" w:space="0" w:color="auto" w:frame="1"/>
          <w14:ligatures w14:val="none"/>
        </w:rPr>
        <w:t xml:space="preserve"> adults:</w:t>
      </w:r>
    </w:p>
    <w:p w14:paraId="181B9551" w14:textId="77777777" w:rsidR="00213BE6" w:rsidRPr="00213BE6" w:rsidRDefault="00213BE6" w:rsidP="00213BE6">
      <w:pPr>
        <w:numPr>
          <w:ilvl w:val="1"/>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highlight w:val="yellow"/>
          <w:bdr w:val="none" w:sz="0" w:space="0" w:color="auto" w:frame="1"/>
          <w14:ligatures w14:val="none"/>
        </w:rPr>
        <w:t>BMI, A1c, ALT, lipids</w:t>
      </w:r>
      <w:r w:rsidRPr="00213BE6">
        <w:rPr>
          <w:rFonts w:ascii="inherit" w:eastAsia="Times New Roman" w:hAnsi="inherit" w:cs="Segoe UI"/>
          <w:color w:val="242424"/>
          <w:kern w:val="0"/>
          <w:sz w:val="22"/>
          <w:szCs w:val="22"/>
          <w:bdr w:val="none" w:sz="0" w:space="0" w:color="auto" w:frame="1"/>
          <w14:ligatures w14:val="none"/>
        </w:rPr>
        <w:t xml:space="preserve"> (these are recommended screening obesity labs for children). In children, they might not always have height measured (if a sick or return visit for </w:t>
      </w:r>
      <w:proofErr w:type="spellStart"/>
      <w:r w:rsidRPr="00213BE6">
        <w:rPr>
          <w:rFonts w:ascii="inherit" w:eastAsia="Times New Roman" w:hAnsi="inherit" w:cs="Segoe UI"/>
          <w:color w:val="242424"/>
          <w:kern w:val="0"/>
          <w:sz w:val="22"/>
          <w:szCs w:val="22"/>
          <w:bdr w:val="none" w:sz="0" w:space="0" w:color="auto" w:frame="1"/>
          <w14:ligatures w14:val="none"/>
        </w:rPr>
        <w:t>nonobesity</w:t>
      </w:r>
      <w:proofErr w:type="spellEnd"/>
      <w:r w:rsidRPr="00213BE6">
        <w:rPr>
          <w:rFonts w:ascii="inherit" w:eastAsia="Times New Roman" w:hAnsi="inherit" w:cs="Segoe UI"/>
          <w:color w:val="242424"/>
          <w:kern w:val="0"/>
          <w:sz w:val="22"/>
          <w:szCs w:val="22"/>
          <w:bdr w:val="none" w:sz="0" w:space="0" w:color="auto" w:frame="1"/>
          <w14:ligatures w14:val="none"/>
        </w:rPr>
        <w:t>/metabolic related complaint) so BMI data points may just be year to year.</w:t>
      </w:r>
    </w:p>
    <w:p w14:paraId="753C08FB" w14:textId="77777777" w:rsidR="00213BE6" w:rsidRPr="00213BE6" w:rsidRDefault="00213BE6" w:rsidP="00213BE6">
      <w:pPr>
        <w:numPr>
          <w:ilvl w:val="0"/>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Health metrics unique to children:</w:t>
      </w:r>
    </w:p>
    <w:p w14:paraId="1B318D1B" w14:textId="77777777" w:rsidR="00213BE6" w:rsidRPr="00213BE6" w:rsidRDefault="00213BE6" w:rsidP="00213BE6">
      <w:pPr>
        <w:numPr>
          <w:ilvl w:val="1"/>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Dental caries but very hard to have this data unless you have dental claims data. We sometimes document in Problem List or Visit Diagnoses but rarely.</w:t>
      </w:r>
    </w:p>
    <w:p w14:paraId="56FF0B77" w14:textId="77777777" w:rsidR="00213BE6" w:rsidRPr="00213BE6" w:rsidRDefault="00213BE6" w:rsidP="00213BE6">
      <w:pPr>
        <w:numPr>
          <w:ilvl w:val="1"/>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highlight w:val="green"/>
          <w:bdr w:val="none" w:sz="0" w:space="0" w:color="auto" w:frame="1"/>
          <w14:ligatures w14:val="none"/>
        </w:rPr>
        <w:t>If children 2y and younger, could look at their screening hemoglobin for anemia (we do at 1y and 2y well visits)</w:t>
      </w:r>
      <w:r w:rsidRPr="00213BE6">
        <w:rPr>
          <w:rFonts w:ascii="inherit" w:eastAsia="Times New Roman" w:hAnsi="inherit" w:cs="Segoe UI"/>
          <w:color w:val="242424"/>
          <w:kern w:val="0"/>
          <w:sz w:val="22"/>
          <w:szCs w:val="22"/>
          <w:bdr w:val="none" w:sz="0" w:space="0" w:color="auto" w:frame="1"/>
          <w14:ligatures w14:val="none"/>
        </w:rPr>
        <w:t>.  </w:t>
      </w:r>
    </w:p>
    <w:p w14:paraId="1167B916" w14:textId="77777777" w:rsidR="00213BE6" w:rsidRPr="00213BE6" w:rsidRDefault="00213BE6" w:rsidP="00213BE6">
      <w:pPr>
        <w:numPr>
          <w:ilvl w:val="1"/>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 xml:space="preserve">Development: we </w:t>
      </w:r>
      <w:r w:rsidRPr="00213BE6">
        <w:rPr>
          <w:rFonts w:ascii="inherit" w:eastAsia="Times New Roman" w:hAnsi="inherit" w:cs="Segoe UI"/>
          <w:color w:val="242424"/>
          <w:kern w:val="0"/>
          <w:sz w:val="22"/>
          <w:szCs w:val="22"/>
          <w:highlight w:val="green"/>
          <w:bdr w:val="none" w:sz="0" w:space="0" w:color="auto" w:frame="1"/>
          <w14:ligatures w14:val="none"/>
        </w:rPr>
        <w:t>use the SWYC as our developmental screening tool at all well visits 2 months-5 years</w:t>
      </w:r>
      <w:r w:rsidRPr="00213BE6">
        <w:rPr>
          <w:rFonts w:ascii="inherit" w:eastAsia="Times New Roman" w:hAnsi="inherit" w:cs="Segoe UI"/>
          <w:color w:val="242424"/>
          <w:kern w:val="0"/>
          <w:sz w:val="22"/>
          <w:szCs w:val="22"/>
          <w:bdr w:val="none" w:sz="0" w:space="0" w:color="auto" w:frame="1"/>
          <w14:ligatures w14:val="none"/>
        </w:rPr>
        <w:t xml:space="preserve"> (data in flowsheets), you could look at this and trend for younger children.</w:t>
      </w:r>
    </w:p>
    <w:p w14:paraId="53344733" w14:textId="77777777" w:rsidR="00213BE6" w:rsidRPr="00213BE6" w:rsidRDefault="00213BE6" w:rsidP="00213BE6">
      <w:pPr>
        <w:numPr>
          <w:ilvl w:val="0"/>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Health care utilization</w:t>
      </w:r>
    </w:p>
    <w:p w14:paraId="179C50F0" w14:textId="77777777" w:rsidR="00213BE6" w:rsidRPr="00213BE6" w:rsidRDefault="00213BE6" w:rsidP="00213BE6">
      <w:pPr>
        <w:numPr>
          <w:ilvl w:val="1"/>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Under-utilization: probably the easiest would be if had a well visit in past year (younger children are seen more often if 3y or younger but can be too complicated depending on data model)</w:t>
      </w:r>
    </w:p>
    <w:p w14:paraId="62D9BFC2" w14:textId="77777777" w:rsidR="00213BE6" w:rsidRPr="00213BE6" w:rsidRDefault="00213BE6" w:rsidP="00213BE6">
      <w:pPr>
        <w:numPr>
          <w:ilvl w:val="1"/>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Over-utilization: number of ED visits in past year</w:t>
      </w:r>
    </w:p>
    <w:p w14:paraId="569E54A2" w14:textId="77777777" w:rsidR="00213BE6" w:rsidRPr="00213BE6" w:rsidRDefault="00213BE6" w:rsidP="00213BE6">
      <w:pPr>
        <w:numPr>
          <w:ilvl w:val="0"/>
          <w:numId w:val="1"/>
        </w:numPr>
        <w:shd w:val="clear" w:color="auto" w:fill="FFFFFF"/>
        <w:spacing w:after="0" w:line="240" w:lineRule="auto"/>
        <w:rPr>
          <w:rFonts w:ascii="Aptos" w:eastAsia="Times New Roman" w:hAnsi="Aptos" w:cs="Segoe UI"/>
          <w:color w:val="242424"/>
          <w:kern w:val="0"/>
          <w14:ligatures w14:val="none"/>
        </w:rPr>
      </w:pPr>
      <w:r w:rsidRPr="00213BE6">
        <w:rPr>
          <w:rFonts w:ascii="inherit" w:eastAsia="Times New Roman" w:hAnsi="inherit" w:cs="Segoe UI"/>
          <w:color w:val="242424"/>
          <w:kern w:val="0"/>
          <w:sz w:val="22"/>
          <w:szCs w:val="22"/>
          <w:bdr w:val="none" w:sz="0" w:space="0" w:color="auto" w:frame="1"/>
          <w14:ligatures w14:val="none"/>
        </w:rPr>
        <w:t>Vaccinations are tricky and I’m not sure worth looking at depending on the age range—most of our school age children are UTD because they need to be for school. Younger children are just so dependent at what time point you are looking at.</w:t>
      </w:r>
    </w:p>
    <w:p w14:paraId="576BF7FD" w14:textId="73197D62" w:rsidR="0015658D" w:rsidRDefault="00213BE6">
      <w:pPr>
        <w:rPr>
          <w:rFonts w:ascii="Apple Color Emoji" w:hAnsi="Apple Color Emoji"/>
          <w:color w:val="242424"/>
          <w:sz w:val="22"/>
          <w:szCs w:val="22"/>
          <w:bdr w:val="none" w:sz="0" w:space="0" w:color="auto" w:frame="1"/>
          <w:shd w:val="clear" w:color="auto" w:fill="FFFFFF"/>
        </w:rPr>
      </w:pPr>
      <w:r>
        <w:rPr>
          <w:rFonts w:ascii="Aptos" w:hAnsi="Aptos"/>
          <w:color w:val="242424"/>
          <w:sz w:val="22"/>
          <w:szCs w:val="22"/>
          <w:bdr w:val="none" w:sz="0" w:space="0" w:color="auto" w:frame="1"/>
          <w:shd w:val="clear" w:color="auto" w:fill="FFFFFF"/>
        </w:rPr>
        <w:t>Another consideration is the household effect of these interventions. So even if the pediatric patient is not the one who prompted the FFP referral/enrollment, do you have data on whether there are children in the home for adult-enrolled patients? And could those children also be evaluated since they have benefited from access to regular, fresh produce? We have been thinking about the corollary of this for adults with health problems in home when the child is the referral patient. Just a thought. </w:t>
      </w:r>
      <w:r>
        <w:rPr>
          <w:rFonts w:ascii="Apple Color Emoji" w:hAnsi="Apple Color Emoji"/>
          <w:color w:val="242424"/>
          <w:sz w:val="22"/>
          <w:szCs w:val="22"/>
          <w:bdr w:val="none" w:sz="0" w:space="0" w:color="auto" w:frame="1"/>
          <w:shd w:val="clear" w:color="auto" w:fill="FFFFFF"/>
        </w:rPr>
        <w:t>😊</w:t>
      </w:r>
    </w:p>
    <w:p w14:paraId="3D0AB54B" w14:textId="30DE6F43" w:rsidR="00213BE6" w:rsidRPr="000E003C" w:rsidRDefault="000E003C">
      <w:pPr>
        <w:rPr>
          <w:rFonts w:ascii="Cambria" w:hAnsi="Cambria"/>
          <w:b/>
          <w:bCs/>
          <w:color w:val="242424"/>
          <w:sz w:val="22"/>
          <w:szCs w:val="22"/>
          <w:bdr w:val="none" w:sz="0" w:space="0" w:color="auto" w:frame="1"/>
          <w:shd w:val="clear" w:color="auto" w:fill="FFFFFF"/>
        </w:rPr>
      </w:pPr>
      <w:r w:rsidRPr="000E003C">
        <w:rPr>
          <w:rFonts w:ascii="Cambria" w:hAnsi="Cambria"/>
          <w:b/>
          <w:bCs/>
          <w:color w:val="242424"/>
          <w:sz w:val="22"/>
          <w:szCs w:val="22"/>
          <w:bdr w:val="none" w:sz="0" w:space="0" w:color="auto" w:frame="1"/>
          <w:shd w:val="clear" w:color="auto" w:fill="FFFFFF"/>
        </w:rPr>
        <w:t>Sarah Armstrong</w:t>
      </w:r>
    </w:p>
    <w:p w14:paraId="66F2EDC6" w14:textId="7B26FBED" w:rsidR="00213BE6" w:rsidRDefault="00213BE6">
      <w:r>
        <w:rPr>
          <w:color w:val="000000"/>
          <w:shd w:val="clear" w:color="auto" w:fill="FFFFFF"/>
        </w:rPr>
        <w:t xml:space="preserve">I think you should expect not to see big (if any) differences in these measures, but it’s worthwhile to include those you list below (Hgb, Hct, </w:t>
      </w:r>
      <w:proofErr w:type="spellStart"/>
      <w:r>
        <w:rPr>
          <w:color w:val="000000"/>
          <w:shd w:val="clear" w:color="auto" w:fill="FFFFFF"/>
        </w:rPr>
        <w:t>Plts</w:t>
      </w:r>
      <w:proofErr w:type="spellEnd"/>
      <w:r>
        <w:rPr>
          <w:color w:val="000000"/>
          <w:shd w:val="clear" w:color="auto" w:fill="FFFFFF"/>
        </w:rPr>
        <w:t>, A1c, BMI percentile, blood pressure, and immunization rates).  Process measures may be more likely to show a change - if you can include Food security (Susan should be able to advise how to extract from EPIC) and then # well visits/year, ED/hospitalizations as a healthcare utilization measure that could potentially show an impact and be powerful.</w:t>
      </w:r>
    </w:p>
    <w:sectPr w:rsidR="00213BE6" w:rsidSect="00756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16801"/>
    <w:multiLevelType w:val="multilevel"/>
    <w:tmpl w:val="8AFA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4185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BE6"/>
    <w:rsid w:val="000E003C"/>
    <w:rsid w:val="0015658D"/>
    <w:rsid w:val="00213BE6"/>
    <w:rsid w:val="005C6885"/>
    <w:rsid w:val="007568C6"/>
    <w:rsid w:val="008E5629"/>
    <w:rsid w:val="00954E46"/>
    <w:rsid w:val="009A48DF"/>
    <w:rsid w:val="00A437C3"/>
    <w:rsid w:val="00B907BF"/>
    <w:rsid w:val="00CF436E"/>
    <w:rsid w:val="00DA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01F155"/>
  <w15:chartTrackingRefBased/>
  <w15:docId w15:val="{7F5340DC-3D6A-4441-BE59-99B06D08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B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B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B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B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BE6"/>
    <w:rPr>
      <w:rFonts w:eastAsiaTheme="majorEastAsia" w:cstheme="majorBidi"/>
      <w:color w:val="272727" w:themeColor="text1" w:themeTint="D8"/>
    </w:rPr>
  </w:style>
  <w:style w:type="paragraph" w:styleId="Title">
    <w:name w:val="Title"/>
    <w:basedOn w:val="Normal"/>
    <w:next w:val="Normal"/>
    <w:link w:val="TitleChar"/>
    <w:uiPriority w:val="10"/>
    <w:qFormat/>
    <w:rsid w:val="00213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BE6"/>
    <w:pPr>
      <w:spacing w:before="160"/>
      <w:jc w:val="center"/>
    </w:pPr>
    <w:rPr>
      <w:i/>
      <w:iCs/>
      <w:color w:val="404040" w:themeColor="text1" w:themeTint="BF"/>
    </w:rPr>
  </w:style>
  <w:style w:type="character" w:customStyle="1" w:styleId="QuoteChar">
    <w:name w:val="Quote Char"/>
    <w:basedOn w:val="DefaultParagraphFont"/>
    <w:link w:val="Quote"/>
    <w:uiPriority w:val="29"/>
    <w:rsid w:val="00213BE6"/>
    <w:rPr>
      <w:i/>
      <w:iCs/>
      <w:color w:val="404040" w:themeColor="text1" w:themeTint="BF"/>
    </w:rPr>
  </w:style>
  <w:style w:type="paragraph" w:styleId="ListParagraph">
    <w:name w:val="List Paragraph"/>
    <w:basedOn w:val="Normal"/>
    <w:uiPriority w:val="34"/>
    <w:qFormat/>
    <w:rsid w:val="00213BE6"/>
    <w:pPr>
      <w:ind w:left="720"/>
      <w:contextualSpacing/>
    </w:pPr>
  </w:style>
  <w:style w:type="character" w:styleId="IntenseEmphasis">
    <w:name w:val="Intense Emphasis"/>
    <w:basedOn w:val="DefaultParagraphFont"/>
    <w:uiPriority w:val="21"/>
    <w:qFormat/>
    <w:rsid w:val="00213BE6"/>
    <w:rPr>
      <w:i/>
      <w:iCs/>
      <w:color w:val="0F4761" w:themeColor="accent1" w:themeShade="BF"/>
    </w:rPr>
  </w:style>
  <w:style w:type="paragraph" w:styleId="IntenseQuote">
    <w:name w:val="Intense Quote"/>
    <w:basedOn w:val="Normal"/>
    <w:next w:val="Normal"/>
    <w:link w:val="IntenseQuoteChar"/>
    <w:uiPriority w:val="30"/>
    <w:qFormat/>
    <w:rsid w:val="00213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BE6"/>
    <w:rPr>
      <w:i/>
      <w:iCs/>
      <w:color w:val="0F4761" w:themeColor="accent1" w:themeShade="BF"/>
    </w:rPr>
  </w:style>
  <w:style w:type="character" w:styleId="IntenseReference">
    <w:name w:val="Intense Reference"/>
    <w:basedOn w:val="DefaultParagraphFont"/>
    <w:uiPriority w:val="32"/>
    <w:qFormat/>
    <w:rsid w:val="00213BE6"/>
    <w:rPr>
      <w:b/>
      <w:bCs/>
      <w:smallCaps/>
      <w:color w:val="0F4761" w:themeColor="accent1" w:themeShade="BF"/>
      <w:spacing w:val="5"/>
    </w:rPr>
  </w:style>
  <w:style w:type="paragraph" w:styleId="NormalWeb">
    <w:name w:val="Normal (Web)"/>
    <w:basedOn w:val="Normal"/>
    <w:uiPriority w:val="99"/>
    <w:semiHidden/>
    <w:unhideWhenUsed/>
    <w:rsid w:val="00213B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Lane</dc:creator>
  <cp:keywords/>
  <dc:description/>
  <cp:lastModifiedBy>Andrea Lane</cp:lastModifiedBy>
  <cp:revision>3</cp:revision>
  <dcterms:created xsi:type="dcterms:W3CDTF">2025-10-01T16:47:00Z</dcterms:created>
  <dcterms:modified xsi:type="dcterms:W3CDTF">2025-10-01T16:52:00Z</dcterms:modified>
</cp:coreProperties>
</file>