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B02" w:rsidRDefault="00CA6848" w:rsidP="00CA6848">
      <w:pPr>
        <w:pStyle w:val="Titel"/>
      </w:pPr>
      <w:proofErr w:type="spellStart"/>
      <w:r>
        <w:t>FiBu</w:t>
      </w:r>
      <w:proofErr w:type="spellEnd"/>
      <w:r>
        <w:t xml:space="preserve"> 07.10.2022</w:t>
      </w:r>
    </w:p>
    <w:p w:rsidR="00CA6848" w:rsidRPr="00CA6848" w:rsidRDefault="00CA6848" w:rsidP="00CA6848"/>
    <w:p w:rsidR="00CA6848" w:rsidRDefault="00CA6848" w:rsidP="00CA6848">
      <w:pPr>
        <w:pStyle w:val="Listenabsatz"/>
        <w:numPr>
          <w:ilvl w:val="0"/>
          <w:numId w:val="1"/>
        </w:numPr>
      </w:pPr>
      <w:r>
        <w:rPr>
          <w:b/>
        </w:rPr>
        <w:t xml:space="preserve">Externe Finanzbuchhaltung </w:t>
      </w:r>
      <w:r>
        <w:t>= Erfolgsrechnung</w:t>
      </w:r>
    </w:p>
    <w:p w:rsidR="00CA6848" w:rsidRDefault="00CA6848" w:rsidP="00CA6848">
      <w:pPr>
        <w:pStyle w:val="Listenabsatz"/>
        <w:numPr>
          <w:ilvl w:val="1"/>
          <w:numId w:val="1"/>
        </w:numPr>
      </w:pPr>
      <w:r>
        <w:t xml:space="preserve">In die Vergangenheit blickend </w:t>
      </w:r>
    </w:p>
    <w:p w:rsidR="00CA6848" w:rsidRDefault="00CA6848" w:rsidP="00CA6848">
      <w:pPr>
        <w:pStyle w:val="Listenabsatz"/>
        <w:numPr>
          <w:ilvl w:val="1"/>
          <w:numId w:val="1"/>
        </w:numPr>
      </w:pPr>
      <w:r w:rsidRPr="00CA6848">
        <w:t>Gesetzlich</w:t>
      </w:r>
      <w:r>
        <w:t xml:space="preserve"> vorgeschrieben</w:t>
      </w:r>
    </w:p>
    <w:p w:rsidR="00CA6848" w:rsidRDefault="00CA6848" w:rsidP="00CA6848">
      <w:pPr>
        <w:pStyle w:val="Listenabsatz"/>
        <w:numPr>
          <w:ilvl w:val="0"/>
          <w:numId w:val="1"/>
        </w:numPr>
        <w:spacing w:before="240"/>
      </w:pPr>
      <w:r>
        <w:rPr>
          <w:b/>
        </w:rPr>
        <w:t xml:space="preserve">Interne Finanz-/Betriebsbuchhaltung </w:t>
      </w:r>
      <w:r>
        <w:t>= Kosten-/Leistung</w:t>
      </w:r>
    </w:p>
    <w:p w:rsidR="00CA6848" w:rsidRDefault="00CA6848" w:rsidP="00CA6848">
      <w:pPr>
        <w:pStyle w:val="Listenabsatz"/>
        <w:numPr>
          <w:ilvl w:val="1"/>
          <w:numId w:val="1"/>
        </w:numPr>
        <w:spacing w:before="240"/>
      </w:pPr>
      <w:r>
        <w:t>Nach vorne schauend</w:t>
      </w:r>
    </w:p>
    <w:p w:rsidR="00CA6848" w:rsidRDefault="00CA6848" w:rsidP="00CA6848">
      <w:pPr>
        <w:pStyle w:val="Listenabsatz"/>
        <w:numPr>
          <w:ilvl w:val="1"/>
          <w:numId w:val="1"/>
        </w:numPr>
        <w:spacing w:before="240"/>
      </w:pPr>
      <w:r>
        <w:t>Kalkulation &amp; Budgetierung</w:t>
      </w:r>
    </w:p>
    <w:p w:rsidR="00CA6848" w:rsidRDefault="00CA6848" w:rsidP="00CA6848">
      <w:pPr>
        <w:pStyle w:val="Listenabsatz"/>
        <w:numPr>
          <w:ilvl w:val="1"/>
          <w:numId w:val="1"/>
        </w:numPr>
        <w:spacing w:before="240"/>
      </w:pPr>
      <w:r>
        <w:t>Nicht gesetzlich vorgeschrieben</w:t>
      </w:r>
    </w:p>
    <w:p w:rsidR="00CA6848" w:rsidRPr="00CA6848" w:rsidRDefault="00CA6848" w:rsidP="00CA6848">
      <w:pPr>
        <w:pStyle w:val="Listenabsatz"/>
        <w:numPr>
          <w:ilvl w:val="0"/>
          <w:numId w:val="2"/>
        </w:numPr>
        <w:spacing w:before="240"/>
      </w:pPr>
      <w:r>
        <w:t xml:space="preserve">selbe Daten </w:t>
      </w:r>
      <w:r>
        <w:rPr>
          <w:b/>
        </w:rPr>
        <w:t>anders aufbereitet</w:t>
      </w:r>
    </w:p>
    <w:p w:rsidR="00CA6848" w:rsidRDefault="00CA6848" w:rsidP="00CA6848">
      <w:pPr>
        <w:spacing w:before="240"/>
      </w:pPr>
    </w:p>
    <w:p w:rsidR="00CA6848" w:rsidRDefault="00CA6848" w:rsidP="00CA6848">
      <w:pPr>
        <w:pStyle w:val="Listenabsatz"/>
        <w:numPr>
          <w:ilvl w:val="0"/>
          <w:numId w:val="1"/>
        </w:numPr>
        <w:spacing w:before="240"/>
      </w:pPr>
      <w:proofErr w:type="spellStart"/>
      <w:r>
        <w:t>FiBu</w:t>
      </w:r>
      <w:proofErr w:type="spellEnd"/>
      <w:r>
        <w:t xml:space="preserve"> beschäftigt sich </w:t>
      </w:r>
      <w:r w:rsidR="00552CB5">
        <w:rPr>
          <w:u w:val="single"/>
        </w:rPr>
        <w:t>nur</w:t>
      </w:r>
      <w:r w:rsidR="00552CB5">
        <w:t xml:space="preserve"> mit externen Finanzbuchhaltung</w:t>
      </w:r>
    </w:p>
    <w:p w:rsidR="00552CB5" w:rsidRDefault="00552CB5" w:rsidP="00552CB5">
      <w:pPr>
        <w:spacing w:before="240"/>
      </w:pPr>
    </w:p>
    <w:p w:rsidR="00552CB5" w:rsidRDefault="00552CB5" w:rsidP="00552CB5">
      <w:pPr>
        <w:spacing w:before="240"/>
      </w:pPr>
      <w:r>
        <w:rPr>
          <w:b/>
        </w:rPr>
        <w:t xml:space="preserve">Aufschreiben von </w:t>
      </w:r>
      <w:proofErr w:type="spellStart"/>
      <w:r>
        <w:rPr>
          <w:b/>
        </w:rPr>
        <w:t>Geschäftvorgängen</w:t>
      </w:r>
      <w:proofErr w:type="spellEnd"/>
    </w:p>
    <w:p w:rsidR="00552CB5" w:rsidRDefault="00552CB5" w:rsidP="00552CB5">
      <w:pPr>
        <w:pStyle w:val="Listenabsatz"/>
        <w:numPr>
          <w:ilvl w:val="0"/>
          <w:numId w:val="1"/>
        </w:numPr>
        <w:spacing w:before="240"/>
      </w:pPr>
      <w:r>
        <w:t xml:space="preserve">Alle Vorgänge werden </w:t>
      </w:r>
      <w:r w:rsidRPr="00170D1E">
        <w:rPr>
          <w:b/>
        </w:rPr>
        <w:t>chronologisch</w:t>
      </w:r>
      <w:r>
        <w:t xml:space="preserve"> aufgeschrieben</w:t>
      </w:r>
    </w:p>
    <w:p w:rsidR="00552CB5" w:rsidRDefault="00552CB5" w:rsidP="00552CB5">
      <w:pPr>
        <w:pStyle w:val="Listenabsatz"/>
        <w:numPr>
          <w:ilvl w:val="0"/>
          <w:numId w:val="1"/>
        </w:numPr>
        <w:spacing w:before="240"/>
      </w:pPr>
      <w:r w:rsidRPr="00170D1E">
        <w:rPr>
          <w:color w:val="ED7D31" w:themeColor="accent2"/>
        </w:rPr>
        <w:t xml:space="preserve">Jeder Vorgang muss 2x </w:t>
      </w:r>
      <w:r>
        <w:t>auftauchen</w:t>
      </w:r>
    </w:p>
    <w:p w:rsidR="00552CB5" w:rsidRDefault="00552CB5" w:rsidP="00552CB5">
      <w:pPr>
        <w:pStyle w:val="Listenabsatz"/>
        <w:numPr>
          <w:ilvl w:val="1"/>
          <w:numId w:val="1"/>
        </w:numPr>
        <w:spacing w:before="240"/>
      </w:pPr>
      <w:r>
        <w:t>Wenn etwas reinkommt (z.B. 200 Bretter wurden geliefert)</w:t>
      </w:r>
    </w:p>
    <w:p w:rsidR="00552CB5" w:rsidRDefault="00552CB5" w:rsidP="00552CB5">
      <w:pPr>
        <w:pStyle w:val="Listenabsatz"/>
        <w:numPr>
          <w:ilvl w:val="1"/>
          <w:numId w:val="1"/>
        </w:numPr>
        <w:spacing w:before="240"/>
      </w:pPr>
      <w:r>
        <w:t>Wenn etwas rausgeht (z.B. 100€ als Bezahlung für die genannten 200 Bretter)</w:t>
      </w:r>
    </w:p>
    <w:p w:rsidR="00552CB5" w:rsidRDefault="00552CB5" w:rsidP="00552CB5">
      <w:pPr>
        <w:pStyle w:val="Listenabsatz"/>
        <w:numPr>
          <w:ilvl w:val="0"/>
          <w:numId w:val="2"/>
        </w:numPr>
        <w:spacing w:before="240"/>
      </w:pPr>
      <w:r w:rsidRPr="00552CB5">
        <w:t>V</w:t>
      </w:r>
      <w:r>
        <w:t xml:space="preserve">organg 1 und Vorgang zwei muss </w:t>
      </w:r>
      <w:r w:rsidRPr="00552CB5">
        <w:rPr>
          <w:color w:val="C45911" w:themeColor="accent2" w:themeShade="BF"/>
        </w:rPr>
        <w:t>zusammen 0 ergeben</w:t>
      </w:r>
      <w:r>
        <w:t>/sich ausgleichen</w:t>
      </w:r>
    </w:p>
    <w:p w:rsidR="00552CB5" w:rsidRDefault="00552CB5" w:rsidP="00552CB5">
      <w:pPr>
        <w:spacing w:before="240"/>
      </w:pPr>
    </w:p>
    <w:p w:rsidR="00552CB5" w:rsidRDefault="00552CB5" w:rsidP="00552CB5">
      <w:pPr>
        <w:spacing w:before="240"/>
      </w:pPr>
      <w:r>
        <w:rPr>
          <w:b/>
        </w:rPr>
        <w:t>Definition eines Gewerbebetriebes:</w:t>
      </w:r>
    </w:p>
    <w:p w:rsidR="00552CB5" w:rsidRDefault="00552CB5" w:rsidP="00552CB5">
      <w:pPr>
        <w:pStyle w:val="Listenabsatz"/>
        <w:numPr>
          <w:ilvl w:val="0"/>
          <w:numId w:val="1"/>
        </w:numPr>
        <w:spacing w:before="240"/>
      </w:pPr>
      <w:r>
        <w:t>Selbständig</w:t>
      </w:r>
    </w:p>
    <w:p w:rsidR="00552CB5" w:rsidRDefault="00552CB5" w:rsidP="00552CB5">
      <w:pPr>
        <w:pStyle w:val="Listenabsatz"/>
        <w:numPr>
          <w:ilvl w:val="0"/>
          <w:numId w:val="1"/>
        </w:numPr>
        <w:spacing w:before="240"/>
      </w:pPr>
      <w:r>
        <w:t xml:space="preserve">Nachhaltig (d.h. </w:t>
      </w:r>
      <w:r w:rsidRPr="00552CB5">
        <w:rPr>
          <w:i/>
        </w:rPr>
        <w:t>wiederholend</w:t>
      </w:r>
      <w:r>
        <w:t>; nicht nur einmalige Aktion)</w:t>
      </w:r>
    </w:p>
    <w:p w:rsidR="00552CB5" w:rsidRDefault="00552CB5" w:rsidP="00552CB5">
      <w:pPr>
        <w:pStyle w:val="Listenabsatz"/>
        <w:numPr>
          <w:ilvl w:val="0"/>
          <w:numId w:val="1"/>
        </w:numPr>
        <w:spacing w:before="240"/>
      </w:pPr>
      <w:proofErr w:type="spellStart"/>
      <w:r>
        <w:t>Gewinnerziehlungsabsicht</w:t>
      </w:r>
      <w:proofErr w:type="spellEnd"/>
      <w:r>
        <w:t xml:space="preserve"> (d.h. er will </w:t>
      </w:r>
      <w:r w:rsidRPr="00552CB5">
        <w:rPr>
          <w:i/>
        </w:rPr>
        <w:t>Geld</w:t>
      </w:r>
      <w:r>
        <w:t xml:space="preserve"> damit machen)</w:t>
      </w:r>
    </w:p>
    <w:p w:rsidR="00552CB5" w:rsidRDefault="00552CB5" w:rsidP="00552CB5">
      <w:pPr>
        <w:pStyle w:val="Listenabsatz"/>
        <w:numPr>
          <w:ilvl w:val="0"/>
          <w:numId w:val="1"/>
        </w:numPr>
        <w:spacing w:before="240"/>
      </w:pPr>
      <w:r>
        <w:t xml:space="preserve">Beteiligung am wirtschaftlichen Verkehr (d.h. er </w:t>
      </w:r>
      <w:r w:rsidRPr="00552CB5">
        <w:rPr>
          <w:i/>
        </w:rPr>
        <w:t>kauft</w:t>
      </w:r>
      <w:r>
        <w:t xml:space="preserve"> und </w:t>
      </w:r>
      <w:r w:rsidRPr="00552CB5">
        <w:rPr>
          <w:i/>
        </w:rPr>
        <w:t>verkauft</w:t>
      </w:r>
      <w:r>
        <w:t xml:space="preserve"> etwas)</w:t>
      </w:r>
    </w:p>
    <w:p w:rsidR="00552CB5" w:rsidRDefault="00552CB5" w:rsidP="00552CB5">
      <w:pPr>
        <w:pStyle w:val="Listenabsatz"/>
        <w:numPr>
          <w:ilvl w:val="0"/>
          <w:numId w:val="1"/>
        </w:numPr>
        <w:spacing w:before="240"/>
      </w:pPr>
      <w:r>
        <w:t xml:space="preserve">Kein landwirtschaftlicher Betrieb und keine freie Arbeit (u.a. Künstler, Musiker, </w:t>
      </w:r>
      <w:proofErr w:type="spellStart"/>
      <w:r>
        <w:t>etc</w:t>
      </w:r>
      <w:proofErr w:type="spellEnd"/>
      <w:r>
        <w:t>)</w:t>
      </w:r>
    </w:p>
    <w:p w:rsidR="00552CB5" w:rsidRDefault="00552CB5" w:rsidP="00552CB5">
      <w:pPr>
        <w:spacing w:before="240"/>
        <w:rPr>
          <w:b/>
        </w:rPr>
      </w:pPr>
      <w:r>
        <w:t xml:space="preserve">Gewerbebetriebe sind nach </w:t>
      </w:r>
      <w:r w:rsidRPr="00552CB5">
        <w:rPr>
          <w:b/>
        </w:rPr>
        <w:t>Steuerrecht und Handelsrecht verpflichtet Bücher zu führen</w:t>
      </w:r>
    </w:p>
    <w:p w:rsidR="001923B5" w:rsidRDefault="001923B5" w:rsidP="001923B5">
      <w:pPr>
        <w:spacing w:before="240"/>
      </w:pPr>
      <w:r>
        <w:t>Grundlagen der Regeln der Buchführung</w:t>
      </w:r>
    </w:p>
    <w:p w:rsidR="001923B5" w:rsidRDefault="001923B5" w:rsidP="001923B5">
      <w:pPr>
        <w:pStyle w:val="Listenabsatz"/>
        <w:numPr>
          <w:ilvl w:val="0"/>
          <w:numId w:val="1"/>
        </w:numPr>
        <w:spacing w:before="240"/>
      </w:pPr>
      <w:r>
        <w:rPr>
          <w:b/>
        </w:rPr>
        <w:t>Grundsätze ordnungsmäßiger Buchführung (GOB):</w:t>
      </w:r>
    </w:p>
    <w:p w:rsidR="001923B5" w:rsidRDefault="001923B5" w:rsidP="001923B5">
      <w:pPr>
        <w:pStyle w:val="Listenabsatz"/>
        <w:numPr>
          <w:ilvl w:val="1"/>
          <w:numId w:val="1"/>
        </w:numPr>
        <w:spacing w:before="240"/>
      </w:pPr>
      <w:r>
        <w:t>Spielfeld mit Regeln der Buchführung</w:t>
      </w:r>
    </w:p>
    <w:p w:rsidR="00E7177D" w:rsidRDefault="00E7177D" w:rsidP="001923B5">
      <w:pPr>
        <w:pStyle w:val="Listenabsatz"/>
        <w:numPr>
          <w:ilvl w:val="1"/>
          <w:numId w:val="1"/>
        </w:numPr>
        <w:spacing w:before="240"/>
      </w:pPr>
      <w:r>
        <w:t>„gängige“ Praxis</w:t>
      </w:r>
    </w:p>
    <w:p w:rsidR="001923B5" w:rsidRDefault="001923B5" w:rsidP="001923B5">
      <w:pPr>
        <w:pStyle w:val="Listenabsatz"/>
        <w:numPr>
          <w:ilvl w:val="1"/>
          <w:numId w:val="1"/>
        </w:numPr>
        <w:spacing w:before="240"/>
      </w:pPr>
      <w:r>
        <w:t>Enthält allgemeingültige Regeln zur Buchführung</w:t>
      </w:r>
    </w:p>
    <w:p w:rsidR="001923B5" w:rsidRDefault="001923B5" w:rsidP="001923B5">
      <w:pPr>
        <w:pStyle w:val="Listenabsatz"/>
        <w:numPr>
          <w:ilvl w:val="1"/>
          <w:numId w:val="1"/>
        </w:numPr>
        <w:spacing w:before="240"/>
      </w:pPr>
      <w:r>
        <w:t>Einige Teile sind im HGB (Handelsgesetzbuch) und Steuerrecht wiederzufinden</w:t>
      </w:r>
    </w:p>
    <w:p w:rsidR="001923B5" w:rsidRDefault="001923B5" w:rsidP="001923B5">
      <w:pPr>
        <w:pStyle w:val="Listenabsatz"/>
        <w:numPr>
          <w:ilvl w:val="1"/>
          <w:numId w:val="1"/>
        </w:numPr>
        <w:spacing w:before="240"/>
      </w:pPr>
      <w:r>
        <w:t>Aus kaufmännischer Praxis entstanden</w:t>
      </w:r>
    </w:p>
    <w:p w:rsidR="001923B5" w:rsidRDefault="001923B5" w:rsidP="001923B5">
      <w:pPr>
        <w:pStyle w:val="Listenabsatz"/>
        <w:numPr>
          <w:ilvl w:val="1"/>
          <w:numId w:val="1"/>
        </w:numPr>
        <w:spacing w:before="240"/>
      </w:pPr>
      <w:r>
        <w:t xml:space="preserve">Wird von allen </w:t>
      </w:r>
      <w:proofErr w:type="spellStart"/>
      <w:r>
        <w:t>rechtsformen</w:t>
      </w:r>
      <w:proofErr w:type="spellEnd"/>
      <w:r>
        <w:t xml:space="preserve">/allen „Kaufmännern“ angewendet </w:t>
      </w:r>
      <w:r>
        <w:sym w:font="Wingdings" w:char="F0E0"/>
      </w:r>
      <w:r>
        <w:t xml:space="preserve"> rechtsform-neutral</w:t>
      </w:r>
    </w:p>
    <w:p w:rsidR="001923B5" w:rsidRDefault="00E7177D" w:rsidP="00E7177D">
      <w:pPr>
        <w:spacing w:before="240"/>
      </w:pPr>
      <w:r>
        <w:t>GOB enthält verschiedene Grundsätze</w:t>
      </w:r>
    </w:p>
    <w:p w:rsidR="00E7177D" w:rsidRDefault="00E7177D" w:rsidP="00E7177D">
      <w:pPr>
        <w:pStyle w:val="Listenabsatz"/>
        <w:numPr>
          <w:ilvl w:val="0"/>
          <w:numId w:val="1"/>
        </w:numPr>
        <w:spacing w:before="240"/>
      </w:pPr>
      <w:r>
        <w:rPr>
          <w:b/>
        </w:rPr>
        <w:lastRenderedPageBreak/>
        <w:t>Prinzip der Vorsicht</w:t>
      </w:r>
    </w:p>
    <w:p w:rsidR="00E7177D" w:rsidRDefault="00E7177D" w:rsidP="00E7177D">
      <w:pPr>
        <w:pStyle w:val="Listenabsatz"/>
        <w:numPr>
          <w:ilvl w:val="1"/>
          <w:numId w:val="1"/>
        </w:numPr>
        <w:spacing w:before="240"/>
      </w:pPr>
      <w:r>
        <w:t>Zweck: Gläubigerschutz</w:t>
      </w:r>
    </w:p>
    <w:p w:rsidR="00E7177D" w:rsidRDefault="00E7177D" w:rsidP="00E7177D">
      <w:pPr>
        <w:pStyle w:val="Listenabsatz"/>
        <w:numPr>
          <w:ilvl w:val="1"/>
          <w:numId w:val="1"/>
        </w:numPr>
        <w:spacing w:before="240"/>
      </w:pPr>
      <w:r>
        <w:t xml:space="preserve">Grundsatz : man darf sich </w:t>
      </w:r>
      <w:r w:rsidRPr="00170D1E">
        <w:rPr>
          <w:b/>
        </w:rPr>
        <w:t>nicht reicher machen als man ist</w:t>
      </w:r>
      <w:r>
        <w:t>, sonst ist man ärmer</w:t>
      </w:r>
    </w:p>
    <w:p w:rsidR="00E7177D" w:rsidRDefault="00E7177D" w:rsidP="00E7177D">
      <w:pPr>
        <w:pStyle w:val="Listenabsatz"/>
        <w:numPr>
          <w:ilvl w:val="1"/>
          <w:numId w:val="1"/>
        </w:numPr>
        <w:spacing w:before="240"/>
      </w:pPr>
      <w:r>
        <w:t>Anwendung : Bilanzierung von Rückstellungen</w:t>
      </w:r>
    </w:p>
    <w:p w:rsidR="00E7177D" w:rsidRDefault="00E7177D" w:rsidP="00E7177D">
      <w:pPr>
        <w:pStyle w:val="Listenabsatz"/>
        <w:numPr>
          <w:ilvl w:val="1"/>
          <w:numId w:val="1"/>
        </w:numPr>
        <w:spacing w:before="240"/>
      </w:pPr>
      <w:r>
        <w:t>Wie?</w:t>
      </w:r>
    </w:p>
    <w:p w:rsidR="00E7177D" w:rsidRDefault="00E7177D" w:rsidP="00E7177D">
      <w:pPr>
        <w:pStyle w:val="Listenabsatz"/>
        <w:numPr>
          <w:ilvl w:val="2"/>
          <w:numId w:val="1"/>
        </w:numPr>
        <w:spacing w:before="240"/>
      </w:pPr>
      <w:r>
        <w:t xml:space="preserve">immer </w:t>
      </w:r>
      <w:r w:rsidRPr="00170D1E">
        <w:rPr>
          <w:color w:val="538135" w:themeColor="accent6" w:themeShade="BF"/>
        </w:rPr>
        <w:t xml:space="preserve">mit höchstmöglichen Kosten </w:t>
      </w:r>
      <w:r>
        <w:t>rechnen</w:t>
      </w:r>
    </w:p>
    <w:p w:rsidR="00E7177D" w:rsidRDefault="00E7177D" w:rsidP="00E7177D">
      <w:pPr>
        <w:pStyle w:val="Listenabsatz"/>
        <w:numPr>
          <w:ilvl w:val="2"/>
          <w:numId w:val="1"/>
        </w:numPr>
        <w:spacing w:before="240"/>
      </w:pPr>
      <w:r>
        <w:t xml:space="preserve">Realisationsprinzip: </w:t>
      </w:r>
      <w:r w:rsidRPr="00170D1E">
        <w:rPr>
          <w:color w:val="538135" w:themeColor="accent6" w:themeShade="BF"/>
        </w:rPr>
        <w:t>Gewinne erst ausweisen, wenn Umsatz eingetroffen</w:t>
      </w:r>
    </w:p>
    <w:p w:rsidR="00E7177D" w:rsidRDefault="00E7177D" w:rsidP="00E7177D">
      <w:pPr>
        <w:pStyle w:val="Listenabsatz"/>
        <w:numPr>
          <w:ilvl w:val="2"/>
          <w:numId w:val="1"/>
        </w:numPr>
        <w:spacing w:before="240"/>
      </w:pPr>
      <w:r>
        <w:t>Imparitätsprinzip: unterschiedliche Behandlung von Gewinnen und Verlusten</w:t>
      </w:r>
    </w:p>
    <w:p w:rsidR="00E7177D" w:rsidRDefault="00E7177D" w:rsidP="00E7177D">
      <w:pPr>
        <w:pStyle w:val="Listenabsatz"/>
        <w:numPr>
          <w:ilvl w:val="3"/>
          <w:numId w:val="1"/>
        </w:numPr>
        <w:spacing w:before="240"/>
      </w:pPr>
      <w:r>
        <w:t xml:space="preserve">Auch </w:t>
      </w:r>
      <w:r w:rsidRPr="00170D1E">
        <w:rPr>
          <w:color w:val="538135" w:themeColor="accent6" w:themeShade="BF"/>
        </w:rPr>
        <w:t>nicht realisierte (d.h. eingetroffene) Verluste müssen ausgewiesen</w:t>
      </w:r>
      <w:r>
        <w:t xml:space="preserve"> werden</w:t>
      </w:r>
    </w:p>
    <w:p w:rsidR="00E7177D" w:rsidRDefault="00E7177D" w:rsidP="00E7177D">
      <w:pPr>
        <w:pStyle w:val="Listenabsatz"/>
        <w:numPr>
          <w:ilvl w:val="2"/>
          <w:numId w:val="1"/>
        </w:numPr>
        <w:spacing w:before="240"/>
      </w:pPr>
      <w:r>
        <w:t xml:space="preserve">Prinzip d. Periodisierung: jeder Geschäftsfall muss </w:t>
      </w:r>
      <w:r w:rsidRPr="00170D1E">
        <w:rPr>
          <w:color w:val="538135" w:themeColor="accent6" w:themeShade="BF"/>
        </w:rPr>
        <w:t xml:space="preserve">Periode (Zeitraum) zugeordnet </w:t>
      </w:r>
      <w:r>
        <w:t>sein</w:t>
      </w:r>
    </w:p>
    <w:p w:rsidR="00E7177D" w:rsidRDefault="00E7177D" w:rsidP="00E7177D">
      <w:pPr>
        <w:pStyle w:val="Listenabsatz"/>
        <w:numPr>
          <w:ilvl w:val="3"/>
          <w:numId w:val="1"/>
        </w:numPr>
        <w:spacing w:before="240"/>
      </w:pPr>
      <w:r>
        <w:t xml:space="preserve">„Abos“/regelmäßige Zahlungen müssen richtig auf die Periode aufgeteilt werden </w:t>
      </w:r>
      <w:r>
        <w:sym w:font="Wingdings" w:char="F0E0"/>
      </w:r>
      <w:r>
        <w:t xml:space="preserve"> Zahlungen November bis Mai : 2/5 auf Periode 1; 3/5 auf Periode 2</w:t>
      </w:r>
    </w:p>
    <w:p w:rsidR="008335C8" w:rsidRPr="008335C8" w:rsidRDefault="008335C8" w:rsidP="008335C8">
      <w:pPr>
        <w:pStyle w:val="Listenabsatz"/>
        <w:spacing w:before="240"/>
        <w:ind w:left="360"/>
      </w:pPr>
    </w:p>
    <w:p w:rsidR="00E7177D" w:rsidRDefault="00E7177D" w:rsidP="00E7177D">
      <w:pPr>
        <w:pStyle w:val="Listenabsatz"/>
        <w:numPr>
          <w:ilvl w:val="0"/>
          <w:numId w:val="1"/>
        </w:numPr>
        <w:spacing w:before="240"/>
      </w:pPr>
      <w:r>
        <w:rPr>
          <w:b/>
        </w:rPr>
        <w:t>Prinzip der Klarheit:</w:t>
      </w:r>
    </w:p>
    <w:p w:rsidR="008335C8" w:rsidRDefault="008335C8" w:rsidP="008335C8">
      <w:pPr>
        <w:pStyle w:val="Listenabsatz"/>
        <w:numPr>
          <w:ilvl w:val="1"/>
          <w:numId w:val="1"/>
        </w:numPr>
        <w:spacing w:before="240"/>
      </w:pPr>
      <w:r>
        <w:t xml:space="preserve">Hohe </w:t>
      </w:r>
      <w:r w:rsidR="00E7177D">
        <w:t>Qualität der äußeren Gestaltung</w:t>
      </w:r>
      <w:r>
        <w:t xml:space="preserve">; </w:t>
      </w:r>
    </w:p>
    <w:p w:rsidR="00E7177D" w:rsidRDefault="008335C8" w:rsidP="008335C8">
      <w:pPr>
        <w:pStyle w:val="Listenabsatz"/>
        <w:numPr>
          <w:ilvl w:val="2"/>
          <w:numId w:val="1"/>
        </w:numPr>
        <w:spacing w:before="240"/>
      </w:pPr>
      <w:r>
        <w:t xml:space="preserve">Strukturierte + aufgeräumte Gestaltung </w:t>
      </w:r>
    </w:p>
    <w:p w:rsidR="008335C8" w:rsidRDefault="008335C8" w:rsidP="008335C8">
      <w:pPr>
        <w:pStyle w:val="Listenabsatz"/>
        <w:numPr>
          <w:ilvl w:val="2"/>
          <w:numId w:val="1"/>
        </w:numPr>
        <w:spacing w:before="240"/>
      </w:pPr>
      <w:r>
        <w:t>Muss für „dritten“ (Person außerhalb der Organisation) lesbar sein</w:t>
      </w:r>
    </w:p>
    <w:p w:rsidR="00E7177D" w:rsidRDefault="00E7177D" w:rsidP="00E7177D">
      <w:pPr>
        <w:pStyle w:val="Listenabsatz"/>
        <w:numPr>
          <w:ilvl w:val="1"/>
          <w:numId w:val="1"/>
        </w:numPr>
        <w:spacing w:before="240"/>
      </w:pPr>
      <w:r>
        <w:t>Eindeutige Bezeichnung + Benennung</w:t>
      </w:r>
    </w:p>
    <w:p w:rsidR="008335C8" w:rsidRDefault="008335C8" w:rsidP="008335C8">
      <w:pPr>
        <w:pStyle w:val="Listenabsatz"/>
        <w:numPr>
          <w:ilvl w:val="2"/>
          <w:numId w:val="1"/>
        </w:numPr>
        <w:spacing w:before="240"/>
      </w:pPr>
      <w:r>
        <w:t>Nicht wahllos zusammenfassen</w:t>
      </w:r>
    </w:p>
    <w:p w:rsidR="008335C8" w:rsidRDefault="008335C8" w:rsidP="008335C8">
      <w:pPr>
        <w:pStyle w:val="Listenabsatz"/>
        <w:numPr>
          <w:ilvl w:val="1"/>
          <w:numId w:val="1"/>
        </w:numPr>
        <w:spacing w:before="240"/>
      </w:pPr>
      <w:r>
        <w:t>Alles muss ausgewiesen werden</w:t>
      </w:r>
    </w:p>
    <w:p w:rsidR="00E7177D" w:rsidRDefault="008335C8" w:rsidP="008335C8">
      <w:pPr>
        <w:pStyle w:val="Listenabsatz"/>
        <w:numPr>
          <w:ilvl w:val="1"/>
          <w:numId w:val="1"/>
        </w:numPr>
        <w:spacing w:before="240"/>
      </w:pPr>
      <w:r>
        <w:t>Besonders auf Gliederung von Bilanzen  + Gewinn/Verlustrechnung angewendet</w:t>
      </w:r>
    </w:p>
    <w:p w:rsidR="008335C8" w:rsidRPr="008335C8" w:rsidRDefault="008335C8" w:rsidP="008335C8">
      <w:pPr>
        <w:pStyle w:val="Listenabsatz"/>
        <w:spacing w:before="240"/>
        <w:ind w:left="360"/>
      </w:pPr>
    </w:p>
    <w:p w:rsidR="008335C8" w:rsidRDefault="008335C8" w:rsidP="008335C8">
      <w:pPr>
        <w:pStyle w:val="Listenabsatz"/>
        <w:numPr>
          <w:ilvl w:val="0"/>
          <w:numId w:val="1"/>
        </w:numPr>
        <w:spacing w:before="240"/>
      </w:pPr>
      <w:r>
        <w:rPr>
          <w:b/>
        </w:rPr>
        <w:t>Prinzip der Vollständigkeit</w:t>
      </w:r>
    </w:p>
    <w:p w:rsidR="008335C8" w:rsidRDefault="008335C8" w:rsidP="008335C8">
      <w:pPr>
        <w:pStyle w:val="Listenabsatz"/>
        <w:numPr>
          <w:ilvl w:val="1"/>
          <w:numId w:val="1"/>
        </w:numPr>
        <w:spacing w:before="240"/>
      </w:pPr>
      <w:r>
        <w:t>Alles muss abgebildet werden</w:t>
      </w:r>
    </w:p>
    <w:p w:rsidR="008335C8" w:rsidRDefault="008335C8" w:rsidP="008335C8">
      <w:pPr>
        <w:pStyle w:val="Listenabsatz"/>
        <w:numPr>
          <w:ilvl w:val="1"/>
          <w:numId w:val="1"/>
        </w:numPr>
        <w:spacing w:before="240"/>
      </w:pPr>
      <w:r>
        <w:t>Inventur muss erstellt werden</w:t>
      </w:r>
    </w:p>
    <w:p w:rsidR="008335C8" w:rsidRPr="008335C8" w:rsidRDefault="008335C8" w:rsidP="008335C8">
      <w:pPr>
        <w:pStyle w:val="Listenabsatz"/>
        <w:spacing w:before="240"/>
        <w:ind w:left="1080"/>
      </w:pPr>
    </w:p>
    <w:p w:rsidR="008335C8" w:rsidRPr="008335C8" w:rsidRDefault="008335C8" w:rsidP="008335C8">
      <w:pPr>
        <w:pStyle w:val="Listenabsatz"/>
        <w:numPr>
          <w:ilvl w:val="0"/>
          <w:numId w:val="1"/>
        </w:numPr>
        <w:spacing w:before="240"/>
      </w:pPr>
      <w:r>
        <w:rPr>
          <w:b/>
        </w:rPr>
        <w:t>Grundsatz der Kontinuität</w:t>
      </w:r>
    </w:p>
    <w:p w:rsidR="008335C8" w:rsidRDefault="008335C8" w:rsidP="008335C8">
      <w:pPr>
        <w:pStyle w:val="Listenabsatz"/>
        <w:numPr>
          <w:ilvl w:val="1"/>
          <w:numId w:val="1"/>
        </w:numPr>
        <w:spacing w:before="240"/>
      </w:pPr>
      <w:r>
        <w:t>Einzelne Jahresabschlüsse müssen „zueinander passen“</w:t>
      </w:r>
    </w:p>
    <w:p w:rsidR="008335C8" w:rsidRDefault="008335C8" w:rsidP="008335C8">
      <w:pPr>
        <w:pStyle w:val="Listenabsatz"/>
        <w:numPr>
          <w:ilvl w:val="2"/>
          <w:numId w:val="1"/>
        </w:numPr>
        <w:spacing w:before="240"/>
      </w:pPr>
      <w:r>
        <w:t xml:space="preserve">Formell </w:t>
      </w:r>
    </w:p>
    <w:p w:rsidR="008335C8" w:rsidRDefault="008335C8" w:rsidP="008335C8">
      <w:pPr>
        <w:pStyle w:val="Listenabsatz"/>
        <w:numPr>
          <w:ilvl w:val="3"/>
          <w:numId w:val="1"/>
        </w:numPr>
        <w:spacing w:before="240"/>
      </w:pPr>
      <w:r>
        <w:t>Gleichbleibende Gliederung</w:t>
      </w:r>
    </w:p>
    <w:p w:rsidR="008335C8" w:rsidRDefault="008335C8" w:rsidP="008335C8">
      <w:pPr>
        <w:pStyle w:val="Listenabsatz"/>
        <w:numPr>
          <w:ilvl w:val="3"/>
          <w:numId w:val="1"/>
        </w:numPr>
        <w:spacing w:before="240"/>
      </w:pPr>
      <w:r>
        <w:t>Gleichbleibende Benennung</w:t>
      </w:r>
    </w:p>
    <w:p w:rsidR="008335C8" w:rsidRDefault="008335C8" w:rsidP="008335C8">
      <w:pPr>
        <w:pStyle w:val="Listenabsatz"/>
        <w:numPr>
          <w:ilvl w:val="2"/>
          <w:numId w:val="1"/>
        </w:numPr>
        <w:spacing w:before="240"/>
      </w:pPr>
      <w:r>
        <w:t>Materiell</w:t>
      </w:r>
    </w:p>
    <w:p w:rsidR="008335C8" w:rsidRDefault="008335C8" w:rsidP="008335C8">
      <w:pPr>
        <w:pStyle w:val="Listenabsatz"/>
        <w:numPr>
          <w:ilvl w:val="3"/>
          <w:numId w:val="1"/>
        </w:numPr>
        <w:spacing w:before="240"/>
      </w:pPr>
      <w:r>
        <w:t>Übereinstimmende Daten und Zahlen (Anfang von 2 gleich wie Ende von 1)</w:t>
      </w:r>
    </w:p>
    <w:p w:rsidR="008335C8" w:rsidRDefault="008335C8" w:rsidP="008335C8">
      <w:pPr>
        <w:pStyle w:val="Listenabsatz"/>
        <w:numPr>
          <w:ilvl w:val="3"/>
          <w:numId w:val="1"/>
        </w:numPr>
        <w:spacing w:before="240"/>
      </w:pPr>
      <w:r>
        <w:t>Gleichbleibender Ansatz</w:t>
      </w:r>
    </w:p>
    <w:p w:rsidR="008335C8" w:rsidRDefault="008335C8" w:rsidP="008335C8">
      <w:pPr>
        <w:pStyle w:val="Listenabsatz"/>
        <w:numPr>
          <w:ilvl w:val="3"/>
          <w:numId w:val="1"/>
        </w:numPr>
        <w:spacing w:before="240"/>
      </w:pPr>
      <w:r>
        <w:t>Gleichbleibende Bewertungsgrundlage</w:t>
      </w:r>
    </w:p>
    <w:p w:rsidR="008335C8" w:rsidRPr="008335C8" w:rsidRDefault="008335C8" w:rsidP="008335C8">
      <w:pPr>
        <w:pStyle w:val="Listenabsatz"/>
        <w:spacing w:before="240"/>
        <w:ind w:left="360"/>
      </w:pPr>
    </w:p>
    <w:p w:rsidR="008335C8" w:rsidRPr="008335C8" w:rsidRDefault="008335C8" w:rsidP="008335C8">
      <w:pPr>
        <w:pStyle w:val="Listenabsatz"/>
        <w:numPr>
          <w:ilvl w:val="0"/>
          <w:numId w:val="1"/>
        </w:numPr>
        <w:spacing w:before="240"/>
      </w:pPr>
      <w:r>
        <w:rPr>
          <w:b/>
        </w:rPr>
        <w:t>Grundsatz der Richtigkeit</w:t>
      </w:r>
    </w:p>
    <w:p w:rsidR="008335C8" w:rsidRDefault="008335C8" w:rsidP="008335C8">
      <w:pPr>
        <w:pStyle w:val="Listenabsatz"/>
        <w:numPr>
          <w:ilvl w:val="1"/>
          <w:numId w:val="1"/>
        </w:numPr>
        <w:spacing w:before="240"/>
      </w:pPr>
      <w:r>
        <w:t>Alle Bücher müssen Wahrheit entsprechen</w:t>
      </w:r>
    </w:p>
    <w:p w:rsidR="008335C8" w:rsidRDefault="008335C8" w:rsidP="008335C8">
      <w:pPr>
        <w:pStyle w:val="Listenabsatz"/>
        <w:numPr>
          <w:ilvl w:val="1"/>
          <w:numId w:val="1"/>
        </w:numPr>
        <w:spacing w:before="240"/>
      </w:pPr>
      <w:r>
        <w:t xml:space="preserve">objektiv überprüfbar </w:t>
      </w:r>
    </w:p>
    <w:p w:rsidR="008335C8" w:rsidRDefault="008335C8" w:rsidP="008335C8">
      <w:pPr>
        <w:pStyle w:val="Listenabsatz"/>
        <w:numPr>
          <w:ilvl w:val="1"/>
          <w:numId w:val="1"/>
        </w:numPr>
        <w:spacing w:before="240"/>
      </w:pPr>
      <w:r>
        <w:t xml:space="preserve">nach GOB </w:t>
      </w:r>
    </w:p>
    <w:p w:rsidR="008335C8" w:rsidRPr="008335C8" w:rsidRDefault="008335C8" w:rsidP="008335C8">
      <w:pPr>
        <w:pStyle w:val="Listenabsatz"/>
        <w:spacing w:before="240"/>
        <w:ind w:left="360"/>
      </w:pPr>
    </w:p>
    <w:p w:rsidR="008335C8" w:rsidRPr="008335C8" w:rsidRDefault="008335C8" w:rsidP="008335C8">
      <w:pPr>
        <w:pStyle w:val="Listenabsatz"/>
        <w:numPr>
          <w:ilvl w:val="0"/>
          <w:numId w:val="1"/>
        </w:numPr>
        <w:spacing w:before="240"/>
      </w:pPr>
      <w:r>
        <w:rPr>
          <w:b/>
        </w:rPr>
        <w:t>Grundsatz der Willkürfreiheit</w:t>
      </w:r>
    </w:p>
    <w:p w:rsidR="008335C8" w:rsidRDefault="008335C8" w:rsidP="008335C8">
      <w:pPr>
        <w:pStyle w:val="Listenabsatz"/>
        <w:numPr>
          <w:ilvl w:val="1"/>
          <w:numId w:val="1"/>
        </w:numPr>
        <w:spacing w:before="240"/>
      </w:pPr>
      <w:r>
        <w:t>Keine Willkürlichen Annahmen</w:t>
      </w:r>
    </w:p>
    <w:p w:rsidR="00A658D4" w:rsidRDefault="00A658D4" w:rsidP="00A658D4">
      <w:pPr>
        <w:spacing w:before="240"/>
      </w:pPr>
    </w:p>
    <w:p w:rsidR="00183191" w:rsidRPr="00183191" w:rsidRDefault="00183191" w:rsidP="00183191">
      <w:pPr>
        <w:spacing w:before="240"/>
        <w:rPr>
          <w:b/>
        </w:rPr>
      </w:pPr>
      <w:r>
        <w:rPr>
          <w:b/>
        </w:rPr>
        <w:lastRenderedPageBreak/>
        <w:t xml:space="preserve">Inventur und Inventar </w:t>
      </w:r>
    </w:p>
    <w:p w:rsidR="00A658D4" w:rsidRDefault="00A658D4" w:rsidP="00A658D4">
      <w:pPr>
        <w:pStyle w:val="Listenabsatz"/>
        <w:numPr>
          <w:ilvl w:val="0"/>
          <w:numId w:val="1"/>
        </w:numPr>
        <w:spacing w:before="240"/>
      </w:pPr>
      <w:r w:rsidRPr="00170D1E">
        <w:rPr>
          <w:b/>
        </w:rPr>
        <w:t>Inventur</w:t>
      </w:r>
      <w:r>
        <w:t>:</w:t>
      </w:r>
    </w:p>
    <w:p w:rsidR="00183191" w:rsidRDefault="00183191" w:rsidP="00183191">
      <w:pPr>
        <w:pStyle w:val="Listenabsatz"/>
        <w:numPr>
          <w:ilvl w:val="1"/>
          <w:numId w:val="1"/>
        </w:numPr>
        <w:spacing w:before="240"/>
      </w:pPr>
      <w:r>
        <w:t xml:space="preserve">Vorgang des Erfassens von allem, was </w:t>
      </w:r>
      <w:r w:rsidRPr="00170D1E">
        <w:rPr>
          <w:color w:val="BF8F00" w:themeColor="accent4" w:themeShade="BF"/>
        </w:rPr>
        <w:t xml:space="preserve">jmd. Wirtschaftlich gehört </w:t>
      </w:r>
      <w:r>
        <w:t>(wirtschaftlich != rechtlich (Leasing Autos))</w:t>
      </w:r>
    </w:p>
    <w:p w:rsidR="00183191" w:rsidRDefault="00183191" w:rsidP="00183191">
      <w:pPr>
        <w:pStyle w:val="Listenabsatz"/>
        <w:numPr>
          <w:ilvl w:val="2"/>
          <w:numId w:val="1"/>
        </w:numPr>
        <w:spacing w:before="240"/>
      </w:pPr>
      <w:r>
        <w:t>Wirtschaftliches Eigentum = wer es wirtschaftlich nutzt</w:t>
      </w:r>
    </w:p>
    <w:p w:rsidR="00183191" w:rsidRDefault="00183191" w:rsidP="00183191">
      <w:pPr>
        <w:pStyle w:val="Listenabsatz"/>
        <w:numPr>
          <w:ilvl w:val="2"/>
          <w:numId w:val="1"/>
        </w:numPr>
        <w:spacing w:before="240"/>
      </w:pPr>
      <w:r>
        <w:t>Rechtliches Eigentum = wem es gehört</w:t>
      </w:r>
    </w:p>
    <w:p w:rsidR="00183191" w:rsidRDefault="00183191" w:rsidP="00183191">
      <w:pPr>
        <w:pStyle w:val="Listenabsatz"/>
        <w:numPr>
          <w:ilvl w:val="1"/>
          <w:numId w:val="1"/>
        </w:numPr>
        <w:spacing w:before="240"/>
      </w:pPr>
      <w:r>
        <w:t>Inventurarten:</w:t>
      </w:r>
    </w:p>
    <w:p w:rsidR="00183191" w:rsidRDefault="00183191" w:rsidP="00183191">
      <w:pPr>
        <w:pStyle w:val="Listenabsatz"/>
        <w:numPr>
          <w:ilvl w:val="2"/>
          <w:numId w:val="1"/>
        </w:numPr>
        <w:spacing w:before="240"/>
      </w:pPr>
      <w:r w:rsidRPr="00170D1E">
        <w:rPr>
          <w:color w:val="BF8F00" w:themeColor="accent4" w:themeShade="BF"/>
        </w:rPr>
        <w:t xml:space="preserve">Körperliche </w:t>
      </w:r>
      <w:r>
        <w:t xml:space="preserve">Inventur: </w:t>
      </w:r>
      <w:r w:rsidRPr="00170D1E">
        <w:rPr>
          <w:color w:val="BF8F00" w:themeColor="accent4" w:themeShade="BF"/>
        </w:rPr>
        <w:t>physisch</w:t>
      </w:r>
      <w:r>
        <w:t>; man geht durch die Lagerhalle und zählt</w:t>
      </w:r>
    </w:p>
    <w:p w:rsidR="00183191" w:rsidRDefault="00183191" w:rsidP="00183191">
      <w:pPr>
        <w:pStyle w:val="Listenabsatz"/>
        <w:numPr>
          <w:ilvl w:val="2"/>
          <w:numId w:val="1"/>
        </w:numPr>
        <w:spacing w:before="240"/>
      </w:pPr>
      <w:r w:rsidRPr="00170D1E">
        <w:rPr>
          <w:u w:val="single"/>
        </w:rPr>
        <w:t>Buchinventur</w:t>
      </w:r>
      <w:r>
        <w:t xml:space="preserve">: aus </w:t>
      </w:r>
      <w:r w:rsidRPr="00170D1E">
        <w:rPr>
          <w:u w:val="single"/>
        </w:rPr>
        <w:t>Büchern</w:t>
      </w:r>
      <w:r>
        <w:t xml:space="preserve">; nicht zählbare Werte (z.B. Aktien, </w:t>
      </w:r>
      <w:proofErr w:type="spellStart"/>
      <w:r>
        <w:t>etc</w:t>
      </w:r>
      <w:proofErr w:type="spellEnd"/>
      <w:r>
        <w:t>)</w:t>
      </w:r>
    </w:p>
    <w:p w:rsidR="00183191" w:rsidRDefault="00183191" w:rsidP="00183191">
      <w:pPr>
        <w:pStyle w:val="Listenabsatz"/>
        <w:numPr>
          <w:ilvl w:val="1"/>
          <w:numId w:val="1"/>
        </w:numPr>
        <w:spacing w:before="240"/>
      </w:pPr>
      <w:r>
        <w:t>Zeitraum:</w:t>
      </w:r>
    </w:p>
    <w:p w:rsidR="00183191" w:rsidRDefault="00170D1E" w:rsidP="00183191">
      <w:pPr>
        <w:pStyle w:val="Listenabsatz"/>
        <w:numPr>
          <w:ilvl w:val="2"/>
          <w:numId w:val="1"/>
        </w:numPr>
        <w:spacing w:before="240"/>
      </w:pPr>
      <w:r w:rsidRPr="00170D1E">
        <w:rPr>
          <w:color w:val="BF8F00" w:themeColor="accent4" w:themeShade="BF"/>
        </w:rPr>
        <w:t>Stichtaginventur</w:t>
      </w:r>
      <w:r>
        <w:t xml:space="preserve">: </w:t>
      </w:r>
      <w:r w:rsidRPr="00170D1E">
        <w:rPr>
          <w:color w:val="BF8F00" w:themeColor="accent4" w:themeShade="BF"/>
        </w:rPr>
        <w:t xml:space="preserve">genau </w:t>
      </w:r>
      <w:r>
        <w:t>am Stichtag (in D meist 31.12)</w:t>
      </w:r>
    </w:p>
    <w:p w:rsidR="00170D1E" w:rsidRDefault="00170D1E" w:rsidP="00170D1E">
      <w:pPr>
        <w:pStyle w:val="Listenabsatz"/>
        <w:numPr>
          <w:ilvl w:val="2"/>
          <w:numId w:val="1"/>
        </w:numPr>
        <w:spacing w:before="240"/>
      </w:pPr>
      <w:r w:rsidRPr="00170D1E">
        <w:rPr>
          <w:color w:val="BF8F00" w:themeColor="accent4" w:themeShade="BF"/>
        </w:rPr>
        <w:t xml:space="preserve">Zeitnahe </w:t>
      </w:r>
      <w:r>
        <w:t xml:space="preserve">Stichtaginventur : </w:t>
      </w:r>
      <w:r w:rsidRPr="00170D1E">
        <w:rPr>
          <w:color w:val="BF8F00" w:themeColor="accent4" w:themeShade="BF"/>
        </w:rPr>
        <w:t xml:space="preserve">10 Tag vor/nach </w:t>
      </w:r>
      <w:r>
        <w:t>Stichtag</w:t>
      </w:r>
    </w:p>
    <w:p w:rsidR="00170D1E" w:rsidRDefault="00170D1E" w:rsidP="00170D1E">
      <w:pPr>
        <w:pStyle w:val="Listenabsatz"/>
        <w:numPr>
          <w:ilvl w:val="3"/>
          <w:numId w:val="1"/>
        </w:numPr>
        <w:spacing w:before="240"/>
      </w:pPr>
      <w:r>
        <w:t xml:space="preserve"> muss auf Stand von Stichtag vor/zurückgerechnet werden</w:t>
      </w:r>
    </w:p>
    <w:p w:rsidR="00170D1E" w:rsidRDefault="00170D1E" w:rsidP="00170D1E">
      <w:pPr>
        <w:pStyle w:val="Listenabsatz"/>
        <w:numPr>
          <w:ilvl w:val="2"/>
          <w:numId w:val="1"/>
        </w:numPr>
        <w:spacing w:before="240"/>
      </w:pPr>
      <w:r w:rsidRPr="00170D1E">
        <w:rPr>
          <w:color w:val="BF8F00" w:themeColor="accent4" w:themeShade="BF"/>
        </w:rPr>
        <w:t xml:space="preserve">Permanente </w:t>
      </w:r>
      <w:r>
        <w:t xml:space="preserve">Inventur: es wird </w:t>
      </w:r>
      <w:r w:rsidRPr="00170D1E">
        <w:rPr>
          <w:color w:val="BF8F00" w:themeColor="accent4" w:themeShade="BF"/>
        </w:rPr>
        <w:t xml:space="preserve">immer </w:t>
      </w:r>
      <w:r>
        <w:t>mitgezählt (z.B. bei Kasse)</w:t>
      </w:r>
    </w:p>
    <w:p w:rsidR="00170D1E" w:rsidRDefault="00170D1E" w:rsidP="00170D1E">
      <w:pPr>
        <w:pStyle w:val="Listenabsatz"/>
        <w:numPr>
          <w:ilvl w:val="3"/>
          <w:numId w:val="1"/>
        </w:numPr>
        <w:spacing w:before="240"/>
      </w:pPr>
      <w:r>
        <w:t xml:space="preserve"> dann 1x pro Jahr physische Inventur</w:t>
      </w:r>
    </w:p>
    <w:p w:rsidR="00170D1E" w:rsidRDefault="00170D1E" w:rsidP="00170D1E">
      <w:pPr>
        <w:pStyle w:val="Listenabsatz"/>
        <w:numPr>
          <w:ilvl w:val="2"/>
          <w:numId w:val="1"/>
        </w:numPr>
        <w:spacing w:before="240"/>
      </w:pPr>
      <w:r w:rsidRPr="00170D1E">
        <w:rPr>
          <w:color w:val="BF8F00" w:themeColor="accent4" w:themeShade="BF"/>
        </w:rPr>
        <w:t xml:space="preserve">Verlegte </w:t>
      </w:r>
      <w:r>
        <w:t>Inventur</w:t>
      </w:r>
      <w:r w:rsidRPr="00170D1E">
        <w:rPr>
          <w:color w:val="BF8F00" w:themeColor="accent4" w:themeShade="BF"/>
        </w:rPr>
        <w:t xml:space="preserve">: 1 Monat vor/nach </w:t>
      </w:r>
      <w:r>
        <w:t>Stichtag</w:t>
      </w:r>
    </w:p>
    <w:p w:rsidR="00170D1E" w:rsidRDefault="00170D1E" w:rsidP="00170D1E">
      <w:pPr>
        <w:pStyle w:val="Listenabsatz"/>
        <w:numPr>
          <w:ilvl w:val="3"/>
          <w:numId w:val="1"/>
        </w:numPr>
        <w:spacing w:before="240"/>
      </w:pPr>
      <w:r>
        <w:t>Zurück/vor Rechnen auf den Stichtag</w:t>
      </w:r>
    </w:p>
    <w:p w:rsidR="00170D1E" w:rsidRDefault="00170D1E" w:rsidP="00170D1E">
      <w:pPr>
        <w:pStyle w:val="Listenabsatz"/>
        <w:numPr>
          <w:ilvl w:val="3"/>
          <w:numId w:val="1"/>
        </w:numPr>
        <w:spacing w:before="240"/>
      </w:pPr>
      <w:r>
        <w:t>Benötigt Ausnahmeregelung vom Finanzamt</w:t>
      </w:r>
    </w:p>
    <w:p w:rsidR="00183191" w:rsidRDefault="00183191" w:rsidP="00183191">
      <w:pPr>
        <w:pStyle w:val="Listenabsatz"/>
        <w:numPr>
          <w:ilvl w:val="1"/>
          <w:numId w:val="1"/>
        </w:numPr>
        <w:spacing w:before="240"/>
      </w:pPr>
      <w:r>
        <w:t xml:space="preserve">Immer am Ende des Geschäftsjahres </w:t>
      </w:r>
    </w:p>
    <w:p w:rsidR="00183191" w:rsidRDefault="00183191" w:rsidP="00183191">
      <w:pPr>
        <w:pStyle w:val="Listenabsatz"/>
        <w:numPr>
          <w:ilvl w:val="1"/>
          <w:numId w:val="1"/>
        </w:numPr>
        <w:spacing w:before="240"/>
      </w:pPr>
      <w:r>
        <w:t>Grundlage der Bilanz</w:t>
      </w:r>
    </w:p>
    <w:p w:rsidR="00183191" w:rsidRPr="00170D1E" w:rsidRDefault="00183191" w:rsidP="00183191">
      <w:pPr>
        <w:pStyle w:val="Listenabsatz"/>
        <w:numPr>
          <w:ilvl w:val="0"/>
          <w:numId w:val="1"/>
        </w:numPr>
        <w:spacing w:before="240"/>
        <w:rPr>
          <w:b/>
        </w:rPr>
      </w:pPr>
      <w:r w:rsidRPr="00170D1E">
        <w:rPr>
          <w:b/>
        </w:rPr>
        <w:t>Inventar</w:t>
      </w:r>
    </w:p>
    <w:p w:rsidR="00183191" w:rsidRDefault="00183191" w:rsidP="00183191">
      <w:pPr>
        <w:pStyle w:val="Listenabsatz"/>
        <w:numPr>
          <w:ilvl w:val="1"/>
          <w:numId w:val="1"/>
        </w:numPr>
        <w:spacing w:before="240"/>
      </w:pPr>
      <w:r>
        <w:t>Ergebnis der Inventur</w:t>
      </w:r>
    </w:p>
    <w:p w:rsidR="00183191" w:rsidRDefault="00183191" w:rsidP="00183191">
      <w:pPr>
        <w:pStyle w:val="Listenabsatz"/>
        <w:numPr>
          <w:ilvl w:val="1"/>
          <w:numId w:val="1"/>
        </w:numPr>
        <w:spacing w:before="240"/>
      </w:pPr>
      <w:r>
        <w:t>„alles was da ist“ nach Art, Menge und Wert sortiert</w:t>
      </w:r>
    </w:p>
    <w:p w:rsidR="00183191" w:rsidRDefault="00183191" w:rsidP="00183191">
      <w:pPr>
        <w:pStyle w:val="Listenabsatz"/>
        <w:numPr>
          <w:ilvl w:val="1"/>
          <w:numId w:val="1"/>
        </w:numPr>
        <w:spacing w:before="240"/>
      </w:pPr>
      <w:r>
        <w:t xml:space="preserve">Wird </w:t>
      </w:r>
      <w:r w:rsidRPr="00170D1E">
        <w:rPr>
          <w:color w:val="1F4E79" w:themeColor="accent5" w:themeShade="80"/>
        </w:rPr>
        <w:t>nach Liquidität sortiert</w:t>
      </w:r>
    </w:p>
    <w:p w:rsidR="00183191" w:rsidRDefault="00183191" w:rsidP="00183191">
      <w:pPr>
        <w:pStyle w:val="Listenabsatz"/>
        <w:numPr>
          <w:ilvl w:val="2"/>
          <w:numId w:val="1"/>
        </w:numPr>
        <w:spacing w:before="240"/>
      </w:pPr>
      <w:r>
        <w:t xml:space="preserve">Liquidität = </w:t>
      </w:r>
      <w:r>
        <w:rPr>
          <w:i/>
        </w:rPr>
        <w:t>hier</w:t>
      </w:r>
      <w:r>
        <w:t xml:space="preserve"> wie schnell man etwas flüssig/zu Geld machen kann</w:t>
      </w:r>
    </w:p>
    <w:p w:rsidR="00183191" w:rsidRDefault="00183191" w:rsidP="00183191">
      <w:pPr>
        <w:pStyle w:val="Listenabsatz"/>
        <w:numPr>
          <w:ilvl w:val="2"/>
          <w:numId w:val="1"/>
        </w:numPr>
        <w:spacing w:before="240"/>
      </w:pPr>
      <w:r w:rsidRPr="00170D1E">
        <w:rPr>
          <w:color w:val="1F4E79" w:themeColor="accent5" w:themeShade="80"/>
        </w:rPr>
        <w:t xml:space="preserve">Schlechteste Liquidität nach oben </w:t>
      </w:r>
      <w:r>
        <w:t>(u.a. Häuser, Grundstücke)</w:t>
      </w:r>
    </w:p>
    <w:p w:rsidR="00183191" w:rsidRDefault="00183191" w:rsidP="00183191">
      <w:pPr>
        <w:pStyle w:val="Listenabsatz"/>
        <w:numPr>
          <w:ilvl w:val="1"/>
          <w:numId w:val="1"/>
        </w:numPr>
        <w:spacing w:before="240"/>
      </w:pPr>
      <w:r>
        <w:t xml:space="preserve">Nach </w:t>
      </w:r>
      <w:r w:rsidRPr="00170D1E">
        <w:rPr>
          <w:color w:val="1F4E79" w:themeColor="accent5" w:themeShade="80"/>
        </w:rPr>
        <w:t xml:space="preserve">Anlage/Umlagevermögen </w:t>
      </w:r>
      <w:r>
        <w:t xml:space="preserve">sortiert </w:t>
      </w:r>
    </w:p>
    <w:p w:rsidR="00183191" w:rsidRDefault="00183191" w:rsidP="00183191">
      <w:pPr>
        <w:pStyle w:val="Listenabsatz"/>
        <w:numPr>
          <w:ilvl w:val="2"/>
          <w:numId w:val="1"/>
        </w:numPr>
        <w:spacing w:before="240"/>
      </w:pPr>
      <w:r w:rsidRPr="00170D1E">
        <w:rPr>
          <w:color w:val="1F4E79" w:themeColor="accent5" w:themeShade="80"/>
        </w:rPr>
        <w:t>Anlagevermögen</w:t>
      </w:r>
      <w:r>
        <w:t xml:space="preserve">: soll </w:t>
      </w:r>
      <w:r w:rsidRPr="00170D1E">
        <w:rPr>
          <w:color w:val="1F4E79" w:themeColor="accent5" w:themeShade="80"/>
        </w:rPr>
        <w:t xml:space="preserve">lange </w:t>
      </w:r>
      <w:r>
        <w:t xml:space="preserve">im Unternehmen bleiben; &gt;1 Jahr (z.B. Maschinen, Häuser, </w:t>
      </w:r>
      <w:proofErr w:type="spellStart"/>
      <w:r>
        <w:t>etc</w:t>
      </w:r>
      <w:proofErr w:type="spellEnd"/>
      <w:r>
        <w:t>)</w:t>
      </w:r>
    </w:p>
    <w:p w:rsidR="00183191" w:rsidRDefault="00183191" w:rsidP="00183191">
      <w:pPr>
        <w:pStyle w:val="Listenabsatz"/>
        <w:numPr>
          <w:ilvl w:val="2"/>
          <w:numId w:val="1"/>
        </w:numPr>
        <w:spacing w:before="240"/>
      </w:pPr>
      <w:r w:rsidRPr="00170D1E">
        <w:rPr>
          <w:color w:val="1F4E79" w:themeColor="accent5" w:themeShade="80"/>
        </w:rPr>
        <w:t>Umlagevermögen</w:t>
      </w:r>
      <w:r>
        <w:t>: soll verkauft/weiterverarbeitet werden</w:t>
      </w:r>
      <w:r w:rsidR="00170D1E">
        <w:t xml:space="preserve">; bleibt nur </w:t>
      </w:r>
      <w:r w:rsidR="00170D1E" w:rsidRPr="00170D1E">
        <w:rPr>
          <w:color w:val="1F4E79" w:themeColor="accent5" w:themeShade="80"/>
        </w:rPr>
        <w:t>kurz</w:t>
      </w:r>
    </w:p>
    <w:p w:rsidR="00183191" w:rsidRDefault="00183191" w:rsidP="00183191">
      <w:pPr>
        <w:pStyle w:val="Listenabsatz"/>
        <w:numPr>
          <w:ilvl w:val="1"/>
          <w:numId w:val="1"/>
        </w:numPr>
        <w:spacing w:before="240"/>
      </w:pPr>
      <w:r>
        <w:t>Schulden nach Fälligkeit (Frist) sortieren</w:t>
      </w:r>
    </w:p>
    <w:p w:rsidR="00183191" w:rsidRDefault="00183191" w:rsidP="00183191">
      <w:pPr>
        <w:pStyle w:val="Listenabsatz"/>
        <w:numPr>
          <w:ilvl w:val="2"/>
          <w:numId w:val="1"/>
        </w:numPr>
        <w:spacing w:before="240"/>
      </w:pPr>
      <w:r w:rsidRPr="00170D1E">
        <w:rPr>
          <w:color w:val="1F4E79" w:themeColor="accent5" w:themeShade="80"/>
        </w:rPr>
        <w:t xml:space="preserve">Längerfristige </w:t>
      </w:r>
      <w:r>
        <w:t xml:space="preserve">Schulden (z.B. Kredit für Haus) nach </w:t>
      </w:r>
      <w:r w:rsidRPr="00170D1E">
        <w:rPr>
          <w:color w:val="1F4E79" w:themeColor="accent5" w:themeShade="80"/>
        </w:rPr>
        <w:t>oben</w:t>
      </w:r>
    </w:p>
    <w:p w:rsidR="00183191" w:rsidRDefault="00183191" w:rsidP="00183191">
      <w:pPr>
        <w:pStyle w:val="Listenabsatz"/>
        <w:numPr>
          <w:ilvl w:val="2"/>
          <w:numId w:val="1"/>
        </w:numPr>
        <w:spacing w:before="240"/>
      </w:pPr>
      <w:r w:rsidRPr="00170D1E">
        <w:rPr>
          <w:color w:val="1F4E79" w:themeColor="accent5" w:themeShade="80"/>
        </w:rPr>
        <w:t xml:space="preserve">Kurzfristige </w:t>
      </w:r>
      <w:r>
        <w:t xml:space="preserve">Schulden (Lieferungen und Leistungen, </w:t>
      </w:r>
      <w:proofErr w:type="spellStart"/>
      <w:r>
        <w:t>LuL</w:t>
      </w:r>
      <w:proofErr w:type="spellEnd"/>
      <w:r>
        <w:t xml:space="preserve">) nach </w:t>
      </w:r>
      <w:r w:rsidRPr="00170D1E">
        <w:rPr>
          <w:color w:val="1F4E79" w:themeColor="accent5" w:themeShade="80"/>
        </w:rPr>
        <w:t>unten</w:t>
      </w:r>
    </w:p>
    <w:p w:rsidR="00183191" w:rsidRDefault="00183191" w:rsidP="00183191">
      <w:pPr>
        <w:pStyle w:val="Listenabsatz"/>
        <w:numPr>
          <w:ilvl w:val="0"/>
          <w:numId w:val="1"/>
        </w:numPr>
        <w:spacing w:before="240"/>
      </w:pPr>
      <w:r>
        <w:t>Verschiedene Bezeichnungen für Schulden:</w:t>
      </w:r>
    </w:p>
    <w:p w:rsidR="00183191" w:rsidRDefault="00183191" w:rsidP="00183191">
      <w:pPr>
        <w:pStyle w:val="Listenabsatz"/>
        <w:numPr>
          <w:ilvl w:val="1"/>
          <w:numId w:val="1"/>
        </w:numPr>
        <w:spacing w:before="240"/>
      </w:pPr>
      <w:r>
        <w:t>Handelsrecht : Schulden</w:t>
      </w:r>
    </w:p>
    <w:p w:rsidR="00183191" w:rsidRDefault="00183191" w:rsidP="00183191">
      <w:pPr>
        <w:pStyle w:val="Listenabsatz"/>
        <w:numPr>
          <w:ilvl w:val="1"/>
          <w:numId w:val="1"/>
        </w:numPr>
        <w:spacing w:before="240"/>
      </w:pPr>
      <w:r>
        <w:t>Steuerrecht: negative Wirtschaftsgüter</w:t>
      </w:r>
    </w:p>
    <w:p w:rsidR="00183191" w:rsidRDefault="00183191" w:rsidP="00183191">
      <w:pPr>
        <w:pStyle w:val="Listenabsatz"/>
        <w:spacing w:before="240"/>
        <w:ind w:left="360"/>
      </w:pPr>
      <w:bookmarkStart w:id="0" w:name="_GoBack"/>
      <w:bookmarkEnd w:id="0"/>
    </w:p>
    <w:p w:rsidR="008335C8" w:rsidRDefault="008335C8" w:rsidP="008335C8">
      <w:pPr>
        <w:spacing w:before="240"/>
        <w:ind w:left="720"/>
      </w:pPr>
    </w:p>
    <w:p w:rsidR="001923B5" w:rsidRPr="001923B5" w:rsidRDefault="001923B5" w:rsidP="001923B5">
      <w:pPr>
        <w:spacing w:before="240"/>
        <w:ind w:left="720"/>
      </w:pPr>
    </w:p>
    <w:p w:rsidR="00CA6848" w:rsidRPr="00CA6848" w:rsidRDefault="00CA6848" w:rsidP="00CA6848">
      <w:pPr>
        <w:spacing w:before="240"/>
      </w:pPr>
    </w:p>
    <w:p w:rsidR="00CA6848" w:rsidRPr="00CA6848" w:rsidRDefault="00CA6848" w:rsidP="00CA6848"/>
    <w:sectPr w:rsidR="00CA6848" w:rsidRPr="00CA68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D2297"/>
    <w:multiLevelType w:val="hybridMultilevel"/>
    <w:tmpl w:val="EC10A4F4"/>
    <w:lvl w:ilvl="0" w:tplc="AEBE5D54"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6156900"/>
    <w:multiLevelType w:val="hybridMultilevel"/>
    <w:tmpl w:val="4D4005BC"/>
    <w:lvl w:ilvl="0" w:tplc="82103CA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EBE5D54">
      <w:numFmt w:val="bullet"/>
      <w:lvlText w:val="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848"/>
    <w:rsid w:val="00170D1E"/>
    <w:rsid w:val="00183191"/>
    <w:rsid w:val="001923B5"/>
    <w:rsid w:val="00552CB5"/>
    <w:rsid w:val="008335C8"/>
    <w:rsid w:val="00A658D4"/>
    <w:rsid w:val="00CA6848"/>
    <w:rsid w:val="00E7177D"/>
    <w:rsid w:val="00F5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E4DE9"/>
  <w15:chartTrackingRefBased/>
  <w15:docId w15:val="{A94420C5-1DB6-40B5-A3E3-239C55B0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A68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A684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enabsatz">
    <w:name w:val="List Paragraph"/>
    <w:basedOn w:val="Standard"/>
    <w:uiPriority w:val="34"/>
    <w:qFormat/>
    <w:rsid w:val="00CA6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628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Litt</dc:creator>
  <cp:keywords/>
  <dc:description/>
  <cp:lastModifiedBy>Andreas Litt</cp:lastModifiedBy>
  <cp:revision>2</cp:revision>
  <dcterms:created xsi:type="dcterms:W3CDTF">2022-10-11T11:18:00Z</dcterms:created>
  <dcterms:modified xsi:type="dcterms:W3CDTF">2022-10-11T12:38:00Z</dcterms:modified>
</cp:coreProperties>
</file>