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Case Studies:</w:t>
      </w:r>
    </w:p>
    <w:p>
      <w:pPr>
        <w:pStyle w:val="Normal"/>
        <w:rPr/>
      </w:pPr>
      <w:r>
        <w:rPr/>
      </w:r>
    </w:p>
    <w:p>
      <w:pPr>
        <w:pStyle w:val="Normal"/>
        <w:rPr/>
      </w:pPr>
      <w:r>
        <w:rPr/>
        <w:t>http://www.apple.com/mac/</w:t>
      </w:r>
    </w:p>
    <w:p>
      <w:pPr>
        <w:pStyle w:val="Normal"/>
        <w:rPr/>
      </w:pPr>
      <w:r>
        <w:rPr/>
      </w:r>
    </w:p>
    <w:p>
      <w:pPr>
        <w:pStyle w:val="Normal"/>
        <w:rPr/>
      </w:pPr>
      <w:r>
        <w:rPr/>
        <w:t>https://www.chase.com/personal/home-lending/mortgage</w:t>
      </w:r>
    </w:p>
    <w:p>
      <w:pPr>
        <w:pStyle w:val="Normal"/>
        <w:rPr/>
      </w:pPr>
      <w:r>
        <w:rPr/>
      </w:r>
    </w:p>
    <w:p>
      <w:pPr>
        <w:pStyle w:val="Normal"/>
        <w:rPr/>
      </w:pPr>
      <w:r>
        <w:rPr/>
        <w:t>http://www.globalprepacademy.com/</w:t>
      </w:r>
    </w:p>
    <w:p>
      <w:pPr>
        <w:pStyle w:val="Normal"/>
        <w:rPr/>
      </w:pPr>
      <w:r>
        <w:rPr/>
      </w:r>
    </w:p>
    <w:p>
      <w:pPr>
        <w:pStyle w:val="Normal"/>
        <w:rPr/>
      </w:pPr>
      <w:r>
        <w:rPr/>
        <w:t>https://www.tuftandneedle.com/</w:t>
      </w:r>
    </w:p>
    <w:p>
      <w:pPr>
        <w:pStyle w:val="Normal"/>
        <w:rPr/>
      </w:pPr>
      <w:r>
        <w:rPr/>
      </w:r>
    </w:p>
    <w:p>
      <w:pPr>
        <w:pStyle w:val="Normal"/>
        <w:rPr/>
      </w:pPr>
      <w:r>
        <w:rPr/>
        <w:t>http://beauwalker.com/</w:t>
      </w:r>
    </w:p>
    <w:p>
      <w:pPr>
        <w:pStyle w:val="Normal"/>
        <w:rPr/>
      </w:pPr>
      <w:r>
        <w:rPr/>
      </w:r>
    </w:p>
    <w:p>
      <w:pPr>
        <w:pStyle w:val="Normal"/>
        <w:rPr/>
      </w:pPr>
      <w:r>
        <w:rPr/>
        <w:t xml:space="preserve">cultivating 21st century skills </w:t>
      </w:r>
    </w:p>
    <w:p>
      <w:pPr>
        <w:pStyle w:val="Normal"/>
        <w:rPr/>
      </w:pPr>
      <w:r>
        <w:rPr/>
      </w:r>
    </w:p>
    <w:p>
      <w:pPr>
        <w:pStyle w:val="Normal"/>
        <w:rPr/>
      </w:pPr>
      <w:r>
        <w:rPr/>
        <w:t>global leaders</w:t>
      </w:r>
    </w:p>
    <w:p>
      <w:pPr>
        <w:pStyle w:val="Normal"/>
        <w:rPr/>
      </w:pPr>
      <w:r>
        <w:rPr/>
      </w:r>
    </w:p>
    <w:p>
      <w:pPr>
        <w:pStyle w:val="Normal"/>
        <w:rPr/>
      </w:pPr>
      <w:r>
        <w:rPr/>
      </w:r>
    </w:p>
    <w:p>
      <w:pPr>
        <w:pStyle w:val="Normal"/>
        <w:rPr/>
      </w:pPr>
      <w:r>
        <w:rPr/>
        <w:t>Hero Image and Page</w:t>
      </w:r>
    </w:p>
    <w:p>
      <w:pPr>
        <w:pStyle w:val="Normal"/>
        <w:rPr/>
      </w:pPr>
      <w:r>
        <w:rPr/>
      </w:r>
    </w:p>
    <w:p>
      <w:pPr>
        <w:pStyle w:val="Normal"/>
        <w:rPr/>
      </w:pPr>
      <w:r>
        <w:rPr/>
        <w:t>Scenario 1:</w:t>
      </w:r>
    </w:p>
    <w:p>
      <w:pPr>
        <w:pStyle w:val="Normal"/>
        <w:rPr/>
      </w:pPr>
      <w:r>
        <w:rPr/>
      </w:r>
    </w:p>
    <w:p>
      <w:pPr>
        <w:pStyle w:val="Normal"/>
        <w:rPr/>
      </w:pPr>
      <w:r>
        <w:rPr/>
        <w:tab/>
        <w:t>Perfect test scores and GPA are not enough to get you into an elite university.</w:t>
      </w:r>
    </w:p>
    <w:p>
      <w:pPr>
        <w:pStyle w:val="Normal"/>
        <w:rPr/>
      </w:pPr>
      <w:r>
        <w:rPr/>
      </w:r>
    </w:p>
    <w:p>
      <w:pPr>
        <w:pStyle w:val="Normal"/>
        <w:rPr/>
      </w:pPr>
      <w:r>
        <w:rPr/>
        <w:tab/>
        <w:t>Public education does not prepare you to be a successful global leader. (is stuck in the last century.)</w:t>
      </w:r>
    </w:p>
    <w:p>
      <w:pPr>
        <w:pStyle w:val="Normal"/>
        <w:rPr/>
      </w:pPr>
      <w:r>
        <w:rPr/>
      </w:r>
    </w:p>
    <w:p>
      <w:pPr>
        <w:pStyle w:val="Normal"/>
        <w:rPr/>
      </w:pPr>
      <w:r>
        <w:rPr/>
        <w:tab/>
        <w:t>Test Prep centers operate with little knowledge of the reality of the US college admissions process</w:t>
      </w:r>
    </w:p>
    <w:p>
      <w:pPr>
        <w:pStyle w:val="Normal"/>
        <w:rPr/>
      </w:pPr>
      <w:r>
        <w:rPr/>
      </w:r>
    </w:p>
    <w:p>
      <w:pPr>
        <w:pStyle w:val="Normal"/>
        <w:rPr/>
      </w:pPr>
      <w:r>
        <w:rPr/>
      </w:r>
    </w:p>
    <w:p>
      <w:pPr>
        <w:pStyle w:val="Normal"/>
        <w:rPr/>
      </w:pPr>
      <w:r>
        <w:rPr/>
        <w:t xml:space="preserve">cultivating 21st century skills </w:t>
      </w:r>
    </w:p>
    <w:p>
      <w:pPr>
        <w:pStyle w:val="Normal"/>
        <w:rPr/>
      </w:pPr>
      <w:r>
        <w:rPr/>
      </w:r>
    </w:p>
    <w:p>
      <w:pPr>
        <w:pStyle w:val="Normal"/>
        <w:rPr/>
      </w:pPr>
      <w:r>
        <w:rPr/>
        <w:t>global leaders</w:t>
      </w:r>
    </w:p>
    <w:p>
      <w:pPr>
        <w:pStyle w:val="Normal"/>
        <w:rPr/>
      </w:pPr>
      <w:r>
        <w:rPr/>
      </w:r>
    </w:p>
    <w:p>
      <w:pPr>
        <w:pStyle w:val="Normal"/>
        <w:rPr/>
      </w:pPr>
      <w:r>
        <w:rPr/>
      </w:r>
    </w:p>
    <w:p>
      <w:pPr>
        <w:pStyle w:val="Normal"/>
        <w:rPr/>
      </w:pPr>
      <w:r>
        <w:rPr/>
      </w:r>
    </w:p>
    <w:p>
      <w:pPr>
        <w:pStyle w:val="Normal"/>
        <w:rPr/>
      </w:pPr>
      <w:r>
        <w:rPr/>
        <w:t>Perfect test scores and GPA are not enough to get you into an elite university.</w:t>
      </w:r>
    </w:p>
    <w:p>
      <w:pPr>
        <w:pStyle w:val="Normal"/>
        <w:rPr/>
      </w:pPr>
      <w:r>
        <w:rPr/>
      </w:r>
    </w:p>
    <w:p>
      <w:pPr>
        <w:pStyle w:val="Normal"/>
        <w:rPr/>
      </w:pPr>
      <w:r>
        <w:rPr/>
        <w:t>Public education does not prepare you to be a successful global leader (is stuck in the last century.)</w:t>
      </w:r>
    </w:p>
    <w:p>
      <w:pPr>
        <w:pStyle w:val="Normal"/>
        <w:rPr/>
      </w:pPr>
      <w:r>
        <w:rPr/>
      </w:r>
    </w:p>
    <w:p>
      <w:pPr>
        <w:pStyle w:val="Normal"/>
        <w:rPr/>
      </w:pPr>
      <w:r>
        <w:rPr/>
        <w:t xml:space="preserve">Test Prep academies operate on a </w:t>
      </w:r>
    </w:p>
    <w:p>
      <w:pPr>
        <w:pStyle w:val="Normal"/>
        <w:rPr/>
      </w:pPr>
      <w:r>
        <w:rPr/>
      </w:r>
    </w:p>
    <w:p>
      <w:pPr>
        <w:pStyle w:val="Normal"/>
        <w:rPr/>
      </w:pPr>
      <w:r>
        <w:rPr/>
        <w:t>Cultivate 21st century skills with New Global Ed</w:t>
      </w:r>
    </w:p>
    <w:p>
      <w:pPr>
        <w:pStyle w:val="Normal"/>
        <w:rPr/>
      </w:pPr>
      <w:r>
        <w:rPr/>
      </w:r>
    </w:p>
    <w:p>
      <w:pPr>
        <w:pStyle w:val="Normal"/>
        <w:rPr/>
      </w:pPr>
      <w:r>
        <w:rPr/>
        <w:t>Learn to be a successful global leader.</w:t>
      </w:r>
    </w:p>
    <w:p>
      <w:pPr>
        <w:pStyle w:val="Normal"/>
        <w:rPr/>
      </w:pPr>
      <w:r>
        <w:rPr/>
        <w:t xml:space="preserve"> </w:t>
      </w:r>
      <w:r>
        <w:rPr/>
        <w:t>and top university candidate</w:t>
      </w:r>
    </w:p>
    <w:p>
      <w:pPr>
        <w:pStyle w:val="Normal"/>
        <w:rPr/>
      </w:pPr>
      <w:r>
        <w:rPr/>
      </w:r>
    </w:p>
    <w:p>
      <w:pPr>
        <w:pStyle w:val="Normal"/>
        <w:rPr/>
      </w:pPr>
      <w:r>
        <w:rPr/>
        <w:t>Acceptance rate changeses:</w:t>
      </w:r>
    </w:p>
    <w:p>
      <w:pPr>
        <w:pStyle w:val="Normal"/>
        <w:rPr/>
      </w:pPr>
      <w:r>
        <w:rPr/>
      </w:r>
    </w:p>
    <w:p>
      <w:pPr>
        <w:pStyle w:val="Normal"/>
        <w:rPr/>
      </w:pPr>
      <w:r>
        <w:rPr/>
      </w:r>
    </w:p>
    <w:tbl>
      <w:tblPr>
        <w:jc w:val="left"/>
        <w:tblInd w:w="148" w:type="dxa"/>
        <w:tblBorders>
          <w:top w:val="nil"/>
          <w:left w:val="single" w:sz="2" w:space="0" w:color="DDDDDD"/>
          <w:bottom w:val="single" w:sz="2" w:space="0" w:color="DDDDDD"/>
          <w:insideH w:val="single" w:sz="2" w:space="0" w:color="DDDDDD"/>
          <w:right w:val="nil"/>
          <w:insideV w:val="nil"/>
        </w:tblBorders>
        <w:tblCellMar>
          <w:top w:w="0" w:type="dxa"/>
          <w:left w:w="146" w:type="dxa"/>
          <w:bottom w:w="150" w:type="dxa"/>
          <w:right w:w="0" w:type="dxa"/>
        </w:tblCellMar>
      </w:tblPr>
      <w:tblGrid>
        <w:gridCol w:w="914"/>
        <w:gridCol w:w="714"/>
        <w:gridCol w:w="713"/>
        <w:gridCol w:w="714"/>
        <w:gridCol w:w="760"/>
      </w:tblGrid>
      <w:tr>
        <w:trPr>
          <w:cantSplit w:val="false"/>
        </w:trPr>
        <w:tc>
          <w:tcPr>
            <w:tcW w:w="914"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rStyle w:val="StrongEmphasis"/>
                <w:rFonts w:ascii="ivywise-font-bold;sans-serif" w:hAnsi="ivywise-font-bold;sans-serif"/>
                <w:b w:val="false"/>
              </w:rPr>
            </w:pPr>
            <w:r>
              <w:rPr>
                <w:rStyle w:val="StrongEmphasis"/>
                <w:rFonts w:ascii="ivywise-font-bold;sans-serif" w:hAnsi="ivywise-font-bold;sans-serif"/>
                <w:b w:val="false"/>
              </w:rPr>
              <w:t>School</w:t>
            </w:r>
          </w:p>
        </w:tc>
        <w:tc>
          <w:tcPr>
            <w:tcW w:w="714"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rStyle w:val="StrongEmphasis"/>
                <w:rFonts w:ascii="ivywise-font-bold;sans-serif" w:hAnsi="ivywise-font-bold;sans-serif"/>
                <w:b w:val="false"/>
              </w:rPr>
            </w:pPr>
            <w:r>
              <w:rPr>
                <w:rStyle w:val="StrongEmphasis"/>
                <w:rFonts w:ascii="ivywise-font-bold;sans-serif" w:hAnsi="ivywise-font-bold;sans-serif"/>
                <w:b w:val="false"/>
              </w:rPr>
              <w:t>2016</w:t>
            </w:r>
          </w:p>
        </w:tc>
        <w:tc>
          <w:tcPr>
            <w:tcW w:w="713"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rStyle w:val="StrongEmphasis"/>
                <w:rFonts w:ascii="ivywise-font-bold;sans-serif" w:hAnsi="ivywise-font-bold;sans-serif"/>
                <w:b w:val="false"/>
              </w:rPr>
            </w:pPr>
            <w:r>
              <w:rPr>
                <w:rStyle w:val="StrongEmphasis"/>
                <w:rFonts w:ascii="ivywise-font-bold;sans-serif" w:hAnsi="ivywise-font-bold;sans-serif"/>
                <w:b w:val="false"/>
              </w:rPr>
              <w:t>2015</w:t>
            </w:r>
          </w:p>
        </w:tc>
        <w:tc>
          <w:tcPr>
            <w:tcW w:w="714"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rStyle w:val="StrongEmphasis"/>
                <w:rFonts w:ascii="ivywise-font-bold;sans-serif" w:hAnsi="ivywise-font-bold;sans-serif"/>
                <w:b w:val="false"/>
              </w:rPr>
            </w:pPr>
            <w:r>
              <w:rPr>
                <w:rStyle w:val="StrongEmphasis"/>
                <w:rFonts w:ascii="ivywise-font-bold;sans-serif" w:hAnsi="ivywise-font-bold;sans-serif"/>
                <w:b w:val="false"/>
              </w:rPr>
              <w:t>2014</w:t>
            </w:r>
          </w:p>
        </w:tc>
        <w:tc>
          <w:tcPr>
            <w:tcW w:w="760"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rStyle w:val="StrongEmphasis"/>
                <w:rFonts w:ascii="ivywise-font-bold;sans-serif" w:hAnsi="ivywise-font-bold;sans-serif"/>
                <w:b w:val="false"/>
              </w:rPr>
            </w:pPr>
            <w:r>
              <w:rPr>
                <w:rStyle w:val="StrongEmphasis"/>
                <w:rFonts w:ascii="ivywise-font-bold;sans-serif" w:hAnsi="ivywise-font-bold;sans-serif"/>
                <w:b w:val="false"/>
              </w:rPr>
              <w:t>2005</w:t>
            </w:r>
          </w:p>
        </w:tc>
      </w:tr>
    </w:tbl>
    <w:p>
      <w:pPr>
        <w:pStyle w:val="Normal"/>
        <w:rPr/>
      </w:pPr>
      <w:r>
        <w:rPr/>
      </w:r>
    </w:p>
    <w:tbl>
      <w:tblPr>
        <w:jc w:val="left"/>
        <w:tblInd w:w="148" w:type="dxa"/>
        <w:tblBorders>
          <w:top w:val="nil"/>
          <w:left w:val="single" w:sz="2" w:space="0" w:color="DDDDDD"/>
          <w:bottom w:val="single" w:sz="2" w:space="0" w:color="DDDDDD"/>
          <w:insideH w:val="single" w:sz="2" w:space="0" w:color="DDDDDD"/>
          <w:right w:val="nil"/>
          <w:insideV w:val="nil"/>
        </w:tblBorders>
        <w:tblCellMar>
          <w:top w:w="0" w:type="dxa"/>
          <w:left w:w="146" w:type="dxa"/>
          <w:bottom w:w="150" w:type="dxa"/>
          <w:right w:w="0" w:type="dxa"/>
        </w:tblCellMar>
      </w:tblPr>
      <w:tblGrid>
        <w:gridCol w:w="1974"/>
        <w:gridCol w:w="601"/>
        <w:gridCol w:w="601"/>
        <w:gridCol w:w="600"/>
        <w:gridCol w:w="463"/>
      </w:tblGrid>
      <w:tr>
        <w:trPr>
          <w:cantSplit w:val="false"/>
        </w:trPr>
        <w:tc>
          <w:tcPr>
            <w:tcW w:w="1974"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pPr>
            <w:r>
              <w:rPr/>
              <w:t>Harvard University</w:t>
            </w:r>
          </w:p>
        </w:tc>
        <w:tc>
          <w:tcPr>
            <w:tcW w:w="601"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pPr>
            <w:r>
              <w:rPr/>
              <w:t>5.2%</w:t>
            </w:r>
          </w:p>
        </w:tc>
        <w:tc>
          <w:tcPr>
            <w:tcW w:w="601"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pPr>
            <w:r>
              <w:rPr/>
              <w:t>5.3%</w:t>
            </w:r>
          </w:p>
        </w:tc>
        <w:tc>
          <w:tcPr>
            <w:tcW w:w="600"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pPr>
            <w:r>
              <w:rPr/>
              <w:t>5.9%</w:t>
            </w:r>
          </w:p>
        </w:tc>
        <w:tc>
          <w:tcPr>
            <w:tcW w:w="463"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pPr>
            <w:r>
              <w:rPr/>
              <w:t>11%</w:t>
            </w:r>
          </w:p>
        </w:tc>
      </w:tr>
    </w:tbl>
    <w:p>
      <w:pPr>
        <w:pStyle w:val="Normal"/>
        <w:rPr/>
      </w:pPr>
      <w:r>
        <w:rPr/>
      </w:r>
    </w:p>
    <w:tbl>
      <w:tblPr>
        <w:jc w:val="left"/>
        <w:tblInd w:w="148" w:type="dxa"/>
        <w:tblBorders>
          <w:top w:val="nil"/>
          <w:left w:val="single" w:sz="2" w:space="0" w:color="DDDDDD"/>
          <w:bottom w:val="single" w:sz="2" w:space="0" w:color="DDDDDD"/>
          <w:insideH w:val="single" w:sz="2" w:space="0" w:color="DDDDDD"/>
          <w:right w:val="nil"/>
          <w:insideV w:val="nil"/>
        </w:tblBorders>
        <w:tblCellMar>
          <w:top w:w="0" w:type="dxa"/>
          <w:left w:w="146" w:type="dxa"/>
          <w:bottom w:w="150" w:type="dxa"/>
          <w:right w:w="0" w:type="dxa"/>
        </w:tblCellMar>
      </w:tblPr>
      <w:tblGrid>
        <w:gridCol w:w="2015"/>
        <w:gridCol w:w="721"/>
        <w:gridCol w:w="721"/>
        <w:gridCol w:w="721"/>
        <w:gridCol w:w="462"/>
      </w:tblGrid>
      <w:tr>
        <w:trPr>
          <w:cantSplit w:val="false"/>
        </w:trPr>
        <w:tc>
          <w:tcPr>
            <w:tcW w:w="2015"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pPr>
            <w:r>
              <w:rPr/>
              <w:t>Stanford University</w:t>
            </w:r>
          </w:p>
        </w:tc>
        <w:tc>
          <w:tcPr>
            <w:tcW w:w="721"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pPr>
            <w:r>
              <w:rPr/>
              <w:t>4.69%</w:t>
            </w:r>
          </w:p>
        </w:tc>
        <w:tc>
          <w:tcPr>
            <w:tcW w:w="721"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pPr>
            <w:r>
              <w:rPr/>
              <w:t>5.05%</w:t>
            </w:r>
          </w:p>
        </w:tc>
        <w:tc>
          <w:tcPr>
            <w:tcW w:w="721"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pPr>
            <w:r>
              <w:rPr/>
              <w:t>5.07%</w:t>
            </w:r>
          </w:p>
        </w:tc>
        <w:tc>
          <w:tcPr>
            <w:tcW w:w="462"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pPr>
            <w:r>
              <w:rPr/>
              <w:t>13%</w:t>
            </w:r>
          </w:p>
        </w:tc>
      </w:tr>
    </w:tbl>
    <w:p>
      <w:pPr>
        <w:pStyle w:val="Normal"/>
        <w:rPr/>
      </w:pPr>
      <w:r>
        <w:rPr/>
      </w:r>
    </w:p>
    <w:tbl>
      <w:tblPr>
        <w:jc w:val="left"/>
        <w:tblInd w:w="148" w:type="dxa"/>
        <w:tblBorders>
          <w:top w:val="nil"/>
          <w:left w:val="single" w:sz="2" w:space="0" w:color="DDDDDD"/>
          <w:bottom w:val="single" w:sz="2" w:space="0" w:color="DDDDDD"/>
          <w:insideH w:val="single" w:sz="2" w:space="0" w:color="DDDDDD"/>
          <w:right w:val="nil"/>
          <w:insideV w:val="nil"/>
        </w:tblBorders>
        <w:tblCellMar>
          <w:top w:w="0" w:type="dxa"/>
          <w:left w:w="146" w:type="dxa"/>
          <w:bottom w:w="150" w:type="dxa"/>
          <w:right w:w="0" w:type="dxa"/>
        </w:tblCellMar>
      </w:tblPr>
      <w:tblGrid>
        <w:gridCol w:w="3521"/>
        <w:gridCol w:w="721"/>
        <w:gridCol w:w="721"/>
        <w:gridCol w:w="721"/>
        <w:gridCol w:w="462"/>
      </w:tblGrid>
      <w:tr>
        <w:trPr>
          <w:cantSplit w:val="false"/>
        </w:trPr>
        <w:tc>
          <w:tcPr>
            <w:tcW w:w="3521"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pPr>
            <w:r>
              <w:rPr/>
              <w:t>University of California – Berkeley</w:t>
            </w:r>
          </w:p>
        </w:tc>
        <w:tc>
          <w:tcPr>
            <w:tcW w:w="721"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pPr>
            <w:r>
              <w:rPr/>
              <w:t>14.8%</w:t>
            </w:r>
          </w:p>
        </w:tc>
        <w:tc>
          <w:tcPr>
            <w:tcW w:w="721"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pPr>
            <w:r>
              <w:rPr/>
              <w:t>15.3%</w:t>
            </w:r>
          </w:p>
        </w:tc>
        <w:tc>
          <w:tcPr>
            <w:tcW w:w="721"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pPr>
            <w:r>
              <w:rPr/>
              <w:t>17.3%</w:t>
            </w:r>
          </w:p>
        </w:tc>
        <w:tc>
          <w:tcPr>
            <w:tcW w:w="462" w:type="dxa"/>
            <w:tcBorders>
              <w:top w:val="nil"/>
              <w:left w:val="single" w:sz="2" w:space="0" w:color="DDDDDD"/>
              <w:bottom w:val="single" w:sz="2" w:space="0" w:color="DDDDDD"/>
              <w:insideH w:val="single" w:sz="2" w:space="0" w:color="DDDDDD"/>
              <w:right w:val="nil"/>
              <w:insideV w:val="nil"/>
            </w:tcBorders>
            <w:shd w:fill="FFFFFF" w:val="clear"/>
            <w:tcMar>
              <w:left w:w="146" w:type="dxa"/>
            </w:tcMar>
            <w:vAlign w:val="center"/>
          </w:tcPr>
          <w:p>
            <w:pPr>
              <w:pStyle w:val="TableContents"/>
              <w:rPr/>
            </w:pPr>
            <w:r>
              <w:rPr/>
              <w:t>27%</w:t>
            </w:r>
          </w:p>
        </w:tc>
      </w:tr>
    </w:tbl>
    <w:p>
      <w:pPr>
        <w:pStyle w:val="Normal"/>
        <w:rPr/>
      </w:pPr>
      <w:r>
        <w:rPr/>
      </w:r>
    </w:p>
    <w:p>
      <w:pPr>
        <w:pStyle w:val="Normal"/>
        <w:rPr>
          <w:rFonts w:ascii="Lyon Text;Georgia;Times;serif" w:hAnsi="Lyon Text;Georgia;Times;serif"/>
          <w:b w:val="false"/>
          <w:i w:val="false"/>
          <w:caps w:val="false"/>
          <w:smallCaps w:val="false"/>
          <w:color w:val="000000"/>
          <w:spacing w:val="0"/>
          <w:sz w:val="24"/>
          <w:szCs w:val="24"/>
        </w:rPr>
      </w:pPr>
      <w:r>
        <w:rPr>
          <w:rFonts w:ascii="Lyon Text;Georgia;Times;serif" w:hAnsi="Lyon Text;Georgia;Times;serif"/>
          <w:b w:val="false"/>
          <w:i w:val="false"/>
          <w:caps w:val="false"/>
          <w:smallCaps w:val="false"/>
          <w:color w:val="000000"/>
          <w:spacing w:val="0"/>
          <w:sz w:val="24"/>
          <w:szCs w:val="24"/>
        </w:rPr>
        <w:t>Application inflation is linked, he believes, to the Common App, an application and essay that works for multiple schools, so there’s no extra paperwork associated with applying to many more places. In 1998, the Common App went online, and today, the vast majority of “selective colleges” allow students to use it—driving up their own selectivity.</w:t>
      </w:r>
    </w:p>
    <w:p>
      <w:pPr>
        <w:pStyle w:val="Normal"/>
        <w:rPr>
          <w:rFonts w:ascii="Lyon Text;Georgia;Times;serif" w:hAnsi="Lyon Text;Georgia;Times;serif"/>
          <w:b w:val="false"/>
          <w:i w:val="false"/>
          <w:caps w:val="false"/>
          <w:smallCaps w:val="false"/>
          <w:color w:val="000000"/>
          <w:spacing w:val="0"/>
          <w:sz w:val="24"/>
          <w:szCs w:val="24"/>
        </w:rPr>
      </w:pPr>
      <w:r>
        <w:rPr>
          <w:rFonts w:ascii="Lyon Text;Georgia;Times;serif" w:hAnsi="Lyon Text;Georgia;Times;serif"/>
          <w:b w:val="false"/>
          <w:i w:val="false"/>
          <w:caps w:val="false"/>
          <w:smallCaps w:val="false"/>
          <w:color w:val="000000"/>
          <w:spacing w:val="0"/>
          <w:sz w:val="24"/>
          <w:szCs w:val="24"/>
        </w:rPr>
      </w:r>
    </w:p>
    <w:p>
      <w:pPr>
        <w:pStyle w:val="Normal"/>
        <w:rPr>
          <w:rFonts w:ascii="Lyon Text;Georgia;Times;serif" w:hAnsi="Lyon Text;Georgia;Times;serif"/>
          <w:b w:val="false"/>
          <w:i w:val="false"/>
          <w:caps w:val="false"/>
          <w:smallCaps w:val="false"/>
          <w:color w:val="000000"/>
          <w:spacing w:val="0"/>
          <w:sz w:val="24"/>
          <w:szCs w:val="24"/>
        </w:rPr>
      </w:pPr>
      <w:r>
        <w:rPr>
          <w:rFonts w:ascii="Lyon Text;Georgia;Times;serif" w:hAnsi="Lyon Text;Georgia;Times;serif"/>
          <w:b w:val="false"/>
          <w:i w:val="false"/>
          <w:caps w:val="false"/>
          <w:smallCaps w:val="false"/>
          <w:color w:val="000000"/>
          <w:spacing w:val="0"/>
          <w:sz w:val="24"/>
          <w:szCs w:val="24"/>
        </w:rPr>
      </w:r>
    </w:p>
    <w:p>
      <w:pPr>
        <w:pStyle w:val="Normal"/>
        <w:rPr>
          <w:rFonts w:ascii="ff-dagny-web-pro;Arial;sans-serif" w:hAnsi="ff-dagny-web-pro;Arial;sans-serif"/>
          <w:b w:val="false"/>
          <w:i w:val="false"/>
          <w:caps w:val="false"/>
          <w:smallCaps w:val="false"/>
          <w:color w:val="000000"/>
          <w:spacing w:val="0"/>
          <w:sz w:val="24"/>
          <w:szCs w:val="24"/>
        </w:rPr>
      </w:pPr>
      <w:r>
        <w:rPr>
          <w:rFonts w:ascii="Lyon Text;Georgia;Times;serif" w:hAnsi="Lyon Text;Georgia;Times;serif"/>
          <w:b w:val="false"/>
          <w:i w:val="false"/>
          <w:caps w:val="false"/>
          <w:smallCaps w:val="false"/>
          <w:color w:val="000000"/>
          <w:spacing w:val="0"/>
          <w:sz w:val="24"/>
          <w:szCs w:val="24"/>
        </w:rPr>
        <w:br/>
      </w:r>
      <w:r>
        <w:rPr>
          <w:rFonts w:ascii="ff-dagny-web-pro;Arial;sans-serif" w:hAnsi="ff-dagny-web-pro;Arial;sans-serif"/>
          <w:b w:val="false"/>
          <w:i w:val="false"/>
          <w:caps w:val="false"/>
          <w:smallCaps w:val="false"/>
          <w:color w:val="000000"/>
          <w:spacing w:val="0"/>
          <w:sz w:val="24"/>
          <w:szCs w:val="24"/>
        </w:rPr>
        <w:t>As a practitioner, I'm fearful, along with many colleagues, that these goals and all that is involved in achieving them is currently being compromised by the policies of accountability and undesirable consequences that are in place. One result is that what happens in schools is to focus on what is easily measured by the assessments for 'accountability' such as (arithmetic, spelling, comprehension), at the expense of other skills and understandings that are not easily measured (such as responsibility, collaboration, global competence, critical thinking).</w:t>
      </w:r>
    </w:p>
    <w:p>
      <w:pPr>
        <w:pStyle w:val="Normal"/>
        <w:rPr>
          <w:rFonts w:ascii="Lyon Text;Georgia;Times;serif" w:hAnsi="Lyon Text;Georgia;Times;serif"/>
          <w:b w:val="false"/>
          <w:i w:val="false"/>
          <w:caps w:val="false"/>
          <w:smallCaps w:val="false"/>
          <w:color w:val="000000"/>
          <w:spacing w:val="0"/>
          <w:sz w:val="24"/>
          <w:szCs w:val="24"/>
        </w:rPr>
      </w:pPr>
      <w:r>
        <w:rPr>
          <w:rFonts w:ascii="Lyon Text;Georgia;Times;serif" w:hAnsi="Lyon Text;Georgia;Times;serif"/>
          <w:b w:val="false"/>
          <w:i w:val="false"/>
          <w:caps w:val="false"/>
          <w:smallCaps w:val="false"/>
          <w:color w:val="000000"/>
          <w:spacing w:val="0"/>
          <w:sz w:val="24"/>
          <w:szCs w:val="24"/>
        </w:rPr>
      </w:r>
    </w:p>
    <w:p>
      <w:pPr>
        <w:pStyle w:val="Normal"/>
        <w:rPr>
          <w:rFonts w:ascii="Lyon Text;Georgia;Times;serif" w:hAnsi="Lyon Text;Georgia;Times;serif"/>
          <w:b w:val="false"/>
          <w:i w:val="false"/>
          <w:caps w:val="false"/>
          <w:smallCaps w:val="false"/>
          <w:color w:val="000000"/>
          <w:spacing w:val="0"/>
          <w:sz w:val="24"/>
          <w:szCs w:val="24"/>
        </w:rPr>
      </w:pPr>
      <w:r>
        <w:rPr>
          <w:rFonts w:ascii="Lyon Text;Georgia;Times;serif" w:hAnsi="Lyon Text;Georgia;Times;serif"/>
          <w:b w:val="false"/>
          <w:i w:val="false"/>
          <w:caps w:val="false"/>
          <w:smallCaps w:val="false"/>
          <w:color w:val="000000"/>
          <w:spacing w:val="0"/>
          <w:sz w:val="24"/>
          <w:szCs w:val="24"/>
        </w:rPr>
      </w:r>
    </w:p>
    <w:p>
      <w:pPr>
        <w:pStyle w:val="TextBody"/>
        <w:rPr>
          <w:rFonts w:ascii="Freight Text W03;Georgia;serif" w:hAnsi="Freight Text W03;Georgia;serif"/>
          <w:b w:val="false"/>
          <w:i w:val="false"/>
          <w:caps w:val="false"/>
          <w:smallCaps w:val="false"/>
          <w:color w:val="202F33"/>
          <w:spacing w:val="0"/>
          <w:sz w:val="24"/>
          <w:szCs w:val="24"/>
        </w:rPr>
      </w:pPr>
      <w:r>
        <w:rPr>
          <w:rFonts w:ascii="Freight Text W03;Georgia;serif" w:hAnsi="Freight Text W03;Georgia;serif"/>
          <w:b w:val="false"/>
          <w:i w:val="false"/>
          <w:caps w:val="false"/>
          <w:smallCaps w:val="false"/>
          <w:color w:val="202F33"/>
          <w:spacing w:val="0"/>
          <w:sz w:val="24"/>
          <w:szCs w:val="24"/>
        </w:rPr>
        <w:t>Like many other concerned educators, Rubenstein decries the current trend toward "uniformity and conformity" and says that raising standardized test scores "is now the only goal" of public education. As a results, says Rubenstein, "the creativity, flexibility, and spontaneity that create authentic learning environments have been eliminated."</w:t>
      </w:r>
    </w:p>
    <w:p>
      <w:pPr>
        <w:pStyle w:val="TextBody"/>
        <w:widowControl/>
        <w:pBdr>
          <w:top w:val="nil"/>
          <w:left w:val="nil"/>
          <w:bottom w:val="nil"/>
          <w:right w:val="nil"/>
        </w:pBdr>
        <w:spacing w:before="0" w:after="405"/>
        <w:ind w:left="0" w:right="0" w:hanging="0"/>
        <w:rPr>
          <w:rFonts w:ascii="Freight Text W03;Georgia;serif" w:hAnsi="Freight Text W03;Georgia;serif"/>
          <w:b w:val="false"/>
          <w:i w:val="false"/>
          <w:caps w:val="false"/>
          <w:smallCaps w:val="false"/>
          <w:color w:val="202F33"/>
          <w:spacing w:val="0"/>
          <w:sz w:val="24"/>
          <w:szCs w:val="24"/>
        </w:rPr>
      </w:pPr>
      <w:r>
        <w:rPr>
          <w:rFonts w:ascii="Freight Text W03;Georgia;serif" w:hAnsi="Freight Text W03;Georgia;serif"/>
          <w:b w:val="false"/>
          <w:i w:val="false"/>
          <w:caps w:val="false"/>
          <w:smallCaps w:val="false"/>
          <w:color w:val="202F33"/>
          <w:spacing w:val="0"/>
          <w:sz w:val="24"/>
          <w:szCs w:val="24"/>
        </w:rPr>
        <w:t>Rubenstein, who came to teaching as a second career describes how field trips, projects, and recess have been cut in favor of skill and drill assignments and testing. And although employees from all professions are "happiest when given autonomy," Rubenstein also says that's no longer what's happening for teachers. Teachers are routinely disrespected, she says, and now even tenured educators can lose their jobs if their students are too loud in the halls or if they take more time to teach their students a particular concept.</w:t>
      </w:r>
    </w:p>
    <w:p>
      <w:pPr>
        <w:pStyle w:val="Normal"/>
        <w:rPr>
          <w:rFonts w:ascii="Freight Text W03;Georgia;serif" w:hAnsi="Freight Text W03;Georgia;serif"/>
          <w:b w:val="false"/>
          <w:i w:val="false"/>
          <w:caps w:val="false"/>
          <w:smallCaps w:val="false"/>
          <w:color w:val="202F33"/>
          <w:spacing w:val="0"/>
          <w:sz w:val="24"/>
          <w:szCs w:val="24"/>
        </w:rPr>
      </w:pPr>
      <w:r>
        <w:rPr>
          <w:rFonts w:ascii="Freight Text W03;Georgia;serif" w:hAnsi="Freight Text W03;Georgia;serif"/>
          <w:b w:val="false"/>
          <w:i w:val="false"/>
          <w:caps w:val="false"/>
          <w:smallCaps w:val="false"/>
          <w:color w:val="202F33"/>
          <w:spacing w:val="0"/>
          <w:sz w:val="24"/>
          <w:szCs w:val="24"/>
        </w:rPr>
        <w:t>"Federal and state mandates for testing and curriculum have expanded, and the bar for student achievement has been raised." </w:t>
      </w:r>
    </w:p>
    <w:p>
      <w:pPr>
        <w:pStyle w:val="Normal"/>
        <w:rPr>
          <w:rFonts w:ascii="Lyon Text;Georgia;Times;serif" w:hAnsi="Lyon Text;Georgia;Times;serif"/>
          <w:b w:val="false"/>
          <w:i w:val="false"/>
          <w:caps w:val="false"/>
          <w:smallCaps w:val="false"/>
          <w:color w:val="000000"/>
          <w:spacing w:val="0"/>
          <w:sz w:val="27"/>
        </w:rPr>
      </w:pPr>
      <w:r>
        <w:rPr>
          <w:rFonts w:ascii="Lyon Text;Georgia;Times;serif" w:hAnsi="Lyon Text;Georgia;Times;serif"/>
          <w:b w:val="false"/>
          <w:i w:val="false"/>
          <w:caps w:val="false"/>
          <w:smallCaps w:val="false"/>
          <w:color w:val="000000"/>
          <w:spacing w:val="0"/>
          <w:sz w:val="27"/>
        </w:rPr>
      </w:r>
    </w:p>
    <w:p>
      <w:pPr>
        <w:pStyle w:val="Normal"/>
        <w:rPr/>
      </w:pPr>
      <w:r>
        <w:rPr/>
        <w:t>Scenario 2:</w:t>
      </w:r>
    </w:p>
    <w:p>
      <w:pPr>
        <w:pStyle w:val="Normal"/>
        <w:rPr/>
      </w:pPr>
      <w:r>
        <w:rPr/>
      </w:r>
    </w:p>
    <w:p>
      <w:pPr>
        <w:pStyle w:val="Normal"/>
        <w:rPr/>
      </w:pPr>
      <w:r>
        <w:rPr/>
        <w:tab/>
        <w:t>Cultivate 21st century skills with New Global Ed</w:t>
      </w:r>
    </w:p>
    <w:p>
      <w:pPr>
        <w:pStyle w:val="Normal"/>
        <w:rPr/>
      </w:pPr>
      <w:r>
        <w:rPr/>
      </w:r>
    </w:p>
    <w:p>
      <w:pPr>
        <w:pStyle w:val="Normal"/>
        <w:rPr/>
      </w:pPr>
      <w:r>
        <w:rPr/>
        <w:tab/>
        <w:t>Learn to be a successful global leader.</w:t>
      </w:r>
    </w:p>
    <w:p>
      <w:pPr>
        <w:pStyle w:val="Normal"/>
        <w:rPr/>
      </w:pPr>
      <w:r>
        <w:rPr/>
        <w:t xml:space="preserve"> </w:t>
      </w:r>
      <w:r>
        <w:rPr/>
        <w:tab/>
        <w:tab/>
        <w:t>and top university candidate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ivywise-font-bold">
    <w:altName w:val="sans-serif"/>
    <w:charset w:val="01"/>
    <w:family w:val="roman"/>
    <w:pitch w:val="variable"/>
  </w:font>
  <w:font w:name="Lyon Text">
    <w:altName w:val="Georgia"/>
    <w:charset w:val="01"/>
    <w:family w:val="roman"/>
    <w:pitch w:val="variable"/>
  </w:font>
  <w:font w:name="ff-dagny-web-pro">
    <w:altName w:val="Arial"/>
    <w:charset w:val="01"/>
    <w:family w:val="roman"/>
    <w:pitch w:val="variable"/>
  </w:font>
  <w:font w:name="Freight Text W03">
    <w:altName w:val="Georgia"/>
    <w:charset w:val="01"/>
    <w:family w:val="roman"/>
    <w:pitch w:val="variable"/>
  </w:font>
</w:fonts>
</file>

<file path=word/settings.xml><?xml version="1.0" encoding="utf-8"?>
<w:settings xmlns:w="http://schemas.openxmlformats.org/wordprocessingml/2006/main">
  <w:zoom w:percent="9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2016-11-25T15:16:45Z</dcterms:created>
  <dc:language>en-US</dc:language>
  <cp:revision>0</cp:revision>
</cp:coreProperties>
</file>