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BUBT Mode-Choice Research: Kruskal-Wallis H Summary Report</w:t>
      </w:r>
    </w:p>
    <w:p>
      <w:r>
        <w:t>Summary of non-parametric group comparisons across transport modes (Chapter 4).</w:t>
      </w:r>
    </w:p>
    <w:p>
      <w:r>
        <w:rPr>
          <w:b/>
          <w:sz w:val="24"/>
        </w:rPr>
        <w:t>Table 4.13: Master Kruskal-Wallis Results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N</w:t>
            </w:r>
          </w:p>
        </w:tc>
        <w:tc>
          <w:tcPr>
            <w:tcW w:type="dxa" w:w="960"/>
          </w:tcPr>
          <w:p>
            <w:r>
              <w:rPr>
                <w:b/>
              </w:rPr>
              <w:t>H (uncorr)</w:t>
            </w:r>
          </w:p>
        </w:tc>
        <w:tc>
          <w:tcPr>
            <w:tcW w:type="dxa" w:w="960"/>
          </w:tcPr>
          <w:p>
            <w:r>
              <w:rPr>
                <w:b/>
              </w:rPr>
              <w:t>C</w:t>
            </w:r>
          </w:p>
        </w:tc>
        <w:tc>
          <w:tcPr>
            <w:tcW w:type="dxa" w:w="960"/>
          </w:tcPr>
          <w:p>
            <w:r>
              <w:rPr>
                <w:b/>
              </w:rPr>
              <w:t>H (corr)</w:t>
            </w:r>
          </w:p>
        </w:tc>
        <w:tc>
          <w:tcPr>
            <w:tcW w:type="dxa" w:w="960"/>
          </w:tcPr>
          <w:p>
            <w:r>
              <w:rPr>
                <w:b/>
              </w:rPr>
              <w:t>df</w:t>
            </w:r>
          </w:p>
        </w:tc>
        <w:tc>
          <w:tcPr>
            <w:tcW w:type="dxa" w:w="960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960"/>
          </w:tcPr>
          <w:p>
            <w:r>
              <w:rPr>
                <w:b/>
              </w:rPr>
              <w:t>eta^2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960"/>
          </w:tcPr>
          <w:p>
            <w:r>
              <w:t>One-Way Cost (BDT)</w:t>
            </w:r>
          </w:p>
        </w:tc>
        <w:tc>
          <w:tcPr>
            <w:tcW w:type="dxa" w:w="960"/>
          </w:tcPr>
          <w:p>
            <w:r>
              <w:t>319</w:t>
            </w:r>
          </w:p>
        </w:tc>
        <w:tc>
          <w:tcPr>
            <w:tcW w:type="dxa" w:w="960"/>
          </w:tcPr>
          <w:p>
            <w:r>
              <w:t>96.9425</w:t>
            </w:r>
          </w:p>
        </w:tc>
        <w:tc>
          <w:tcPr>
            <w:tcW w:type="dxa" w:w="960"/>
          </w:tcPr>
          <w:p>
            <w:r>
              <w:t>0.990111</w:t>
            </w:r>
          </w:p>
        </w:tc>
        <w:tc>
          <w:tcPr>
            <w:tcW w:type="dxa" w:w="960"/>
          </w:tcPr>
          <w:p>
            <w:r>
              <w:t>97.9107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0.000000</w:t>
            </w:r>
          </w:p>
        </w:tc>
        <w:tc>
          <w:tcPr>
            <w:tcW w:type="dxa" w:w="960"/>
          </w:tcPr>
          <w:p>
            <w:r>
              <w:t>0.3013</w:t>
            </w:r>
          </w:p>
        </w:tc>
        <w:tc>
          <w:tcPr>
            <w:tcW w:type="dxa" w:w="960"/>
          </w:tcPr>
          <w:p>
            <w:r>
              <w:t>Large  (η² ≥ 0.14; Tomczak &amp; Tomczak, 2014)</w:t>
            </w:r>
          </w:p>
        </w:tc>
      </w:tr>
      <w:tr>
        <w:tc>
          <w:tcPr>
            <w:tcW w:type="dxa" w:w="960"/>
          </w:tcPr>
          <w:p>
            <w:r>
              <w:t>Access Time (min)</w:t>
            </w:r>
          </w:p>
        </w:tc>
        <w:tc>
          <w:tcPr>
            <w:tcW w:type="dxa" w:w="960"/>
          </w:tcPr>
          <w:p>
            <w:r>
              <w:t>319</w:t>
            </w:r>
          </w:p>
        </w:tc>
        <w:tc>
          <w:tcPr>
            <w:tcW w:type="dxa" w:w="960"/>
          </w:tcPr>
          <w:p>
            <w:r>
              <w:t>168.4450</w:t>
            </w:r>
          </w:p>
        </w:tc>
        <w:tc>
          <w:tcPr>
            <w:tcW w:type="dxa" w:w="960"/>
          </w:tcPr>
          <w:p>
            <w:r>
              <w:t>0.993555</w:t>
            </w:r>
          </w:p>
        </w:tc>
        <w:tc>
          <w:tcPr>
            <w:tcW w:type="dxa" w:w="960"/>
          </w:tcPr>
          <w:p>
            <w:r>
              <w:t>169.5376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0.000000</w:t>
            </w:r>
          </w:p>
        </w:tc>
        <w:tc>
          <w:tcPr>
            <w:tcW w:type="dxa" w:w="960"/>
          </w:tcPr>
          <w:p>
            <w:r>
              <w:t>0.5287</w:t>
            </w:r>
          </w:p>
        </w:tc>
        <w:tc>
          <w:tcPr>
            <w:tcW w:type="dxa" w:w="960"/>
          </w:tcPr>
          <w:p>
            <w:r>
              <w:t>Large  (η² ≥ 0.14; Tomczak &amp; Tomczak, 2014)</w:t>
            </w:r>
          </w:p>
        </w:tc>
      </w:tr>
      <w:tr>
        <w:tc>
          <w:tcPr>
            <w:tcW w:type="dxa" w:w="960"/>
          </w:tcPr>
          <w:p>
            <w:r>
              <w:t>In-Vehicle Time (min)</w:t>
            </w:r>
          </w:p>
        </w:tc>
        <w:tc>
          <w:tcPr>
            <w:tcW w:type="dxa" w:w="960"/>
          </w:tcPr>
          <w:p>
            <w:r>
              <w:t>319</w:t>
            </w:r>
          </w:p>
        </w:tc>
        <w:tc>
          <w:tcPr>
            <w:tcW w:type="dxa" w:w="960"/>
          </w:tcPr>
          <w:p>
            <w:r>
              <w:t>110.7823</w:t>
            </w:r>
          </w:p>
        </w:tc>
        <w:tc>
          <w:tcPr>
            <w:tcW w:type="dxa" w:w="960"/>
          </w:tcPr>
          <w:p>
            <w:r>
              <w:t>0.998679</w:t>
            </w:r>
          </w:p>
        </w:tc>
        <w:tc>
          <w:tcPr>
            <w:tcW w:type="dxa" w:w="960"/>
          </w:tcPr>
          <w:p>
            <w:r>
              <w:t>110.9288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0.000000</w:t>
            </w:r>
          </w:p>
        </w:tc>
        <w:tc>
          <w:tcPr>
            <w:tcW w:type="dxa" w:w="960"/>
          </w:tcPr>
          <w:p>
            <w:r>
              <w:t>0.3426</w:t>
            </w:r>
          </w:p>
        </w:tc>
        <w:tc>
          <w:tcPr>
            <w:tcW w:type="dxa" w:w="960"/>
          </w:tcPr>
          <w:p>
            <w:r>
              <w:t>Large  (η² ≥ 0.14; Tomczak &amp; Tomczak, 2014)</w:t>
            </w:r>
          </w:p>
        </w:tc>
      </w:tr>
      <w:tr>
        <w:tc>
          <w:tcPr>
            <w:tcW w:type="dxa" w:w="960"/>
          </w:tcPr>
          <w:p>
            <w:r>
              <w:t>Total Travel Time (min)</w:t>
            </w:r>
          </w:p>
        </w:tc>
        <w:tc>
          <w:tcPr>
            <w:tcW w:type="dxa" w:w="960"/>
          </w:tcPr>
          <w:p>
            <w:r>
              <w:t>319</w:t>
            </w:r>
          </w:p>
        </w:tc>
        <w:tc>
          <w:tcPr>
            <w:tcW w:type="dxa" w:w="960"/>
          </w:tcPr>
          <w:p>
            <w:r>
              <w:t>73.2652</w:t>
            </w:r>
          </w:p>
        </w:tc>
        <w:tc>
          <w:tcPr>
            <w:tcW w:type="dxa" w:w="960"/>
          </w:tcPr>
          <w:p>
            <w:r>
              <w:t>0.999178</w:t>
            </w:r>
          </w:p>
        </w:tc>
        <w:tc>
          <w:tcPr>
            <w:tcW w:type="dxa" w:w="960"/>
          </w:tcPr>
          <w:p>
            <w:r>
              <w:t>73.3255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0.000000</w:t>
            </w:r>
          </w:p>
        </w:tc>
        <w:tc>
          <w:tcPr>
            <w:tcW w:type="dxa" w:w="960"/>
          </w:tcPr>
          <w:p>
            <w:r>
              <w:t>0.2233</w:t>
            </w:r>
          </w:p>
        </w:tc>
        <w:tc>
          <w:tcPr>
            <w:tcW w:type="dxa" w:w="960"/>
          </w:tcPr>
          <w:p>
            <w:r>
              <w:t>Large  (η² ≥ 0.14; Tomczak &amp; Tomczak, 2014)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