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 4.2: Primary Travel Mode by Gender (n, row 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Gender x Primary Mode (Row)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Public Bus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MRT (Metro Rail)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Personal Motorcycle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Ridesharing (Uber/Pathao)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Row Total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Male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78 (36.4%)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64 (29.9%)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46 (21.5%)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26 (12.1%)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214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Female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42 (40.0%)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32 (30.5%)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16 (15.2%)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15 (14.3%)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105</w:t>
            </w:r>
          </w:p>
        </w:tc>
      </w:tr>
      <w:tr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Column Total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120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96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62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41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319</w:t>
            </w:r>
          </w:p>
        </w:tc>
      </w:tr>
    </w:tbl>
    <w:p>
      <w:r>
        <w:rPr>
          <w:rFonts w:ascii="Times New Roman" w:hAnsi="Times New Roman"/>
          <w:i/>
          <w:sz w:val="18"/>
        </w:rPr>
        <w:t>Note. N = 319. Cells show count (row %). χ²(3, N=319) = 1.9128, p = 0.5907. Cramér's V = 0.0000 (negligible association). Decision: Fail to reject H₀ (p = 0.5907 ≥ α = 0.05). There is insufficient evidence of a statistically significant association between the two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