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 4.10: Fare Increase Response by Primary Mode (n, row 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Primary Mode x Fare Increase Response (Row)</w:t>
            </w:r>
          </w:p>
        </w:tc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Yes</w:t>
            </w:r>
          </w:p>
        </w:tc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Row Total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Public Bus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94 (78.3%)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26 (21.7%)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MRT (Metro Rail)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70 (72.9%)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26 (27.1%)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96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Personal Motorcycle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4 (6.5%)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58 (93.5%)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62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Ridesharing (Uber/Pathao)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39 (95.1%)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 (4.9%)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41</w:t>
            </w:r>
          </w:p>
        </w:tc>
      </w:tr>
      <w:tr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Column Total</w:t>
            </w:r>
          </w:p>
        </w:tc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207</w:t>
            </w:r>
          </w:p>
        </w:tc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112</w:t>
            </w:r>
          </w:p>
        </w:tc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319</w:t>
            </w:r>
          </w:p>
        </w:tc>
      </w:tr>
    </w:tbl>
    <w:p>
      <w:r>
        <w:rPr>
          <w:rFonts w:ascii="Times New Roman" w:hAnsi="Times New Roman"/>
          <w:i/>
          <w:sz w:val="18"/>
        </w:rPr>
        <w:t>Note. N = 319. Cells show count (row %). χ²(3, N=319) = 121.6170, p = &lt; 0.001. Cramér's V = 0.6107 (large association). Decision: Reject H₀ (p = 0.0000 &lt; α = 0.05). There is sufficient evidence to conclude a statistically significant association between the two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