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2"/>
        </w:rPr>
        <w:t>Table 4.X: Travel Behaviour During Heavy Rain by Primary Mode (n, row %)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Primary Mode x Heavy Rain Behaviour (Row)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No Change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Switch Mode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Wait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Cancel Trip</w:t>
            </w:r>
          </w:p>
        </w:tc>
        <w:tc>
          <w:tcPr>
            <w:tcW w:type="dxa" w:w="1440"/>
            <w:tcBorders>
              <w:top w:val="single" w:sz="12" w:space="0" w:color="auto"/>
              <w:bottom w:val="single" w:sz="8" w:space="0" w:color="auto"/>
            </w:tcBorders>
          </w:tcPr>
          <w:p>
            <w:r>
              <w:rPr>
                <w:rFonts w:ascii="Times New Roman" w:hAnsi="Times New Roman"/>
                <w:b/>
                <w:sz w:val="20"/>
              </w:rPr>
              <w:t>Row Total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Public Bus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20 (16.7%)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13 (10.8%)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84 (70.0%)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3 (2.5%)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120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MRT (Metro Rail)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11 (11.5%)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10 (10.4%)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72 (75.0%)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3 (3.1%)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96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Personal Motorcycle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 (1.6%)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60 (96.8%)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 (1.6%)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62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Ridesharing (Uber/Pathao)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0 (0.0%)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6 (14.6%)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34 (82.9%)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1 (2.4%)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sz w:val="19"/>
              </w:rPr>
              <w:t>41</w:t>
            </w:r>
          </w:p>
        </w:tc>
      </w:tr>
      <w:tr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Column Total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32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89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191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1440"/>
            <w:tcBorders>
              <w:top w:val="none" w:sz="4" w:space="0" w:color="auto"/>
              <w:bottom w:val="single" w:sz="12" w:space="0" w:color="auto"/>
            </w:tcBorders>
          </w:tcPr>
          <w:p>
            <w:r>
              <w:rPr>
                <w:rFonts w:ascii="Times New Roman" w:hAnsi="Times New Roman"/>
                <w:sz w:val="19"/>
              </w:rPr>
              <w:t>319</w:t>
            </w:r>
          </w:p>
        </w:tc>
      </w:tr>
    </w:tbl>
    <w:p>
      <w:r>
        <w:rPr>
          <w:rFonts w:ascii="Times New Roman" w:hAnsi="Times New Roman"/>
          <w:i/>
          <w:sz w:val="18"/>
        </w:rPr>
        <w:t>Note. N = 319. Cells show count (row %). χ²(9, N=319) = 191.3149, p = &lt; 0.001. Monte Carlo p = 0.000010 (99,999 replications, seed = 42). Cramér's V = 0.4385 (large association). Decision: Reject H₀ (p = 0.0000 &lt; α = 0.05). There is sufficient evidence to conclude a statistically significant association between the two variables.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