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</w:rPr>
        <w:t>Table 4.1: Master Summary of Chi-Square Association Analyses Across All 11 Hypotheses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t>No.</w:t>
            </w:r>
          </w:p>
        </w:tc>
        <w:tc>
          <w:tcPr>
            <w:tcW w:type="dxa" w:w="1360"/>
          </w:tcPr>
          <w:p>
            <w:r>
              <w:t>Analysis Topic</w:t>
            </w:r>
          </w:p>
        </w:tc>
        <w:tc>
          <w:tcPr>
            <w:tcW w:type="dxa" w:w="1360"/>
          </w:tcPr>
          <w:p>
            <w:r>
              <w:t>Variables (Row × Col)</w:t>
            </w:r>
          </w:p>
        </w:tc>
        <w:tc>
          <w:tcPr>
            <w:tcW w:type="dxa" w:w="1360"/>
          </w:tcPr>
          <w:p>
            <w:r>
              <w:t>N</w:t>
            </w:r>
          </w:p>
        </w:tc>
        <w:tc>
          <w:tcPr>
            <w:tcW w:type="dxa" w:w="1360"/>
          </w:tcPr>
          <w:p>
            <w:r>
              <w:t>χ² (df)</w:t>
            </w:r>
          </w:p>
        </w:tc>
        <w:tc>
          <w:tcPr>
            <w:tcW w:type="dxa" w:w="1360"/>
          </w:tcPr>
          <w:p>
            <w:r>
              <w:t>p-value</w:t>
            </w:r>
          </w:p>
        </w:tc>
        <w:tc>
          <w:tcPr>
            <w:tcW w:type="dxa" w:w="1360"/>
          </w:tcPr>
          <w:p>
            <w:r>
              <w:t>Monte Carlo p</w:t>
            </w:r>
          </w:p>
        </w:tc>
        <w:tc>
          <w:tcPr>
            <w:tcW w:type="dxa" w:w="1360"/>
          </w:tcPr>
          <w:p>
            <w:r>
              <w:t>Cramér's V</w:t>
            </w:r>
          </w:p>
        </w:tc>
        <w:tc>
          <w:tcPr>
            <w:tcW w:type="dxa" w:w="1360"/>
          </w:tcPr>
          <w:p>
            <w:r>
              <w:t>Decision</w:t>
            </w:r>
          </w:p>
        </w:tc>
      </w:tr>
      <w:tr>
        <w:tc>
          <w:tcPr>
            <w:tcW w:type="dxa" w:w="1360"/>
          </w:tcPr>
          <w:p>
            <w:r>
              <w:t>01</w:t>
            </w:r>
          </w:p>
        </w:tc>
        <w:tc>
          <w:tcPr>
            <w:tcW w:type="dxa" w:w="1360"/>
          </w:tcPr>
          <w:p>
            <w:r>
              <w:t>Table 4.2: Primary Travel Mode by Gender (n, row %)</w:t>
            </w:r>
          </w:p>
        </w:tc>
        <w:tc>
          <w:tcPr>
            <w:tcW w:type="dxa" w:w="1360"/>
          </w:tcPr>
          <w:p>
            <w:r>
              <w:t>Gender x Primary Mode (Row) × Gender x Primary Mode (Col)</w:t>
            </w:r>
          </w:p>
        </w:tc>
        <w:tc>
          <w:tcPr>
            <w:tcW w:type="dxa" w:w="1360"/>
          </w:tcPr>
          <w:p>
            <w:r>
              <w:t>319</w:t>
            </w:r>
          </w:p>
        </w:tc>
        <w:tc>
          <w:tcPr>
            <w:tcW w:type="dxa" w:w="1360"/>
          </w:tcPr>
          <w:p>
            <w:r>
              <w:t>1.91 (3)</w:t>
            </w:r>
          </w:p>
        </w:tc>
        <w:tc>
          <w:tcPr>
            <w:tcW w:type="dxa" w:w="1360"/>
          </w:tcPr>
          <w:p>
            <w:r>
              <w:t>0.5907</w:t>
            </w:r>
          </w:p>
        </w:tc>
        <w:tc>
          <w:tcPr>
            <w:tcW w:type="dxa" w:w="1360"/>
          </w:tcPr>
          <w:p>
            <w:r>
              <w:t>-</w:t>
            </w:r>
          </w:p>
        </w:tc>
        <w:tc>
          <w:tcPr>
            <w:tcW w:type="dxa" w:w="1360"/>
          </w:tcPr>
          <w:p>
            <w:r>
              <w:t>0.0000 (negligible)</w:t>
            </w:r>
          </w:p>
        </w:tc>
        <w:tc>
          <w:tcPr>
            <w:tcW w:type="dxa" w:w="1360"/>
          </w:tcPr>
          <w:p>
            <w:r>
              <w:t>Fail to reject H₀</w:t>
            </w:r>
          </w:p>
        </w:tc>
      </w:tr>
      <w:tr>
        <w:tc>
          <w:tcPr>
            <w:tcW w:type="dxa" w:w="1360"/>
          </w:tcPr>
          <w:p>
            <w:r>
              <w:t>02</w:t>
            </w:r>
          </w:p>
        </w:tc>
        <w:tc>
          <w:tcPr>
            <w:tcW w:type="dxa" w:w="1360"/>
          </w:tcPr>
          <w:p>
            <w:r>
              <w:t>Table 4.3: Personal Monthly Expenditure by Family Income (n, row %)</w:t>
            </w:r>
          </w:p>
        </w:tc>
        <w:tc>
          <w:tcPr>
            <w:tcW w:type="dxa" w:w="1360"/>
          </w:tcPr>
          <w:p>
            <w:r>
              <w:t>Family Income x Personal Expenditure (Row) × Family Income x Personal Expenditure (Col)</w:t>
            </w:r>
          </w:p>
        </w:tc>
        <w:tc>
          <w:tcPr>
            <w:tcW w:type="dxa" w:w="1360"/>
          </w:tcPr>
          <w:p>
            <w:r>
              <w:t>319</w:t>
            </w:r>
          </w:p>
        </w:tc>
        <w:tc>
          <w:tcPr>
            <w:tcW w:type="dxa" w:w="1360"/>
          </w:tcPr>
          <w:p>
            <w:r>
              <w:t>63.36 (16)</w:t>
            </w:r>
          </w:p>
        </w:tc>
        <w:tc>
          <w:tcPr>
            <w:tcW w:type="dxa" w:w="1360"/>
          </w:tcPr>
          <w:p>
            <w:r>
              <w:t>&lt; 0.001</w:t>
            </w:r>
          </w:p>
        </w:tc>
        <w:tc>
          <w:tcPr>
            <w:tcW w:type="dxa" w:w="1360"/>
          </w:tcPr>
          <w:p>
            <w:r>
              <w:t>-</w:t>
            </w:r>
          </w:p>
        </w:tc>
        <w:tc>
          <w:tcPr>
            <w:tcW w:type="dxa" w:w="1360"/>
          </w:tcPr>
          <w:p>
            <w:r>
              <w:t>0.1938 (small)</w:t>
            </w:r>
          </w:p>
        </w:tc>
        <w:tc>
          <w:tcPr>
            <w:tcW w:type="dxa" w:w="1360"/>
          </w:tcPr>
          <w:p>
            <w:r>
              <w:t>Reject H₀</w:t>
            </w:r>
          </w:p>
        </w:tc>
      </w:tr>
      <w:tr>
        <w:tc>
          <w:tcPr>
            <w:tcW w:type="dxa" w:w="1360"/>
          </w:tcPr>
          <w:p>
            <w:r>
              <w:t>03</w:t>
            </w:r>
          </w:p>
        </w:tc>
        <w:tc>
          <w:tcPr>
            <w:tcW w:type="dxa" w:w="1360"/>
          </w:tcPr>
          <w:p>
            <w:r>
              <w:t>Table 4.4: Primary Travel Mode by Family Income (n, row %)</w:t>
            </w:r>
          </w:p>
        </w:tc>
        <w:tc>
          <w:tcPr>
            <w:tcW w:type="dxa" w:w="1360"/>
          </w:tcPr>
          <w:p>
            <w:r>
              <w:t>Family Income x Primary Mode (Row) × Family Income x Primary Mode (Col)</w:t>
            </w:r>
          </w:p>
        </w:tc>
        <w:tc>
          <w:tcPr>
            <w:tcW w:type="dxa" w:w="1360"/>
          </w:tcPr>
          <w:p>
            <w:r>
              <w:t>319</w:t>
            </w:r>
          </w:p>
        </w:tc>
        <w:tc>
          <w:tcPr>
            <w:tcW w:type="dxa" w:w="1360"/>
          </w:tcPr>
          <w:p>
            <w:r>
              <w:t>24.40 (12)</w:t>
            </w:r>
          </w:p>
        </w:tc>
        <w:tc>
          <w:tcPr>
            <w:tcW w:type="dxa" w:w="1360"/>
          </w:tcPr>
          <w:p>
            <w:r>
              <w:t>0.0179</w:t>
            </w:r>
          </w:p>
        </w:tc>
        <w:tc>
          <w:tcPr>
            <w:tcW w:type="dxa" w:w="1360"/>
          </w:tcPr>
          <w:p>
            <w:r>
              <w:t>-</w:t>
            </w:r>
          </w:p>
        </w:tc>
        <w:tc>
          <w:tcPr>
            <w:tcW w:type="dxa" w:w="1360"/>
          </w:tcPr>
          <w:p>
            <w:r>
              <w:t>0.1142 (small)</w:t>
            </w:r>
          </w:p>
        </w:tc>
        <w:tc>
          <w:tcPr>
            <w:tcW w:type="dxa" w:w="1360"/>
          </w:tcPr>
          <w:p>
            <w:r>
              <w:t>Reject H₀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