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color w:val="2B2B2B"/>
          <w:sz w:val="52"/>
        </w:rPr>
        <w:t>Antonio Mallol Torralbo</w:t>
      </w:r>
    </w:p>
    <w:p>
      <w:pPr>
        <w:spacing w:after="160"/>
        <w:jc w:val="center"/>
      </w:pPr>
      <w:r>
        <w:rPr>
          <w:b/>
          <w:color w:val="46604F"/>
          <w:sz w:val="24"/>
        </w:rPr>
        <w:t>Bid &amp; Proposal Director  —  Rail &amp; Transit PPP / O&amp;M</w:t>
      </w:r>
    </w:p>
    <w:p>
      <w:pPr>
        <w:spacing w:after="120"/>
        <w:jc w:val="center"/>
      </w:pPr>
      <w:r>
        <w:rPr>
          <w:sz w:val="18"/>
        </w:rPr>
        <w:t>Toronto, Canada (open to relocation — UAE / Gulf)  •  +1 647-539-2191  •  Antonio.MallolTorralbo@gmail.com  •  linkedin.com/in/antonio-mallol-torralbo</w:t>
      </w:r>
    </w:p>
    <w:p>
      <w:pPr>
        <w:spacing w:before="160" w:after="40"/>
        <w:pBdr>
          <w:bottom w:val="single" w:sz="6" w:space="2" w:color="5f7d6e"/>
        </w:pBdr>
      </w:pPr>
      <w:r>
        <w:rPr>
          <w:b/>
          <w:color w:val="46604F"/>
          <w:sz w:val="24"/>
        </w:rPr>
        <w:t>PROFILE</w:t>
      </w:r>
    </w:p>
    <w:p>
      <w:pPr>
        <w:jc w:val="both"/>
      </w:pPr>
      <w:r>
        <w:rPr>
          <w:sz w:val="20"/>
        </w:rPr>
        <w:t>Bid and proposal leader with 20+ years in rail and transit, holding full profit-and-loss accountability for major PPP/P3 pursuits across North America, EMEA, and Asia Pacific. Built and led Bechtel's global O&amp;M bid function, shaping win strategy, Concept of Operations, lifecycle cost models, and risk-transfer pricing on multi-billion-dollar metro, LRT, and infrastructure tenders — repeatedly delivering proposals 20–40% below initial budget. Combines this commercial bid leadership with hands-on delivery as an operator and maintainer, giving submissions credibility that wins: every assumption is grounded in what is genuinely deliverable. Strong fit for leading the O&amp;M bid for the Dubai Blue Line, bringing direct metro-PPP operating experience (Madrid) to RATP's pursuit.</w:t>
      </w:r>
    </w:p>
    <w:p>
      <w:pPr>
        <w:spacing w:before="160" w:after="40"/>
        <w:pBdr>
          <w:bottom w:val="single" w:sz="6" w:space="2" w:color="5f7d6e"/>
        </w:pBdr>
      </w:pPr>
      <w:r>
        <w:rPr>
          <w:b/>
          <w:color w:val="46604F"/>
          <w:sz w:val="24"/>
        </w:rPr>
        <w:t>CORE STRENGTHS</w:t>
      </w:r>
    </w:p>
    <w:p>
      <w:r>
        <w:rPr>
          <w:sz w:val="20"/>
        </w:rPr>
        <w:t>Bid &amp; Proposal Management  •  O&amp;M Tender Development  •  PPP / P3 Commercial Structuring  •  Win Strategy &amp; Bid Governance  •  Lifecycle Cost &amp; 30-yr P&amp;L Modeling  •  Risk Transfer &amp; Pricing Strategy  •  Concept of Operations (ConOps)  •  Systems Integration  •  Client &amp; Stakeholder Engagement  •  Operational Deliverability Assurance</w:t>
      </w:r>
    </w:p>
    <w:p>
      <w:pPr>
        <w:spacing w:before="160" w:after="40"/>
        <w:pBdr>
          <w:bottom w:val="single" w:sz="6" w:space="2" w:color="5f7d6e"/>
        </w:pBdr>
      </w:pPr>
      <w:r>
        <w:rPr>
          <w:b/>
          <w:color w:val="46604F"/>
          <w:sz w:val="24"/>
        </w:rPr>
        <w:t>EXPERIENCE</w:t>
      </w:r>
    </w:p>
    <w:p>
      <w:pPr>
        <w:spacing w:before="120" w:after="0"/>
      </w:pPr>
      <w:r>
        <w:rPr>
          <w:b/>
          <w:sz w:val="21"/>
        </w:rPr>
        <w:t>Head of Operations &amp; Maintenance (O&amp;M) — Global Bids</w:t>
      </w:r>
    </w:p>
    <w:p>
      <w:pPr>
        <w:spacing w:after="40"/>
      </w:pPr>
      <w:r>
        <w:rPr>
          <w:b/>
          <w:color w:val="46604F"/>
          <w:sz w:val="19"/>
        </w:rPr>
        <w:t>Bechtel Infrastructure  |  Reston, US &amp; Toronto, Canada  |  Jul 2015 – Mar 2019</w:t>
      </w:r>
    </w:p>
    <w:p>
      <w:pPr>
        <w:spacing w:after="40"/>
      </w:pPr>
      <w:r>
        <w:rPr>
          <w:i/>
          <w:sz w:val="19"/>
        </w:rPr>
        <w:t>Established and led Bechtel's global O&amp;M business line, driving bid pursuit and win strategy for the company's worldwide PPP and Delivery-Partner portfolio.</w:t>
      </w:r>
    </w:p>
    <w:p>
      <w:pPr>
        <w:pStyle w:val="ListBullet"/>
        <w:spacing w:after="40" w:line="252" w:lineRule="auto"/>
      </w:pPr>
      <w:r>
        <w:rPr>
          <w:b/>
          <w:sz w:val="20"/>
        </w:rPr>
        <w:t>Owned all O&amp;M proposals and rail-system bids</w:t>
      </w:r>
      <w:r>
        <w:rPr>
          <w:b w:val="0"/>
          <w:sz w:val="20"/>
        </w:rPr>
        <w:t xml:space="preserve"> with full profit-and-loss accountability through the Design-Build phase, governing pricing, scope, and risk position.</w:t>
      </w:r>
    </w:p>
    <w:p>
      <w:pPr>
        <w:pStyle w:val="ListBullet"/>
        <w:spacing w:after="40" w:line="252" w:lineRule="auto"/>
      </w:pPr>
      <w:r>
        <w:rPr>
          <w:b/>
          <w:sz w:val="20"/>
        </w:rPr>
        <w:t>Designed the Concept of Operations (ConOps)</w:t>
      </w:r>
      <w:r>
        <w:rPr>
          <w:b w:val="0"/>
          <w:sz w:val="20"/>
        </w:rPr>
        <w:t xml:space="preserve"> for major global rail bids, defining staffing models for station operations, drivers, and control-room personnel as the basis of cost and price.</w:t>
      </w:r>
    </w:p>
    <w:p>
      <w:pPr>
        <w:pStyle w:val="ListBullet"/>
        <w:spacing w:after="40" w:line="252" w:lineRule="auto"/>
      </w:pPr>
      <w:r>
        <w:rPr>
          <w:b/>
          <w:sz w:val="20"/>
        </w:rPr>
        <w:t>Built 30-year lifecycle cost models</w:t>
      </w:r>
      <w:r>
        <w:rPr>
          <w:b w:val="0"/>
          <w:sz w:val="20"/>
        </w:rPr>
        <w:t>, quantifying the P&amp;L impact of headway, dwell time, and fleet-utilization assumptions to optimize the operating-cost case.</w:t>
      </w:r>
    </w:p>
    <w:p>
      <w:pPr>
        <w:pStyle w:val="ListBullet"/>
        <w:spacing w:after="40" w:line="252" w:lineRule="auto"/>
      </w:pPr>
      <w:r>
        <w:rPr>
          <w:b/>
          <w:sz w:val="20"/>
        </w:rPr>
        <w:t>Led bid risk analysis</w:t>
      </w:r>
      <w:r>
        <w:rPr>
          <w:b w:val="0"/>
          <w:sz w:val="20"/>
        </w:rPr>
        <w:t xml:space="preserve"> on new pursuits and developed Bechtel's O&amp;M business plan and long-term strategy across North America, EMEA, and Asia Pacific.</w:t>
      </w:r>
    </w:p>
    <w:p>
      <w:pPr>
        <w:pStyle w:val="ListBullet"/>
        <w:spacing w:after="40" w:line="252" w:lineRule="auto"/>
      </w:pPr>
      <w:r>
        <w:rPr>
          <w:b w:val="0"/>
          <w:sz w:val="20"/>
        </w:rPr>
        <w:t>Recruited and trained the multidisciplinary bid team — including operational rail-modeling experts — to support PPP and Delivery-Partner pursuits.</w:t>
      </w:r>
    </w:p>
    <w:p>
      <w:pPr>
        <w:spacing w:before="60" w:after="20"/>
      </w:pPr>
      <w:r>
        <w:rPr>
          <w:b/>
          <w:i/>
          <w:sz w:val="19"/>
        </w:rPr>
        <w:t>Selected bid outcomes</w:t>
      </w:r>
    </w:p>
    <w:p>
      <w:pPr>
        <w:pStyle w:val="ListBullet"/>
        <w:spacing w:after="40" w:line="252" w:lineRule="auto"/>
      </w:pPr>
      <w:r>
        <w:rPr>
          <w:b w:val="0"/>
          <w:sz w:val="20"/>
        </w:rPr>
        <w:t xml:space="preserve">Rail systems integration &amp; T&amp;C proposal (DBJV, Ottawa LRT PPP) — </w:t>
      </w:r>
      <w:r>
        <w:rPr>
          <w:b/>
          <w:sz w:val="20"/>
        </w:rPr>
        <w:t>30% below</w:t>
      </w:r>
      <w:r>
        <w:rPr>
          <w:b w:val="0"/>
          <w:sz w:val="20"/>
        </w:rPr>
        <w:t xml:space="preserve"> initial budget.</w:t>
      </w:r>
    </w:p>
    <w:p>
      <w:pPr>
        <w:pStyle w:val="ListBullet"/>
        <w:spacing w:after="40" w:line="252" w:lineRule="auto"/>
      </w:pPr>
      <w:r>
        <w:rPr>
          <w:b w:val="0"/>
          <w:sz w:val="20"/>
        </w:rPr>
        <w:t xml:space="preserve">O&amp;M &amp; rail-systems bid (OMJV, Finch LRT PPP) — </w:t>
      </w:r>
      <w:r>
        <w:rPr>
          <w:b/>
          <w:sz w:val="20"/>
        </w:rPr>
        <w:t>20% below</w:t>
      </w:r>
      <w:r>
        <w:rPr>
          <w:b w:val="0"/>
          <w:sz w:val="20"/>
        </w:rPr>
        <w:t xml:space="preserve"> initial budget.</w:t>
      </w:r>
    </w:p>
    <w:p>
      <w:pPr>
        <w:pStyle w:val="ListBullet"/>
        <w:spacing w:after="40" w:line="252" w:lineRule="auto"/>
      </w:pPr>
      <w:r>
        <w:rPr>
          <w:b w:val="0"/>
          <w:sz w:val="20"/>
        </w:rPr>
        <w:t xml:space="preserve">Bridge tolling, intelligent traffic control &amp; health-monitoring bid (Gordie Howe Bridge PPP) — </w:t>
      </w:r>
      <w:r>
        <w:rPr>
          <w:b/>
          <w:sz w:val="20"/>
        </w:rPr>
        <w:t>40% below</w:t>
      </w:r>
      <w:r>
        <w:rPr>
          <w:b w:val="0"/>
          <w:sz w:val="20"/>
        </w:rPr>
        <w:t xml:space="preserve"> initial budget, with O&amp;M also under estimate.</w:t>
      </w:r>
    </w:p>
    <w:p>
      <w:pPr>
        <w:pStyle w:val="ListBullet"/>
        <w:spacing w:after="40" w:line="252" w:lineRule="auto"/>
      </w:pPr>
      <w:r>
        <w:rPr>
          <w:b w:val="0"/>
          <w:sz w:val="20"/>
        </w:rPr>
        <w:t>Edmonton Valley Line LRT (P3, 30-yr O&amp;M) — bid through to O&amp;M company mobilization as a member of the execution Management Committee.</w:t>
      </w:r>
    </w:p>
    <w:p>
      <w:pPr>
        <w:spacing w:before="120" w:after="0"/>
      </w:pPr>
      <w:r>
        <w:rPr>
          <w:b/>
          <w:sz w:val="21"/>
        </w:rPr>
        <w:t>Senior Consultant — Head of Fixed Assets</w:t>
      </w:r>
    </w:p>
    <w:p>
      <w:pPr>
        <w:spacing w:after="40"/>
      </w:pPr>
      <w:r>
        <w:rPr>
          <w:b/>
          <w:color w:val="46604F"/>
          <w:sz w:val="19"/>
        </w:rPr>
        <w:t>Boxfish Infrastructure Group Inc.  |  Toronto, Canada  |  Jul 2019 – Jan 2024</w:t>
      </w:r>
    </w:p>
    <w:p>
      <w:pPr>
        <w:pStyle w:val="ListBullet"/>
        <w:spacing w:after="40" w:line="252" w:lineRule="auto"/>
      </w:pPr>
      <w:r>
        <w:rPr>
          <w:b/>
          <w:sz w:val="20"/>
        </w:rPr>
        <w:t>Delivered a maintenance bid 25% below estimate</w:t>
      </w:r>
      <w:r>
        <w:rPr>
          <w:b w:val="0"/>
          <w:sz w:val="20"/>
        </w:rPr>
        <w:t xml:space="preserve"> by re-engineering the maintenance risk-transfer model for the concession.</w:t>
      </w:r>
    </w:p>
    <w:p>
      <w:pPr>
        <w:pStyle w:val="ListBullet"/>
        <w:spacing w:after="40" w:line="252" w:lineRule="auto"/>
      </w:pPr>
      <w:r>
        <w:rPr>
          <w:b w:val="0"/>
          <w:sz w:val="20"/>
        </w:rPr>
        <w:t xml:space="preserve">Developed the asset-management plan for a </w:t>
      </w:r>
      <w:r>
        <w:rPr>
          <w:b/>
          <w:sz w:val="20"/>
        </w:rPr>
        <w:t>$20B network upgrade</w:t>
      </w:r>
      <w:r>
        <w:rPr>
          <w:b w:val="0"/>
          <w:sz w:val="20"/>
        </w:rPr>
        <w:t xml:space="preserve"> (OnCorr), ensuring assets met regulatory codes ahead of operational handover.</w:t>
      </w:r>
    </w:p>
    <w:p>
      <w:pPr>
        <w:pStyle w:val="ListBullet"/>
        <w:spacing w:after="40" w:line="252" w:lineRule="auto"/>
      </w:pPr>
      <w:r>
        <w:rPr>
          <w:b w:val="0"/>
          <w:sz w:val="20"/>
        </w:rPr>
        <w:t>Led vehicle–infrastructure integration on the multi-billion-dollar Eglinton Crosstown, mediating technical clashes between the fleet manufacturer and the construction JV.</w:t>
      </w:r>
    </w:p>
    <w:p>
      <w:pPr>
        <w:pStyle w:val="ListBullet"/>
        <w:spacing w:after="40" w:line="252" w:lineRule="auto"/>
      </w:pPr>
      <w:r>
        <w:rPr>
          <w:b w:val="0"/>
          <w:sz w:val="20"/>
        </w:rPr>
        <w:t>Worked with the incoming operator (Deutsche Bahn) to validate ConOps and timetable, engineering Union Station capacity upgrades (24m high-speed switches, double berthing) to clear the network's primary bottleneck.</w:t>
      </w:r>
    </w:p>
    <w:p>
      <w:pPr>
        <w:spacing w:before="120" w:after="0"/>
      </w:pPr>
      <w:r>
        <w:rPr>
          <w:b/>
          <w:sz w:val="21"/>
        </w:rPr>
        <w:t>General Manager — Eglinton Crosstown LRT (CTSM)</w:t>
      </w:r>
    </w:p>
    <w:p>
      <w:pPr>
        <w:spacing w:after="40"/>
      </w:pPr>
      <w:r>
        <w:rPr>
          <w:b/>
          <w:color w:val="46604F"/>
          <w:sz w:val="19"/>
        </w:rPr>
        <w:t>ACS Infrastructure  |  Toronto, Canada  |  Jan 2024 – Present</w:t>
      </w:r>
    </w:p>
    <w:p>
      <w:pPr>
        <w:spacing w:after="40"/>
      </w:pPr>
      <w:r>
        <w:rPr>
          <w:i/>
          <w:sz w:val="19"/>
        </w:rPr>
        <w:t>Delivering, in live operations, the O&amp;M model that PPP bids promise — validating bid assumptions against real SLA performance.</w:t>
      </w:r>
    </w:p>
    <w:p>
      <w:pPr>
        <w:pStyle w:val="ListBullet"/>
        <w:spacing w:after="40" w:line="252" w:lineRule="auto"/>
      </w:pPr>
      <w:r>
        <w:rPr>
          <w:b w:val="0"/>
          <w:sz w:val="20"/>
        </w:rPr>
        <w:t xml:space="preserve">Accountable for </w:t>
      </w:r>
      <w:r>
        <w:rPr>
          <w:b/>
          <w:sz w:val="20"/>
        </w:rPr>
        <w:t>Service Availability against ~98% SLA targets</w:t>
      </w:r>
      <w:r>
        <w:rPr>
          <w:b w:val="0"/>
          <w:sz w:val="20"/>
        </w:rPr>
        <w:t>, managing the fleet/infrastructure performance interface that underpins any O&amp;M bid case.</w:t>
      </w:r>
    </w:p>
    <w:p>
      <w:pPr>
        <w:pStyle w:val="ListBullet"/>
        <w:spacing w:after="40" w:line="252" w:lineRule="auto"/>
      </w:pPr>
      <w:r>
        <w:rPr>
          <w:b w:val="0"/>
          <w:sz w:val="20"/>
        </w:rPr>
        <w:t>Led the Trial Running &amp; Operational Readiness strategy and the Shadow Operations handover of 25 stations and 19km of track from construction to live status.</w:t>
      </w:r>
    </w:p>
    <w:p>
      <w:pPr>
        <w:pStyle w:val="ListBullet"/>
        <w:spacing w:after="40" w:line="252" w:lineRule="auto"/>
      </w:pPr>
      <w:r>
        <w:rPr>
          <w:b w:val="0"/>
          <w:sz w:val="20"/>
        </w:rPr>
        <w:t>Developed failure-recovery SOPs and chaired the Safety Review Board, leading root-cause investigations to preserve the Safety Case and regulatory compliance.</w:t>
      </w:r>
    </w:p>
    <w:p>
      <w:pPr>
        <w:pStyle w:val="ListBullet"/>
        <w:spacing w:after="40" w:line="252" w:lineRule="auto"/>
      </w:pPr>
      <w:r>
        <w:rPr>
          <w:b w:val="0"/>
          <w:sz w:val="20"/>
        </w:rPr>
        <w:t>Manage the contractual relationship with Metrolinx, holding the line on SLAs and operational KPIs.</w:t>
      </w:r>
    </w:p>
    <w:p>
      <w:pPr>
        <w:spacing w:before="120" w:after="0"/>
      </w:pPr>
      <w:r>
        <w:rPr>
          <w:b/>
          <w:sz w:val="21"/>
        </w:rPr>
        <w:t>Maintenance Director — Metro Ligero Oeste (Madrid Metro PPP)</w:t>
      </w:r>
    </w:p>
    <w:p>
      <w:pPr>
        <w:spacing w:after="40"/>
      </w:pPr>
      <w:r>
        <w:rPr>
          <w:b/>
          <w:color w:val="46604F"/>
          <w:sz w:val="19"/>
        </w:rPr>
        <w:t>Metro Ligero Oeste S.A.  |  Pozuelo de Alarcón, Spain  |  Sep 2006 – Jul 2015</w:t>
      </w:r>
    </w:p>
    <w:p>
      <w:pPr>
        <w:spacing w:after="40"/>
      </w:pPr>
      <w:r>
        <w:rPr>
          <w:i/>
          <w:sz w:val="19"/>
        </w:rPr>
        <w:t>Led the maintenance and rehabilitation phase of a light-rail PPP concession within the Madrid metro network.</w:t>
      </w:r>
    </w:p>
    <w:p>
      <w:pPr>
        <w:pStyle w:val="ListBullet"/>
        <w:spacing w:after="40" w:line="252" w:lineRule="auto"/>
      </w:pPr>
      <w:r>
        <w:rPr>
          <w:b/>
          <w:sz w:val="20"/>
        </w:rPr>
        <w:t>Cut the initial infrastructure maintenance budget 35%</w:t>
      </w:r>
      <w:r>
        <w:rPr>
          <w:b w:val="0"/>
          <w:sz w:val="20"/>
        </w:rPr>
        <w:t xml:space="preserve"> via a self-performing strategy, generating significant concession profit.</w:t>
      </w:r>
    </w:p>
    <w:p>
      <w:pPr>
        <w:pStyle w:val="ListBullet"/>
        <w:spacing w:after="40" w:line="252" w:lineRule="auto"/>
      </w:pPr>
      <w:r>
        <w:rPr>
          <w:b w:val="0"/>
          <w:sz w:val="20"/>
        </w:rPr>
        <w:t xml:space="preserve">Delivered </w:t>
      </w:r>
      <w:r>
        <w:rPr>
          <w:b/>
          <w:sz w:val="20"/>
        </w:rPr>
        <w:t>99.5% Service Availability</w:t>
      </w:r>
      <w:r>
        <w:rPr>
          <w:b w:val="0"/>
          <w:sz w:val="20"/>
        </w:rPr>
        <w:t xml:space="preserve"> across ML2/ML3, managing daily fleet output to peak-hour headways.</w:t>
      </w:r>
    </w:p>
    <w:p>
      <w:pPr>
        <w:pStyle w:val="ListBullet"/>
        <w:spacing w:after="40" w:line="252" w:lineRule="auto"/>
      </w:pPr>
      <w:r>
        <w:rPr>
          <w:b w:val="0"/>
          <w:sz w:val="20"/>
        </w:rPr>
        <w:t>Reduced service-affecting incidents 30% through a predictive-intervention strategy and the energy bill 30% via tunnel/street lighting and ventilation control.</w:t>
      </w:r>
    </w:p>
    <w:p>
      <w:pPr>
        <w:spacing w:before="160" w:after="40"/>
        <w:pBdr>
          <w:bottom w:val="single" w:sz="6" w:space="2" w:color="5f7d6e"/>
        </w:pBdr>
      </w:pPr>
      <w:r>
        <w:rPr>
          <w:b/>
          <w:color w:val="46604F"/>
          <w:sz w:val="24"/>
        </w:rPr>
        <w:t>EDUCATION</w:t>
      </w:r>
    </w:p>
    <w:p>
      <w:pPr>
        <w:pStyle w:val="ListBullet"/>
        <w:spacing w:after="40" w:line="252" w:lineRule="auto"/>
      </w:pPr>
      <w:r>
        <w:rPr>
          <w:b/>
          <w:sz w:val="20"/>
        </w:rPr>
        <w:t>Executive MBA</w:t>
      </w:r>
      <w:r>
        <w:rPr>
          <w:b w:val="0"/>
          <w:sz w:val="20"/>
        </w:rPr>
        <w:t xml:space="preserve"> — IESE Business School, Spain (2013); ranked top-3 globally by the Financial Times.</w:t>
      </w:r>
    </w:p>
    <w:p>
      <w:pPr>
        <w:pStyle w:val="ListBullet"/>
        <w:spacing w:after="40" w:line="252" w:lineRule="auto"/>
      </w:pPr>
      <w:r>
        <w:rPr>
          <w:b/>
          <w:sz w:val="20"/>
        </w:rPr>
        <w:t>Executive MBA, Lean Manufacturing</w:t>
      </w:r>
      <w:r>
        <w:rPr>
          <w:b w:val="0"/>
          <w:sz w:val="20"/>
        </w:rPr>
        <w:t xml:space="preserve"> — FH Ludwigshafen, Germany (2006).</w:t>
      </w:r>
    </w:p>
    <w:p>
      <w:pPr>
        <w:pStyle w:val="ListBullet"/>
        <w:spacing w:after="40" w:line="252" w:lineRule="auto"/>
      </w:pPr>
      <w:r>
        <w:rPr>
          <w:b/>
          <w:sz w:val="20"/>
        </w:rPr>
        <w:t>MEng, Industrial Engineering (Mechanics)</w:t>
      </w:r>
      <w:r>
        <w:rPr>
          <w:b w:val="0"/>
          <w:sz w:val="20"/>
        </w:rPr>
        <w:t xml:space="preserve"> — Polytechnic University of Valencia, Spain (2002).</w:t>
      </w:r>
    </w:p>
    <w:p>
      <w:pPr>
        <w:spacing w:before="160" w:after="40"/>
        <w:pBdr>
          <w:bottom w:val="single" w:sz="6" w:space="2" w:color="5f7d6e"/>
        </w:pBdr>
      </w:pPr>
      <w:r>
        <w:rPr>
          <w:b/>
          <w:color w:val="46604F"/>
          <w:sz w:val="24"/>
        </w:rPr>
        <w:t>LANGUAGES</w:t>
      </w:r>
    </w:p>
    <w:p>
      <w:r>
        <w:rPr>
          <w:sz w:val="20"/>
        </w:rPr>
        <w:t>Spanish — Native    •    English — Fluent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Georgia" w:hAnsi="Georgia"/>
      <w:color w:val="2B2B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