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57F91" w14:textId="77777777" w:rsidR="004E7D68" w:rsidRDefault="00BF1683" w:rsidP="00BF1683">
      <w:pPr>
        <w:jc w:val="center"/>
      </w:pPr>
      <w:r w:rsidRPr="00974847">
        <w:t>Advanced statistical modelling exam.</w:t>
      </w:r>
      <w:r w:rsidRPr="00974847">
        <w:br/>
      </w:r>
    </w:p>
    <w:p w14:paraId="014A9B42" w14:textId="77777777" w:rsidR="00974847" w:rsidRPr="00974847" w:rsidRDefault="00974847" w:rsidP="00974847">
      <w:pPr>
        <w:jc w:val="center"/>
        <w:rPr>
          <w:b/>
          <w:bCs/>
        </w:rPr>
      </w:pPr>
      <w:r w:rsidRPr="00974847">
        <w:rPr>
          <w:rFonts w:ascii="Segoe UI Emoji" w:hAnsi="Segoe UI Emoji" w:cs="Segoe UI Emoji"/>
          <w:b/>
          <w:bCs/>
        </w:rPr>
        <w:t>🔹</w:t>
      </w:r>
      <w:r w:rsidRPr="00974847">
        <w:rPr>
          <w:b/>
          <w:bCs/>
        </w:rPr>
        <w:t xml:space="preserve"> Research Problem</w:t>
      </w:r>
    </w:p>
    <w:p w14:paraId="2632DA2A" w14:textId="77777777" w:rsidR="00974847" w:rsidRPr="00974847" w:rsidRDefault="00974847" w:rsidP="00974847">
      <w:pPr>
        <w:jc w:val="center"/>
      </w:pPr>
      <w:r w:rsidRPr="00974847">
        <w:rPr>
          <w:b/>
          <w:bCs/>
        </w:rPr>
        <w:t>“Which municipalities are the most loyal when choosing agency staffing suppliers in healthcare?”</w:t>
      </w:r>
      <w:r w:rsidRPr="00974847">
        <w:br/>
        <w:t>And specifically:</w:t>
      </w:r>
    </w:p>
    <w:p w14:paraId="07E85707" w14:textId="77777777" w:rsidR="00974847" w:rsidRPr="00974847" w:rsidRDefault="00974847" w:rsidP="00974847">
      <w:pPr>
        <w:numPr>
          <w:ilvl w:val="0"/>
          <w:numId w:val="9"/>
        </w:numPr>
        <w:jc w:val="center"/>
      </w:pPr>
      <w:r w:rsidRPr="00974847">
        <w:t xml:space="preserve">Is loyalty higher in </w:t>
      </w:r>
      <w:r w:rsidRPr="00974847">
        <w:rPr>
          <w:b/>
          <w:bCs/>
        </w:rPr>
        <w:t>small or large municipalities</w:t>
      </w:r>
      <w:r w:rsidRPr="00974847">
        <w:t>?</w:t>
      </w:r>
    </w:p>
    <w:p w14:paraId="775F5762" w14:textId="77777777" w:rsidR="00974847" w:rsidRPr="00974847" w:rsidRDefault="00974847" w:rsidP="00974847">
      <w:pPr>
        <w:numPr>
          <w:ilvl w:val="0"/>
          <w:numId w:val="9"/>
        </w:numPr>
        <w:jc w:val="center"/>
      </w:pPr>
      <w:r w:rsidRPr="00974847">
        <w:t xml:space="preserve">Is loyalty higher in municipalities with </w:t>
      </w:r>
      <w:r w:rsidRPr="00974847">
        <w:rPr>
          <w:b/>
          <w:bCs/>
        </w:rPr>
        <w:t>high payroll cost per inhabitant</w:t>
      </w:r>
      <w:r w:rsidRPr="00974847">
        <w:t>?</w:t>
      </w:r>
    </w:p>
    <w:p w14:paraId="1FA836C3" w14:textId="77777777" w:rsidR="00974847" w:rsidRPr="00974847" w:rsidRDefault="00974847" w:rsidP="00974847">
      <w:pPr>
        <w:numPr>
          <w:ilvl w:val="0"/>
          <w:numId w:val="9"/>
        </w:numPr>
        <w:jc w:val="center"/>
      </w:pPr>
      <w:r w:rsidRPr="00974847">
        <w:t xml:space="preserve">Is loyalty higher in municipalities with </w:t>
      </w:r>
      <w:r w:rsidRPr="00974847">
        <w:rPr>
          <w:b/>
          <w:bCs/>
        </w:rPr>
        <w:t>stronger financial results (profit)</w:t>
      </w:r>
      <w:r w:rsidRPr="00974847">
        <w:t>?</w:t>
      </w:r>
    </w:p>
    <w:p w14:paraId="1349A525" w14:textId="77777777" w:rsidR="00974847" w:rsidRPr="00974847" w:rsidRDefault="00974847" w:rsidP="00974847">
      <w:pPr>
        <w:jc w:val="center"/>
      </w:pPr>
      <w:r w:rsidRPr="00974847">
        <w:pict w14:anchorId="7951F0DD">
          <v:rect id="_x0000_i1105" style="width:0;height:1.5pt" o:hralign="center" o:hrstd="t" o:hr="t" fillcolor="#a0a0a0" stroked="f"/>
        </w:pict>
      </w:r>
    </w:p>
    <w:p w14:paraId="0B5128CD" w14:textId="77777777" w:rsidR="00974847" w:rsidRPr="00974847" w:rsidRDefault="00974847" w:rsidP="00974847">
      <w:pPr>
        <w:jc w:val="center"/>
        <w:rPr>
          <w:b/>
          <w:bCs/>
        </w:rPr>
      </w:pPr>
      <w:r w:rsidRPr="00974847">
        <w:rPr>
          <w:rFonts w:ascii="Segoe UI Emoji" w:hAnsi="Segoe UI Emoji" w:cs="Segoe UI Emoji"/>
          <w:b/>
          <w:bCs/>
        </w:rPr>
        <w:t>🔹</w:t>
      </w:r>
      <w:r w:rsidRPr="00974847">
        <w:rPr>
          <w:b/>
          <w:bCs/>
        </w:rPr>
        <w:t xml:space="preserve"> Conceptual Definitions</w:t>
      </w:r>
    </w:p>
    <w:p w14:paraId="43970854" w14:textId="77777777" w:rsidR="00974847" w:rsidRPr="00974847" w:rsidRDefault="00974847" w:rsidP="00974847">
      <w:pPr>
        <w:numPr>
          <w:ilvl w:val="0"/>
          <w:numId w:val="10"/>
        </w:numPr>
        <w:jc w:val="center"/>
      </w:pPr>
      <w:r w:rsidRPr="00974847">
        <w:rPr>
          <w:b/>
          <w:bCs/>
        </w:rPr>
        <w:t>Loyalty (DV):</w:t>
      </w:r>
      <w:r w:rsidRPr="00974847">
        <w:br/>
        <w:t>Persistence in supplier choice. You can operationalize it in different ways:</w:t>
      </w:r>
    </w:p>
    <w:p w14:paraId="14275FC7" w14:textId="77777777" w:rsidR="00974847" w:rsidRPr="00974847" w:rsidRDefault="00974847" w:rsidP="00974847">
      <w:pPr>
        <w:numPr>
          <w:ilvl w:val="1"/>
          <w:numId w:val="10"/>
        </w:numPr>
        <w:jc w:val="center"/>
      </w:pPr>
      <w:r w:rsidRPr="00974847">
        <w:rPr>
          <w:b/>
          <w:bCs/>
        </w:rPr>
        <w:t>Incumbent retention dummy:</w:t>
      </w:r>
      <w:r w:rsidRPr="00974847">
        <w:t xml:space="preserve"> 1 if the top supplier this year is the same as last year, 0 otherwise.</w:t>
      </w:r>
    </w:p>
    <w:p w14:paraId="4591FFED" w14:textId="77777777" w:rsidR="00974847" w:rsidRPr="00974847" w:rsidRDefault="00974847" w:rsidP="00974847">
      <w:pPr>
        <w:numPr>
          <w:ilvl w:val="1"/>
          <w:numId w:val="10"/>
        </w:numPr>
        <w:jc w:val="center"/>
      </w:pPr>
      <w:r w:rsidRPr="00974847">
        <w:rPr>
          <w:b/>
          <w:bCs/>
        </w:rPr>
        <w:t>Share stability:</w:t>
      </w:r>
      <w:r w:rsidRPr="00974847">
        <w:t xml:space="preserve"> Correlation or year-to-year similarity in market share distribution.</w:t>
      </w:r>
    </w:p>
    <w:p w14:paraId="0D140E81" w14:textId="77777777" w:rsidR="00974847" w:rsidRPr="00974847" w:rsidRDefault="00974847" w:rsidP="00974847">
      <w:pPr>
        <w:numPr>
          <w:ilvl w:val="1"/>
          <w:numId w:val="10"/>
        </w:numPr>
        <w:jc w:val="center"/>
      </w:pPr>
      <w:r w:rsidRPr="00974847">
        <w:rPr>
          <w:b/>
          <w:bCs/>
        </w:rPr>
        <w:t>Tenure length:</w:t>
      </w:r>
      <w:r w:rsidRPr="00974847">
        <w:t xml:space="preserve"> Number of consecutive years a supplier remains #1.</w:t>
      </w:r>
    </w:p>
    <w:p w14:paraId="557D1173" w14:textId="77777777" w:rsidR="00974847" w:rsidRPr="00974847" w:rsidRDefault="00974847" w:rsidP="00974847">
      <w:pPr>
        <w:numPr>
          <w:ilvl w:val="0"/>
          <w:numId w:val="10"/>
        </w:numPr>
        <w:jc w:val="center"/>
      </w:pPr>
      <w:r w:rsidRPr="00974847">
        <w:rPr>
          <w:b/>
          <w:bCs/>
        </w:rPr>
        <w:t>Explanatory variables (IVs):</w:t>
      </w:r>
    </w:p>
    <w:p w14:paraId="3A135786" w14:textId="77777777" w:rsidR="00974847" w:rsidRPr="00974847" w:rsidRDefault="00974847" w:rsidP="00974847">
      <w:pPr>
        <w:numPr>
          <w:ilvl w:val="1"/>
          <w:numId w:val="11"/>
        </w:numPr>
        <w:jc w:val="center"/>
      </w:pPr>
      <w:r w:rsidRPr="00974847">
        <w:rPr>
          <w:b/>
          <w:bCs/>
        </w:rPr>
        <w:t>Municipality size:</w:t>
      </w:r>
      <w:r w:rsidRPr="00974847">
        <w:t xml:space="preserve"> population (SSB).</w:t>
      </w:r>
    </w:p>
    <w:p w14:paraId="131174FE" w14:textId="77777777" w:rsidR="00974847" w:rsidRPr="00974847" w:rsidRDefault="00974847" w:rsidP="00974847">
      <w:pPr>
        <w:numPr>
          <w:ilvl w:val="1"/>
          <w:numId w:val="11"/>
        </w:numPr>
        <w:jc w:val="center"/>
      </w:pPr>
      <w:r w:rsidRPr="00974847">
        <w:rPr>
          <w:b/>
          <w:bCs/>
        </w:rPr>
        <w:t>Payroll cost per inhabitant:</w:t>
      </w:r>
      <w:r w:rsidRPr="00974847">
        <w:t xml:space="preserve"> from your KOSTRA table.</w:t>
      </w:r>
    </w:p>
    <w:p w14:paraId="1FC1E86D" w14:textId="77777777" w:rsidR="00974847" w:rsidRPr="00974847" w:rsidRDefault="00974847" w:rsidP="00974847">
      <w:pPr>
        <w:numPr>
          <w:ilvl w:val="1"/>
          <w:numId w:val="11"/>
        </w:numPr>
        <w:jc w:val="center"/>
        <w:rPr>
          <w:lang w:val="nb-NO"/>
        </w:rPr>
      </w:pPr>
      <w:proofErr w:type="spellStart"/>
      <w:r w:rsidRPr="00974847">
        <w:rPr>
          <w:b/>
          <w:bCs/>
          <w:lang w:val="nb-NO"/>
        </w:rPr>
        <w:t>Municipal</w:t>
      </w:r>
      <w:proofErr w:type="spellEnd"/>
      <w:r w:rsidRPr="00974847">
        <w:rPr>
          <w:b/>
          <w:bCs/>
          <w:lang w:val="nb-NO"/>
        </w:rPr>
        <w:t xml:space="preserve"> </w:t>
      </w:r>
      <w:proofErr w:type="spellStart"/>
      <w:r w:rsidRPr="00974847">
        <w:rPr>
          <w:b/>
          <w:bCs/>
          <w:lang w:val="nb-NO"/>
        </w:rPr>
        <w:t>profit</w:t>
      </w:r>
      <w:proofErr w:type="spellEnd"/>
      <w:r w:rsidRPr="00974847">
        <w:rPr>
          <w:b/>
          <w:bCs/>
          <w:lang w:val="nb-NO"/>
        </w:rPr>
        <w:t>:</w:t>
      </w:r>
      <w:r w:rsidRPr="00974847">
        <w:rPr>
          <w:lang w:val="nb-NO"/>
        </w:rPr>
        <w:t xml:space="preserve"> </w:t>
      </w:r>
      <w:r w:rsidRPr="00974847">
        <w:rPr>
          <w:i/>
          <w:iCs/>
          <w:lang w:val="nb-NO"/>
        </w:rPr>
        <w:t>netto driftsresultat i % av brutto driftsinntekter</w:t>
      </w:r>
      <w:r w:rsidRPr="00974847">
        <w:rPr>
          <w:lang w:val="nb-NO"/>
        </w:rPr>
        <w:t>.</w:t>
      </w:r>
    </w:p>
    <w:p w14:paraId="6CFE6141" w14:textId="77777777" w:rsidR="00974847" w:rsidRPr="00974847" w:rsidRDefault="00974847" w:rsidP="00974847">
      <w:pPr>
        <w:numPr>
          <w:ilvl w:val="0"/>
          <w:numId w:val="10"/>
        </w:numPr>
        <w:jc w:val="center"/>
      </w:pPr>
      <w:r w:rsidRPr="00974847">
        <w:rPr>
          <w:b/>
          <w:bCs/>
        </w:rPr>
        <w:t>Controls:</w:t>
      </w:r>
    </w:p>
    <w:p w14:paraId="75E5FBA3" w14:textId="77777777" w:rsidR="00974847" w:rsidRPr="00974847" w:rsidRDefault="00974847" w:rsidP="00974847">
      <w:pPr>
        <w:numPr>
          <w:ilvl w:val="1"/>
          <w:numId w:val="12"/>
        </w:numPr>
        <w:jc w:val="center"/>
      </w:pPr>
      <w:r w:rsidRPr="00974847">
        <w:t>Elderly share (80+).</w:t>
      </w:r>
    </w:p>
    <w:p w14:paraId="12F39454" w14:textId="77777777" w:rsidR="00974847" w:rsidRPr="00974847" w:rsidRDefault="00974847" w:rsidP="00974847">
      <w:pPr>
        <w:numPr>
          <w:ilvl w:val="1"/>
          <w:numId w:val="12"/>
        </w:numPr>
        <w:jc w:val="center"/>
      </w:pPr>
      <w:r w:rsidRPr="00974847">
        <w:t>Centrality index (SSB).</w:t>
      </w:r>
    </w:p>
    <w:p w14:paraId="258E1496" w14:textId="77777777" w:rsidR="00974847" w:rsidRPr="00974847" w:rsidRDefault="00974847" w:rsidP="00974847">
      <w:pPr>
        <w:numPr>
          <w:ilvl w:val="1"/>
          <w:numId w:val="12"/>
        </w:numPr>
        <w:jc w:val="center"/>
      </w:pPr>
      <w:r w:rsidRPr="00974847">
        <w:t>Total healthcare expenditures per inhabitant.</w:t>
      </w:r>
    </w:p>
    <w:p w14:paraId="56B88F90" w14:textId="77777777" w:rsidR="00974847" w:rsidRPr="00974847" w:rsidRDefault="00974847" w:rsidP="00974847">
      <w:pPr>
        <w:jc w:val="center"/>
      </w:pPr>
      <w:r w:rsidRPr="00974847">
        <w:pict w14:anchorId="57923802">
          <v:rect id="_x0000_i1106" style="width:0;height:1.5pt" o:hralign="center" o:hrstd="t" o:hr="t" fillcolor="#a0a0a0" stroked="f"/>
        </w:pict>
      </w:r>
    </w:p>
    <w:p w14:paraId="016875B0" w14:textId="77777777" w:rsidR="00974847" w:rsidRPr="00974847" w:rsidRDefault="00974847" w:rsidP="00974847">
      <w:pPr>
        <w:jc w:val="center"/>
        <w:rPr>
          <w:b/>
          <w:bCs/>
        </w:rPr>
      </w:pPr>
      <w:r w:rsidRPr="00974847">
        <w:rPr>
          <w:rFonts w:ascii="Segoe UI Emoji" w:hAnsi="Segoe UI Emoji" w:cs="Segoe UI Emoji"/>
          <w:b/>
          <w:bCs/>
        </w:rPr>
        <w:t>🔹</w:t>
      </w:r>
      <w:r w:rsidRPr="00974847">
        <w:rPr>
          <w:b/>
          <w:bCs/>
        </w:rPr>
        <w:t xml:space="preserve"> Hypotheses</w:t>
      </w:r>
    </w:p>
    <w:p w14:paraId="1F778368" w14:textId="77777777" w:rsidR="00974847" w:rsidRPr="00974847" w:rsidRDefault="00974847" w:rsidP="00974847">
      <w:pPr>
        <w:numPr>
          <w:ilvl w:val="0"/>
          <w:numId w:val="13"/>
        </w:numPr>
        <w:jc w:val="center"/>
      </w:pPr>
      <w:r w:rsidRPr="00974847">
        <w:rPr>
          <w:b/>
          <w:bCs/>
        </w:rPr>
        <w:lastRenderedPageBreak/>
        <w:t>H1:</w:t>
      </w:r>
      <w:r w:rsidRPr="00974847">
        <w:t xml:space="preserve"> Large municipalities are less loyal (</w:t>
      </w:r>
      <w:proofErr w:type="spellStart"/>
      <w:r w:rsidRPr="00974847">
        <w:t>more</w:t>
      </w:r>
      <w:proofErr w:type="spellEnd"/>
      <w:r w:rsidRPr="00974847">
        <w:t xml:space="preserve"> suppliers, more tenders, more switching).</w:t>
      </w:r>
    </w:p>
    <w:p w14:paraId="46F8F58A" w14:textId="77777777" w:rsidR="00974847" w:rsidRPr="00974847" w:rsidRDefault="00974847" w:rsidP="00974847">
      <w:pPr>
        <w:numPr>
          <w:ilvl w:val="0"/>
          <w:numId w:val="13"/>
        </w:numPr>
        <w:jc w:val="center"/>
      </w:pPr>
      <w:r w:rsidRPr="00974847">
        <w:rPr>
          <w:b/>
          <w:bCs/>
        </w:rPr>
        <w:t>H2:</w:t>
      </w:r>
      <w:r w:rsidRPr="00974847">
        <w:t xml:space="preserve"> High payroll cost per inhabitant → greater need for stability → higher loyalty.</w:t>
      </w:r>
    </w:p>
    <w:p w14:paraId="57F07C6C" w14:textId="77777777" w:rsidR="00974847" w:rsidRPr="00974847" w:rsidRDefault="00974847" w:rsidP="00974847">
      <w:pPr>
        <w:numPr>
          <w:ilvl w:val="0"/>
          <w:numId w:val="13"/>
        </w:numPr>
        <w:jc w:val="center"/>
      </w:pPr>
      <w:r w:rsidRPr="00974847">
        <w:rPr>
          <w:b/>
          <w:bCs/>
        </w:rPr>
        <w:t>H3:</w:t>
      </w:r>
      <w:r w:rsidRPr="00974847">
        <w:t xml:space="preserve"> Municipalities with better financial results may afford more continuity (higher loyalty), while those under deficit pressure switch more often.</w:t>
      </w:r>
    </w:p>
    <w:p w14:paraId="3FE20FC1" w14:textId="77777777" w:rsidR="00974847" w:rsidRPr="00974847" w:rsidRDefault="00974847" w:rsidP="00974847">
      <w:pPr>
        <w:jc w:val="center"/>
      </w:pPr>
      <w:r w:rsidRPr="00974847">
        <w:pict w14:anchorId="1F7B89F5">
          <v:rect id="_x0000_i1107" style="width:0;height:1.5pt" o:hralign="center" o:hrstd="t" o:hr="t" fillcolor="#a0a0a0" stroked="f"/>
        </w:pict>
      </w:r>
    </w:p>
    <w:p w14:paraId="5E8334C1" w14:textId="77777777" w:rsidR="00974847" w:rsidRPr="00974847" w:rsidRDefault="00974847" w:rsidP="00974847">
      <w:pPr>
        <w:jc w:val="center"/>
        <w:rPr>
          <w:b/>
          <w:bCs/>
        </w:rPr>
      </w:pPr>
      <w:r w:rsidRPr="00974847">
        <w:rPr>
          <w:rFonts w:ascii="Segoe UI Emoji" w:hAnsi="Segoe UI Emoji" w:cs="Segoe UI Emoji"/>
          <w:b/>
          <w:bCs/>
        </w:rPr>
        <w:t>🔹</w:t>
      </w:r>
      <w:r w:rsidRPr="00974847">
        <w:rPr>
          <w:b/>
          <w:bCs/>
        </w:rPr>
        <w:t xml:space="preserve"> Methods</w:t>
      </w:r>
    </w:p>
    <w:p w14:paraId="6A8BC18D" w14:textId="77777777" w:rsidR="00974847" w:rsidRPr="00974847" w:rsidRDefault="00974847" w:rsidP="00974847">
      <w:pPr>
        <w:numPr>
          <w:ilvl w:val="0"/>
          <w:numId w:val="14"/>
        </w:numPr>
        <w:jc w:val="center"/>
      </w:pPr>
      <w:r w:rsidRPr="00974847">
        <w:rPr>
          <w:b/>
          <w:bCs/>
        </w:rPr>
        <w:t>Panel Data (Main approach)</w:t>
      </w:r>
    </w:p>
    <w:p w14:paraId="7226C871" w14:textId="77777777" w:rsidR="006D176F" w:rsidRPr="006D176F" w:rsidRDefault="006D176F" w:rsidP="006D176F">
      <w:pPr>
        <w:numPr>
          <w:ilvl w:val="1"/>
          <w:numId w:val="14"/>
        </w:numPr>
        <w:jc w:val="center"/>
        <w:rPr>
          <w:b/>
          <w:bCs/>
        </w:rPr>
      </w:pPr>
      <w:r w:rsidRPr="006D176F">
        <w:rPr>
          <w:b/>
          <w:bCs/>
        </w:rPr>
        <w:t>We measure loyalty as how similar the distribution of market shares across staffing suppliers is from one year to the next in each municipality. If the supplier mix is unchanged, loyalty is 100; if it completely changes, loyalty is 0.</w:t>
      </w:r>
    </w:p>
    <w:p w14:paraId="54E47C47" w14:textId="77777777" w:rsidR="006D176F" w:rsidRPr="006D176F" w:rsidRDefault="006D176F" w:rsidP="006D176F">
      <w:pPr>
        <w:numPr>
          <w:ilvl w:val="1"/>
          <w:numId w:val="14"/>
        </w:numPr>
        <w:jc w:val="center"/>
        <w:rPr>
          <w:b/>
          <w:bCs/>
        </w:rPr>
      </w:pPr>
      <w:r w:rsidRPr="006D176F">
        <w:rPr>
          <w:b/>
          <w:bCs/>
        </w:rPr>
        <w:t xml:space="preserve">To explain differences in loyalty, we use a panel dataset combining </w:t>
      </w:r>
      <w:proofErr w:type="spellStart"/>
      <w:r w:rsidRPr="006D176F">
        <w:rPr>
          <w:b/>
          <w:bCs/>
        </w:rPr>
        <w:t>Ecura’s</w:t>
      </w:r>
      <w:proofErr w:type="spellEnd"/>
      <w:r w:rsidRPr="006D176F">
        <w:rPr>
          <w:b/>
          <w:bCs/>
        </w:rPr>
        <w:t xml:space="preserve"> supplier market share data with municipal covariates from SSB/KOSTRA. The key factors we test are:</w:t>
      </w:r>
    </w:p>
    <w:p w14:paraId="5C8098EA" w14:textId="77777777" w:rsidR="006D176F" w:rsidRPr="006D176F" w:rsidRDefault="006D176F" w:rsidP="006D176F">
      <w:pPr>
        <w:numPr>
          <w:ilvl w:val="1"/>
          <w:numId w:val="14"/>
        </w:numPr>
        <w:jc w:val="center"/>
        <w:rPr>
          <w:b/>
          <w:bCs/>
        </w:rPr>
      </w:pPr>
      <w:r w:rsidRPr="006D176F">
        <w:rPr>
          <w:b/>
          <w:bCs/>
        </w:rPr>
        <w:t>Municipality size (population),</w:t>
      </w:r>
    </w:p>
    <w:p w14:paraId="4C774324" w14:textId="77777777" w:rsidR="006D176F" w:rsidRPr="006D176F" w:rsidRDefault="006D176F" w:rsidP="006D176F">
      <w:pPr>
        <w:numPr>
          <w:ilvl w:val="1"/>
          <w:numId w:val="14"/>
        </w:numPr>
        <w:jc w:val="center"/>
        <w:rPr>
          <w:b/>
          <w:bCs/>
        </w:rPr>
      </w:pPr>
      <w:r w:rsidRPr="006D176F">
        <w:rPr>
          <w:b/>
          <w:bCs/>
        </w:rPr>
        <w:t>Payroll cost per inhabitant in health and care,</w:t>
      </w:r>
    </w:p>
    <w:p w14:paraId="165798C4" w14:textId="77777777" w:rsidR="006D176F" w:rsidRPr="006D176F" w:rsidRDefault="006D176F" w:rsidP="006D176F">
      <w:pPr>
        <w:numPr>
          <w:ilvl w:val="1"/>
          <w:numId w:val="14"/>
        </w:numPr>
        <w:jc w:val="center"/>
        <w:rPr>
          <w:b/>
          <w:bCs/>
        </w:rPr>
      </w:pPr>
      <w:r w:rsidRPr="006D176F">
        <w:rPr>
          <w:b/>
          <w:bCs/>
        </w:rPr>
        <w:t>Municipal profit (net operating result), and</w:t>
      </w:r>
    </w:p>
    <w:p w14:paraId="398C6521" w14:textId="77777777" w:rsidR="006D176F" w:rsidRPr="006D176F" w:rsidRDefault="006D176F" w:rsidP="006D176F">
      <w:pPr>
        <w:numPr>
          <w:ilvl w:val="1"/>
          <w:numId w:val="14"/>
        </w:numPr>
        <w:jc w:val="center"/>
        <w:rPr>
          <w:b/>
          <w:bCs/>
        </w:rPr>
      </w:pPr>
      <w:r w:rsidRPr="006D176F">
        <w:rPr>
          <w:b/>
          <w:bCs/>
        </w:rPr>
        <w:t>Elderly share and centrality as controls.</w:t>
      </w:r>
    </w:p>
    <w:p w14:paraId="5A10793B" w14:textId="77777777" w:rsidR="006D176F" w:rsidRPr="006D176F" w:rsidRDefault="006D176F" w:rsidP="006D176F">
      <w:pPr>
        <w:numPr>
          <w:ilvl w:val="1"/>
          <w:numId w:val="14"/>
        </w:numPr>
        <w:jc w:val="center"/>
        <w:rPr>
          <w:b/>
          <w:bCs/>
        </w:rPr>
      </w:pPr>
      <w:r w:rsidRPr="006D176F">
        <w:rPr>
          <w:b/>
          <w:bCs/>
        </w:rPr>
        <w:t>We apply a panel fixed effects regression, which compares municipalities to themselves over time. This controls for time-invariant differences between municipalities (such as culture, geography, or long-standing practices) and isolates the effect of changing payroll costs, population size, and profit on supplier loyalty.</w:t>
      </w:r>
    </w:p>
    <w:p w14:paraId="4507A8E5" w14:textId="77777777" w:rsidR="006D176F" w:rsidRPr="006D176F" w:rsidRDefault="006D176F" w:rsidP="006D176F">
      <w:pPr>
        <w:numPr>
          <w:ilvl w:val="1"/>
          <w:numId w:val="14"/>
        </w:numPr>
        <w:jc w:val="center"/>
        <w:rPr>
          <w:b/>
          <w:bCs/>
        </w:rPr>
      </w:pPr>
      <w:r w:rsidRPr="006D176F">
        <w:rPr>
          <w:b/>
          <w:bCs/>
        </w:rPr>
        <w:t>As a robustness check, we also estimate simpler models, such as a binary outcome for whether the top supplier is retained.</w:t>
      </w:r>
    </w:p>
    <w:p w14:paraId="512542BD" w14:textId="210F3532" w:rsidR="00974847" w:rsidRPr="00974847" w:rsidRDefault="006D176F" w:rsidP="006D176F">
      <w:pPr>
        <w:numPr>
          <w:ilvl w:val="1"/>
          <w:numId w:val="14"/>
        </w:numPr>
      </w:pPr>
      <w:r>
        <w:lastRenderedPageBreak/>
        <w:br/>
      </w:r>
      <w:r w:rsidRPr="006D176F">
        <w:drawing>
          <wp:inline distT="0" distB="0" distL="0" distR="0" wp14:anchorId="4F91140E" wp14:editId="255048BA">
            <wp:extent cx="5086350" cy="2257340"/>
            <wp:effectExtent l="0" t="0" r="0" b="0"/>
            <wp:docPr id="186704235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42353" name="Picture 1" descr="A black screen with white text&#10;&#10;AI-generated content may be incorrect."/>
                    <pic:cNvPicPr/>
                  </pic:nvPicPr>
                  <pic:blipFill>
                    <a:blip r:embed="rId5"/>
                    <a:stretch>
                      <a:fillRect/>
                    </a:stretch>
                  </pic:blipFill>
                  <pic:spPr>
                    <a:xfrm>
                      <a:off x="0" y="0"/>
                      <a:ext cx="5091804" cy="2259761"/>
                    </a:xfrm>
                    <a:prstGeom prst="rect">
                      <a:avLst/>
                    </a:prstGeom>
                  </pic:spPr>
                </pic:pic>
              </a:graphicData>
            </a:graphic>
          </wp:inline>
        </w:drawing>
      </w:r>
    </w:p>
    <w:p w14:paraId="1D7E2EBE" w14:textId="77777777" w:rsidR="00974847" w:rsidRPr="00974847" w:rsidRDefault="00974847" w:rsidP="00974847">
      <w:pPr>
        <w:jc w:val="center"/>
      </w:pPr>
      <w:r w:rsidRPr="00974847">
        <w:pict w14:anchorId="61683EB0">
          <v:rect id="_x0000_i1108" style="width:0;height:1.5pt" o:hralign="center" o:hrstd="t" o:hr="t" fillcolor="#a0a0a0" stroked="f"/>
        </w:pict>
      </w:r>
    </w:p>
    <w:p w14:paraId="0CD3FFF3" w14:textId="77777777" w:rsidR="00974847" w:rsidRPr="00974847" w:rsidRDefault="00974847" w:rsidP="00974847">
      <w:pPr>
        <w:jc w:val="center"/>
        <w:rPr>
          <w:b/>
          <w:bCs/>
        </w:rPr>
      </w:pPr>
      <w:r w:rsidRPr="00974847">
        <w:rPr>
          <w:rFonts w:ascii="Segoe UI Emoji" w:hAnsi="Segoe UI Emoji" w:cs="Segoe UI Emoji"/>
          <w:b/>
          <w:bCs/>
        </w:rPr>
        <w:t>🔹</w:t>
      </w:r>
      <w:r w:rsidRPr="00974847">
        <w:rPr>
          <w:b/>
          <w:bCs/>
        </w:rPr>
        <w:t xml:space="preserve"> Example Model Setup (FE Logit)</w:t>
      </w:r>
    </w:p>
    <w:p w14:paraId="3C0EC759" w14:textId="77777777" w:rsidR="00974847" w:rsidRPr="00974847" w:rsidRDefault="00974847" w:rsidP="00974847">
      <w:pPr>
        <w:jc w:val="center"/>
      </w:pPr>
      <w:r w:rsidRPr="00974847">
        <w:t>P(Retaini,t=1)=f(αi+β1Populationi,t+β2PayrollCosti,t+β3Profiti,t+γt)P(\text{Retain}_{i,t}=1) = f(\</w:t>
      </w:r>
      <w:proofErr w:type="spellStart"/>
      <w:r w:rsidRPr="00974847">
        <w:t>alpha_i</w:t>
      </w:r>
      <w:proofErr w:type="spellEnd"/>
      <w:r w:rsidRPr="00974847">
        <w:t xml:space="preserve"> + \beta_1 \text{Population}_{</w:t>
      </w:r>
      <w:proofErr w:type="spellStart"/>
      <w:r w:rsidRPr="00974847">
        <w:t>i,t</w:t>
      </w:r>
      <w:proofErr w:type="spellEnd"/>
      <w:r w:rsidRPr="00974847">
        <w:t>} + \beta_2 \text{</w:t>
      </w:r>
      <w:proofErr w:type="spellStart"/>
      <w:r w:rsidRPr="00974847">
        <w:t>PayrollCost</w:t>
      </w:r>
      <w:proofErr w:type="spellEnd"/>
      <w:r w:rsidRPr="00974847">
        <w:t>}_{</w:t>
      </w:r>
      <w:proofErr w:type="spellStart"/>
      <w:r w:rsidRPr="00974847">
        <w:t>i,t</w:t>
      </w:r>
      <w:proofErr w:type="spellEnd"/>
      <w:r w:rsidRPr="00974847">
        <w:t>} + \beta_3 \text{Profit}_{</w:t>
      </w:r>
      <w:proofErr w:type="spellStart"/>
      <w:r w:rsidRPr="00974847">
        <w:t>i,t</w:t>
      </w:r>
      <w:proofErr w:type="spellEnd"/>
      <w:r w:rsidRPr="00974847">
        <w:t>} + \gamma_t)P(Retaini,t</w:t>
      </w:r>
      <w:r w:rsidRPr="00974847">
        <w:rPr>
          <w:rFonts w:ascii="Arial" w:hAnsi="Arial" w:cs="Arial"/>
        </w:rPr>
        <w:t>​</w:t>
      </w:r>
      <w:r w:rsidRPr="00974847">
        <w:t>=1)=f(αi</w:t>
      </w:r>
      <w:r w:rsidRPr="00974847">
        <w:rPr>
          <w:rFonts w:ascii="Arial" w:hAnsi="Arial" w:cs="Arial"/>
        </w:rPr>
        <w:t>​</w:t>
      </w:r>
      <w:r w:rsidRPr="00974847">
        <w:t>+β1</w:t>
      </w:r>
      <w:r w:rsidRPr="00974847">
        <w:rPr>
          <w:rFonts w:ascii="Arial" w:hAnsi="Arial" w:cs="Arial"/>
        </w:rPr>
        <w:t>​</w:t>
      </w:r>
      <w:r w:rsidRPr="00974847">
        <w:t>Populationi,t</w:t>
      </w:r>
      <w:r w:rsidRPr="00974847">
        <w:rPr>
          <w:rFonts w:ascii="Arial" w:hAnsi="Arial" w:cs="Arial"/>
        </w:rPr>
        <w:t>​</w:t>
      </w:r>
      <w:r w:rsidRPr="00974847">
        <w:t>+β2</w:t>
      </w:r>
      <w:r w:rsidRPr="00974847">
        <w:rPr>
          <w:rFonts w:ascii="Arial" w:hAnsi="Arial" w:cs="Arial"/>
        </w:rPr>
        <w:t>​</w:t>
      </w:r>
      <w:r w:rsidRPr="00974847">
        <w:t>PayrollCosti,t</w:t>
      </w:r>
      <w:r w:rsidRPr="00974847">
        <w:rPr>
          <w:rFonts w:ascii="Arial" w:hAnsi="Arial" w:cs="Arial"/>
        </w:rPr>
        <w:t>​</w:t>
      </w:r>
      <w:r w:rsidRPr="00974847">
        <w:t>+β3</w:t>
      </w:r>
      <w:r w:rsidRPr="00974847">
        <w:rPr>
          <w:rFonts w:ascii="Arial" w:hAnsi="Arial" w:cs="Arial"/>
        </w:rPr>
        <w:t>​</w:t>
      </w:r>
      <w:r w:rsidRPr="00974847">
        <w:t>Profiti,t</w:t>
      </w:r>
      <w:r w:rsidRPr="00974847">
        <w:rPr>
          <w:rFonts w:ascii="Arial" w:hAnsi="Arial" w:cs="Arial"/>
        </w:rPr>
        <w:t>​</w:t>
      </w:r>
      <w:r w:rsidRPr="00974847">
        <w:t>+γt</w:t>
      </w:r>
      <w:r w:rsidRPr="00974847">
        <w:rPr>
          <w:rFonts w:ascii="Arial" w:hAnsi="Arial" w:cs="Arial"/>
        </w:rPr>
        <w:t>​</w:t>
      </w:r>
      <w:r w:rsidRPr="00974847">
        <w:t xml:space="preserve">) </w:t>
      </w:r>
    </w:p>
    <w:p w14:paraId="1E027268" w14:textId="77777777" w:rsidR="00974847" w:rsidRPr="00974847" w:rsidRDefault="00974847" w:rsidP="00974847">
      <w:pPr>
        <w:numPr>
          <w:ilvl w:val="0"/>
          <w:numId w:val="15"/>
        </w:numPr>
        <w:jc w:val="center"/>
      </w:pPr>
      <w:proofErr w:type="spellStart"/>
      <w:r w:rsidRPr="00974847">
        <w:t>Retaini,t</w:t>
      </w:r>
      <w:proofErr w:type="spellEnd"/>
      <w:r w:rsidRPr="00974847">
        <w:t>\text{Retain}_{</w:t>
      </w:r>
      <w:proofErr w:type="spellStart"/>
      <w:r w:rsidRPr="00974847">
        <w:t>i,t</w:t>
      </w:r>
      <w:proofErr w:type="spellEnd"/>
      <w:r w:rsidRPr="00974847">
        <w:t>}</w:t>
      </w:r>
      <w:proofErr w:type="spellStart"/>
      <w:r w:rsidRPr="00974847">
        <w:t>Retaini,t</w:t>
      </w:r>
      <w:proofErr w:type="spellEnd"/>
      <w:r w:rsidRPr="00974847">
        <w:rPr>
          <w:rFonts w:ascii="Arial" w:hAnsi="Arial" w:cs="Arial"/>
        </w:rPr>
        <w:t>​</w:t>
      </w:r>
      <w:r w:rsidRPr="00974847">
        <w:t>: 1 if top supplier is same as last year.</w:t>
      </w:r>
    </w:p>
    <w:p w14:paraId="5EEBC7C9" w14:textId="77777777" w:rsidR="00974847" w:rsidRPr="00974847" w:rsidRDefault="00974847" w:rsidP="00974847">
      <w:pPr>
        <w:numPr>
          <w:ilvl w:val="0"/>
          <w:numId w:val="15"/>
        </w:numPr>
        <w:jc w:val="center"/>
      </w:pPr>
      <w:r w:rsidRPr="00974847">
        <w:t>α</w:t>
      </w:r>
      <w:proofErr w:type="spellStart"/>
      <w:r w:rsidRPr="00974847">
        <w:t>i</w:t>
      </w:r>
      <w:proofErr w:type="spellEnd"/>
      <w:r w:rsidRPr="00974847">
        <w:t>\</w:t>
      </w:r>
      <w:proofErr w:type="spellStart"/>
      <w:r w:rsidRPr="00974847">
        <w:t>alpha_i</w:t>
      </w:r>
      <w:proofErr w:type="spellEnd"/>
      <w:r w:rsidRPr="00974847">
        <w:t>αi</w:t>
      </w:r>
      <w:r w:rsidRPr="00974847">
        <w:rPr>
          <w:rFonts w:ascii="Arial" w:hAnsi="Arial" w:cs="Arial"/>
        </w:rPr>
        <w:t>​</w:t>
      </w:r>
      <w:r w:rsidRPr="00974847">
        <w:t>: municipality FE.</w:t>
      </w:r>
    </w:p>
    <w:p w14:paraId="165C5937" w14:textId="77777777" w:rsidR="00974847" w:rsidRPr="00974847" w:rsidRDefault="00974847" w:rsidP="00974847">
      <w:pPr>
        <w:numPr>
          <w:ilvl w:val="0"/>
          <w:numId w:val="15"/>
        </w:numPr>
        <w:jc w:val="center"/>
      </w:pPr>
      <w:proofErr w:type="spellStart"/>
      <w:r w:rsidRPr="00974847">
        <w:t>γt</w:t>
      </w:r>
      <w:proofErr w:type="spellEnd"/>
      <w:r w:rsidRPr="00974847">
        <w:t>\</w:t>
      </w:r>
      <w:proofErr w:type="spellStart"/>
      <w:r w:rsidRPr="00974847">
        <w:t>gamma_tγt</w:t>
      </w:r>
      <w:proofErr w:type="spellEnd"/>
      <w:r w:rsidRPr="00974847">
        <w:rPr>
          <w:rFonts w:ascii="Arial" w:hAnsi="Arial" w:cs="Arial"/>
        </w:rPr>
        <w:t>​</w:t>
      </w:r>
      <w:r w:rsidRPr="00974847">
        <w:t>: year FE.</w:t>
      </w:r>
    </w:p>
    <w:p w14:paraId="6FD75BBC" w14:textId="77777777" w:rsidR="00974847" w:rsidRPr="00974847" w:rsidRDefault="00974847" w:rsidP="00974847">
      <w:pPr>
        <w:jc w:val="center"/>
      </w:pPr>
      <w:r w:rsidRPr="00974847">
        <w:pict w14:anchorId="7739D919">
          <v:rect id="_x0000_i1109" style="width:0;height:1.5pt" o:hralign="center" o:hrstd="t" o:hr="t" fillcolor="#a0a0a0" stroked="f"/>
        </w:pict>
      </w:r>
    </w:p>
    <w:p w14:paraId="33E72373" w14:textId="77777777" w:rsidR="00974847" w:rsidRPr="00974847" w:rsidRDefault="00974847" w:rsidP="00974847">
      <w:pPr>
        <w:jc w:val="center"/>
        <w:rPr>
          <w:b/>
          <w:bCs/>
        </w:rPr>
      </w:pPr>
      <w:r w:rsidRPr="00974847">
        <w:rPr>
          <w:rFonts w:ascii="Segoe UI Emoji" w:hAnsi="Segoe UI Emoji" w:cs="Segoe UI Emoji"/>
          <w:b/>
          <w:bCs/>
        </w:rPr>
        <w:t>🔹</w:t>
      </w:r>
      <w:r w:rsidRPr="00974847">
        <w:rPr>
          <w:b/>
          <w:bCs/>
        </w:rPr>
        <w:t xml:space="preserve"> Contribution</w:t>
      </w:r>
    </w:p>
    <w:p w14:paraId="4547B8D6" w14:textId="77777777" w:rsidR="00974847" w:rsidRPr="00974847" w:rsidRDefault="00974847" w:rsidP="00974847">
      <w:pPr>
        <w:jc w:val="center"/>
      </w:pPr>
      <w:r w:rsidRPr="00974847">
        <w:t>This research problem is neat because it:</w:t>
      </w:r>
    </w:p>
    <w:p w14:paraId="6B8ABD36" w14:textId="77777777" w:rsidR="00974847" w:rsidRPr="00974847" w:rsidRDefault="00974847" w:rsidP="00974847">
      <w:pPr>
        <w:numPr>
          <w:ilvl w:val="0"/>
          <w:numId w:val="16"/>
        </w:numPr>
        <w:jc w:val="center"/>
      </w:pPr>
      <w:r w:rsidRPr="00974847">
        <w:t xml:space="preserve">Ties together </w:t>
      </w:r>
      <w:r w:rsidRPr="00974847">
        <w:rPr>
          <w:b/>
          <w:bCs/>
        </w:rPr>
        <w:t>competition</w:t>
      </w:r>
      <w:r w:rsidRPr="00974847">
        <w:t xml:space="preserve"> (supplier switching) and </w:t>
      </w:r>
      <w:r w:rsidRPr="00974847">
        <w:rPr>
          <w:b/>
          <w:bCs/>
        </w:rPr>
        <w:t>economics</w:t>
      </w:r>
      <w:r w:rsidRPr="00974847">
        <w:t xml:space="preserve"> (municipal finances).</w:t>
      </w:r>
    </w:p>
    <w:p w14:paraId="4489A7CB" w14:textId="77777777" w:rsidR="00974847" w:rsidRPr="00974847" w:rsidRDefault="00974847" w:rsidP="00974847">
      <w:pPr>
        <w:numPr>
          <w:ilvl w:val="0"/>
          <w:numId w:val="16"/>
        </w:numPr>
        <w:jc w:val="center"/>
      </w:pPr>
      <w:r w:rsidRPr="00974847">
        <w:t xml:space="preserve">Uses </w:t>
      </w:r>
      <w:r w:rsidRPr="00974847">
        <w:rPr>
          <w:b/>
          <w:bCs/>
        </w:rPr>
        <w:t xml:space="preserve">unique </w:t>
      </w:r>
      <w:proofErr w:type="spellStart"/>
      <w:r w:rsidRPr="00974847">
        <w:rPr>
          <w:b/>
          <w:bCs/>
        </w:rPr>
        <w:t>Ecura</w:t>
      </w:r>
      <w:proofErr w:type="spellEnd"/>
      <w:r w:rsidRPr="00974847">
        <w:rPr>
          <w:b/>
          <w:bCs/>
        </w:rPr>
        <w:t xml:space="preserve"> + KOSTRA data</w:t>
      </w:r>
      <w:r w:rsidRPr="00974847">
        <w:t>.</w:t>
      </w:r>
    </w:p>
    <w:p w14:paraId="6FF6F53A" w14:textId="77777777" w:rsidR="00974847" w:rsidRPr="00974847" w:rsidRDefault="00974847" w:rsidP="00974847">
      <w:pPr>
        <w:numPr>
          <w:ilvl w:val="0"/>
          <w:numId w:val="16"/>
        </w:numPr>
        <w:jc w:val="center"/>
      </w:pPr>
      <w:r w:rsidRPr="00974847">
        <w:t>Answers a question that’s relevant for both municipalities (procurement stability) and suppliers (customer retention strategy).</w:t>
      </w:r>
    </w:p>
    <w:p w14:paraId="3620656A" w14:textId="77777777" w:rsidR="004E7D68" w:rsidRPr="00BF1683" w:rsidRDefault="004E7D68" w:rsidP="00BF1683">
      <w:pPr>
        <w:jc w:val="center"/>
      </w:pPr>
    </w:p>
    <w:sectPr w:rsidR="004E7D68" w:rsidRPr="00BF16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536F3"/>
    <w:multiLevelType w:val="multilevel"/>
    <w:tmpl w:val="9E6C3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673B1"/>
    <w:multiLevelType w:val="multilevel"/>
    <w:tmpl w:val="51127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823DD"/>
    <w:multiLevelType w:val="multilevel"/>
    <w:tmpl w:val="042E9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9742E"/>
    <w:multiLevelType w:val="multilevel"/>
    <w:tmpl w:val="CF94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51A45"/>
    <w:multiLevelType w:val="multilevel"/>
    <w:tmpl w:val="11F2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B6472"/>
    <w:multiLevelType w:val="multilevel"/>
    <w:tmpl w:val="7242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22AE9"/>
    <w:multiLevelType w:val="multilevel"/>
    <w:tmpl w:val="EA1C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4C298C"/>
    <w:multiLevelType w:val="multilevel"/>
    <w:tmpl w:val="258A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C73F3E"/>
    <w:multiLevelType w:val="multilevel"/>
    <w:tmpl w:val="BF44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8E7E3E"/>
    <w:multiLevelType w:val="multilevel"/>
    <w:tmpl w:val="B4F2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661510"/>
    <w:multiLevelType w:val="multilevel"/>
    <w:tmpl w:val="702C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664BB5"/>
    <w:multiLevelType w:val="multilevel"/>
    <w:tmpl w:val="4AE6AC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CC7FC6"/>
    <w:multiLevelType w:val="multilevel"/>
    <w:tmpl w:val="6930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692D4E"/>
    <w:multiLevelType w:val="multilevel"/>
    <w:tmpl w:val="782A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B6336F"/>
    <w:multiLevelType w:val="multilevel"/>
    <w:tmpl w:val="F0D2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043465">
    <w:abstractNumId w:val="9"/>
  </w:num>
  <w:num w:numId="2" w16cid:durableId="870653684">
    <w:abstractNumId w:val="0"/>
  </w:num>
  <w:num w:numId="3" w16cid:durableId="512570204">
    <w:abstractNumId w:val="5"/>
  </w:num>
  <w:num w:numId="4" w16cid:durableId="1272937598">
    <w:abstractNumId w:val="2"/>
  </w:num>
  <w:num w:numId="5" w16cid:durableId="1445076381">
    <w:abstractNumId w:val="12"/>
  </w:num>
  <w:num w:numId="6" w16cid:durableId="1762876309">
    <w:abstractNumId w:val="7"/>
  </w:num>
  <w:num w:numId="7" w16cid:durableId="1164514285">
    <w:abstractNumId w:val="3"/>
  </w:num>
  <w:num w:numId="8" w16cid:durableId="1011493754">
    <w:abstractNumId w:val="4"/>
  </w:num>
  <w:num w:numId="9" w16cid:durableId="1403407343">
    <w:abstractNumId w:val="8"/>
  </w:num>
  <w:num w:numId="10" w16cid:durableId="810176838">
    <w:abstractNumId w:val="11"/>
  </w:num>
  <w:num w:numId="11" w16cid:durableId="593631277">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465124251">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31731835">
    <w:abstractNumId w:val="14"/>
  </w:num>
  <w:num w:numId="14" w16cid:durableId="1479493724">
    <w:abstractNumId w:val="1"/>
  </w:num>
  <w:num w:numId="15" w16cid:durableId="219486757">
    <w:abstractNumId w:val="10"/>
  </w:num>
  <w:num w:numId="16" w16cid:durableId="1869290787">
    <w:abstractNumId w:val="6"/>
  </w:num>
  <w:num w:numId="17" w16cid:durableId="13900356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683"/>
    <w:rsid w:val="00064FE5"/>
    <w:rsid w:val="00093D16"/>
    <w:rsid w:val="000E458B"/>
    <w:rsid w:val="000E7D93"/>
    <w:rsid w:val="00137CEC"/>
    <w:rsid w:val="001A77A4"/>
    <w:rsid w:val="00213E87"/>
    <w:rsid w:val="00227336"/>
    <w:rsid w:val="002B7C2B"/>
    <w:rsid w:val="003C30C2"/>
    <w:rsid w:val="004A06B3"/>
    <w:rsid w:val="004A37B7"/>
    <w:rsid w:val="004E5AB7"/>
    <w:rsid w:val="004E7D68"/>
    <w:rsid w:val="00576DFF"/>
    <w:rsid w:val="00591616"/>
    <w:rsid w:val="005C2555"/>
    <w:rsid w:val="00643B58"/>
    <w:rsid w:val="0064407D"/>
    <w:rsid w:val="006558B6"/>
    <w:rsid w:val="006B3795"/>
    <w:rsid w:val="006D176F"/>
    <w:rsid w:val="007261D2"/>
    <w:rsid w:val="007902BD"/>
    <w:rsid w:val="00893E93"/>
    <w:rsid w:val="00922D93"/>
    <w:rsid w:val="009419D9"/>
    <w:rsid w:val="00974847"/>
    <w:rsid w:val="00A615DD"/>
    <w:rsid w:val="00AC5931"/>
    <w:rsid w:val="00B717AB"/>
    <w:rsid w:val="00B84C2E"/>
    <w:rsid w:val="00BB0811"/>
    <w:rsid w:val="00BC24F3"/>
    <w:rsid w:val="00BC722A"/>
    <w:rsid w:val="00BF1683"/>
    <w:rsid w:val="00CC76EE"/>
    <w:rsid w:val="00D03A7D"/>
    <w:rsid w:val="00D875D9"/>
    <w:rsid w:val="00DB4370"/>
    <w:rsid w:val="00EB2197"/>
    <w:rsid w:val="00F42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2E8A2"/>
  <w15:chartTrackingRefBased/>
  <w15:docId w15:val="{F06AC66A-C48C-4BFD-BE6F-E0CCA166E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6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16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16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16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16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16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6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6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6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6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16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16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16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16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16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6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6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683"/>
    <w:rPr>
      <w:rFonts w:eastAsiaTheme="majorEastAsia" w:cstheme="majorBidi"/>
      <w:color w:val="272727" w:themeColor="text1" w:themeTint="D8"/>
    </w:rPr>
  </w:style>
  <w:style w:type="paragraph" w:styleId="Title">
    <w:name w:val="Title"/>
    <w:basedOn w:val="Normal"/>
    <w:next w:val="Normal"/>
    <w:link w:val="TitleChar"/>
    <w:uiPriority w:val="10"/>
    <w:qFormat/>
    <w:rsid w:val="00BF16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6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6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6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683"/>
    <w:pPr>
      <w:spacing w:before="160"/>
      <w:jc w:val="center"/>
    </w:pPr>
    <w:rPr>
      <w:i/>
      <w:iCs/>
      <w:color w:val="404040" w:themeColor="text1" w:themeTint="BF"/>
    </w:rPr>
  </w:style>
  <w:style w:type="character" w:customStyle="1" w:styleId="QuoteChar">
    <w:name w:val="Quote Char"/>
    <w:basedOn w:val="DefaultParagraphFont"/>
    <w:link w:val="Quote"/>
    <w:uiPriority w:val="29"/>
    <w:rsid w:val="00BF1683"/>
    <w:rPr>
      <w:i/>
      <w:iCs/>
      <w:color w:val="404040" w:themeColor="text1" w:themeTint="BF"/>
    </w:rPr>
  </w:style>
  <w:style w:type="paragraph" w:styleId="ListParagraph">
    <w:name w:val="List Paragraph"/>
    <w:basedOn w:val="Normal"/>
    <w:uiPriority w:val="34"/>
    <w:qFormat/>
    <w:rsid w:val="00BF1683"/>
    <w:pPr>
      <w:ind w:left="720"/>
      <w:contextualSpacing/>
    </w:pPr>
  </w:style>
  <w:style w:type="character" w:styleId="IntenseEmphasis">
    <w:name w:val="Intense Emphasis"/>
    <w:basedOn w:val="DefaultParagraphFont"/>
    <w:uiPriority w:val="21"/>
    <w:qFormat/>
    <w:rsid w:val="00BF1683"/>
    <w:rPr>
      <w:i/>
      <w:iCs/>
      <w:color w:val="0F4761" w:themeColor="accent1" w:themeShade="BF"/>
    </w:rPr>
  </w:style>
  <w:style w:type="paragraph" w:styleId="IntenseQuote">
    <w:name w:val="Intense Quote"/>
    <w:basedOn w:val="Normal"/>
    <w:next w:val="Normal"/>
    <w:link w:val="IntenseQuoteChar"/>
    <w:uiPriority w:val="30"/>
    <w:qFormat/>
    <w:rsid w:val="00BF16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1683"/>
    <w:rPr>
      <w:i/>
      <w:iCs/>
      <w:color w:val="0F4761" w:themeColor="accent1" w:themeShade="BF"/>
    </w:rPr>
  </w:style>
  <w:style w:type="character" w:styleId="IntenseReference">
    <w:name w:val="Intense Reference"/>
    <w:basedOn w:val="DefaultParagraphFont"/>
    <w:uiPriority w:val="32"/>
    <w:qFormat/>
    <w:rsid w:val="00BF16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1</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Anmarkrud</dc:creator>
  <cp:keywords/>
  <dc:description/>
  <cp:lastModifiedBy>Jørgen Anmarkrud</cp:lastModifiedBy>
  <cp:revision>3</cp:revision>
  <dcterms:created xsi:type="dcterms:W3CDTF">2025-09-07T09:04:00Z</dcterms:created>
  <dcterms:modified xsi:type="dcterms:W3CDTF">2025-09-09T18:57:00Z</dcterms:modified>
</cp:coreProperties>
</file>