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FINAL</w:t>
        <w:br/>
        <w:t>Habilitación de Accesos e Instalación de Pedestales y Barreras</w:t>
      </w:r>
    </w:p>
    <w:p>
      <w:r>
        <w:t>Sector Booster OPP • Pedestales C-18 a C-04</w:t>
        <w:br/>
        <w:t>Recrecimiento de la presa de relaves y diques auxiliares a la cota 4180 • TSF Fase IX • Proyecto 25023</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Control documental</w:t>
            </w:r>
          </w:p>
        </w:tc>
        <w:tc>
          <w:tcPr>
            <w:tcW w:type="dxa" w:w="5040"/>
          </w:tcPr>
          <w:p>
            <w:pPr>
              <w:spacing w:after="80"/>
            </w:pPr>
            <w:r>
              <w:rPr>
                <w:sz w:val="18"/>
              </w:rPr>
              <w:t>Identificación</w:t>
            </w:r>
          </w:p>
        </w:tc>
      </w:tr>
      <w:tr>
        <w:tc>
          <w:tcPr>
            <w:tcW w:type="dxa" w:w="5040"/>
          </w:tcPr>
          <w:p>
            <w:pPr>
              <w:spacing w:after="80"/>
            </w:pPr>
            <w:r>
              <w:rPr>
                <w:sz w:val="18"/>
              </w:rPr>
              <w:t>Código de esta emisión</w:t>
            </w:r>
          </w:p>
        </w:tc>
        <w:tc>
          <w:tcPr>
            <w:tcW w:type="dxa" w:w="5040"/>
          </w:tcPr>
          <w:p>
            <w:pPr>
              <w:spacing w:after="80"/>
            </w:pPr>
            <w:r>
              <w:rPr>
                <w:sz w:val="18"/>
              </w:rPr>
              <w:t>IT-OPP-ACC-RT03</w:t>
            </w:r>
          </w:p>
        </w:tc>
      </w:tr>
      <w:tr>
        <w:tc>
          <w:tcPr>
            <w:tcW w:type="dxa" w:w="5040"/>
          </w:tcPr>
          <w:p>
            <w:pPr>
              <w:spacing w:after="80"/>
            </w:pPr>
            <w:r>
              <w:rPr>
                <w:sz w:val="18"/>
              </w:rPr>
              <w:t>Revisión / fecha</w:t>
            </w:r>
          </w:p>
        </w:tc>
        <w:tc>
          <w:tcPr>
            <w:tcW w:type="dxa" w:w="5040"/>
          </w:tcPr>
          <w:p>
            <w:pPr>
              <w:spacing w:after="80"/>
            </w:pPr>
            <w:r>
              <w:rPr>
                <w:sz w:val="18"/>
              </w:rPr>
              <w:t>RT-03 / 28 de octubre de 2026</w:t>
            </w:r>
          </w:p>
        </w:tc>
      </w:tr>
      <w:tr>
        <w:tc>
          <w:tcPr>
            <w:tcW w:type="dxa" w:w="5040"/>
          </w:tcPr>
          <w:p>
            <w:pPr>
              <w:spacing w:after="80"/>
            </w:pPr>
            <w:r>
              <w:rPr>
                <w:sz w:val="18"/>
              </w:rPr>
              <w:t>Objeto</w:t>
            </w:r>
          </w:p>
        </w:tc>
        <w:tc>
          <w:tcPr>
            <w:tcW w:type="dxa" w:w="5040"/>
          </w:tcPr>
          <w:p>
            <w:pPr>
              <w:spacing w:after="80"/>
            </w:pPr>
            <w:r>
              <w:rPr>
                <w:sz w:val="18"/>
              </w:rPr>
              <w:t>Secuencia de habilitación de accesos, protección de cajones e interacción entre frentes</w:t>
            </w:r>
          </w:p>
        </w:tc>
      </w:tr>
      <w:tr>
        <w:tc>
          <w:tcPr>
            <w:tcW w:type="dxa" w:w="5040"/>
          </w:tcPr>
          <w:p>
            <w:pPr>
              <w:spacing w:after="80"/>
            </w:pPr>
            <w:r>
              <w:rPr>
                <w:sz w:val="18"/>
              </w:rPr>
              <w:t>Base documental</w:t>
            </w:r>
          </w:p>
        </w:tc>
        <w:tc>
          <w:tcPr>
            <w:tcW w:type="dxa" w:w="5040"/>
          </w:tcPr>
          <w:p>
            <w:pPr>
              <w:spacing w:after="80"/>
            </w:pPr>
            <w:r>
              <w:rPr>
                <w:sz w:val="18"/>
              </w:rPr>
              <w:t>Word del solicitante; PETS122 v.03; planos SKT rev.1; Anexo 2 de cálculo</w:t>
            </w:r>
          </w:p>
        </w:tc>
      </w:tr>
      <w:tr>
        <w:tc>
          <w:tcPr>
            <w:tcW w:type="dxa" w:w="5040"/>
          </w:tcPr>
          <w:p>
            <w:pPr>
              <w:spacing w:after="80"/>
            </w:pPr>
            <w:r>
              <w:rPr>
                <w:sz w:val="18"/>
              </w:rPr>
              <w:t>Dato incorporado del solicitante</w:t>
            </w:r>
          </w:p>
        </w:tc>
        <w:tc>
          <w:tcPr>
            <w:tcW w:type="dxa" w:w="5040"/>
          </w:tcPr>
          <w:p>
            <w:pPr>
              <w:spacing w:after="80"/>
            </w:pPr>
            <w:r>
              <w:rPr>
                <w:sz w:val="18"/>
              </w:rPr>
              <w:t>Cada cajón está protegido con geotextil y maderas. Barreras sin instalar; esta memoria usa eucalipto y suelo del Anexo 2 por instrucción expresa.</w:t>
            </w:r>
          </w:p>
        </w:tc>
      </w:tr>
      <w:tr>
        <w:tc>
          <w:tcPr>
            <w:tcW w:type="dxa" w:w="5040"/>
          </w:tcPr>
          <w:p>
            <w:pPr>
              <w:spacing w:after="80"/>
            </w:pPr>
            <w:r>
              <w:rPr>
                <w:sz w:val="18"/>
              </w:rPr>
              <w:t>Alcance de emisión</w:t>
            </w:r>
          </w:p>
        </w:tc>
        <w:tc>
          <w:tcPr>
            <w:tcW w:type="dxa" w:w="5040"/>
          </w:tcPr>
          <w:p>
            <w:pPr>
              <w:spacing w:after="80"/>
            </w:pPr>
            <w:r>
              <w:rPr>
                <w:sz w:val="18"/>
              </w:rPr>
              <w:t>Informe final documental y de método constructivo. No sustituye un plano estructural de barrera ni constituye firma o permiso de la operación.</w:t>
            </w:r>
          </w:p>
        </w:tc>
      </w:tr>
    </w:tbl>
    <w:p/>
    <w:p>
      <w:r>
        <w:drawing>
          <wp:inline xmlns:a="http://schemas.openxmlformats.org/drawingml/2006/main" xmlns:pic="http://schemas.openxmlformats.org/drawingml/2006/picture">
            <wp:extent cx="3856052" cy="2651759"/>
            <wp:docPr id="1" name="Picture 1"/>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Sector de pedestales en la planta PDF 430-SKT-TOP-00171 rev.1. Recorte documental sin trazado de barreras añadido.</w:t>
      </w:r>
    </w:p>
    <w:p>
      <w:r>
        <w:rPr>
          <w:b/>
          <w:color w:val="994A18"/>
        </w:rPr>
        <w:t>DECISIÓN OPERATIVA: habilitación progresiva por sectores, retención en origen mediante cajones protegidos y separación temporal de las actividades que expongan al frente inferior a caída o proyección de materiales. No se autoriza ocupación dentro de la línea de fuego durante dichas actividades.</w:t>
      </w:r>
    </w:p>
    <w:p>
      <w:r>
        <w:br w:type="page"/>
      </w:r>
    </w:p>
    <w:p>
      <w:pPr>
        <w:pStyle w:val="Heading1"/>
      </w:pPr>
      <w:r>
        <w:t>Mapa del informe y memoria de cálculo</w:t>
      </w:r>
    </w:p>
    <w:p>
      <w:r>
        <w:t>El informe integra el método constructivo y una memoria cuantitativa del sistema de retención. La información se organiza por la ruta de la carga, desde el material en origen hasta sus apoyos, para mantener trazabilidad con el Anexo 2.</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Bloque del informe</w:t>
            </w:r>
          </w:p>
        </w:tc>
        <w:tc>
          <w:tcPr>
            <w:tcW w:type="dxa" w:w="5040"/>
          </w:tcPr>
          <w:p>
            <w:pPr>
              <w:spacing w:after="80"/>
            </w:pPr>
            <w:r>
              <w:rPr>
                <w:sz w:val="18"/>
              </w:rPr>
              <w:t>Contenido y aplicación a Booster OPP</w:t>
            </w:r>
          </w:p>
        </w:tc>
      </w:tr>
      <w:tr>
        <w:tc>
          <w:tcPr>
            <w:tcW w:type="dxa" w:w="5040"/>
          </w:tcPr>
          <w:p>
            <w:pPr>
              <w:spacing w:after="80"/>
            </w:pPr>
            <w:r>
              <w:rPr>
                <w:sz w:val="18"/>
              </w:rPr>
              <w:t>§§1–4</w:t>
            </w:r>
          </w:p>
        </w:tc>
        <w:tc>
          <w:tcPr>
            <w:tcW w:type="dxa" w:w="5040"/>
          </w:tcPr>
          <w:p>
            <w:pPr>
              <w:spacing w:after="80"/>
            </w:pPr>
            <w:r>
              <w:rPr>
                <w:sz w:val="18"/>
              </w:rPr>
              <w:t>Objeto, decisión de ejecución, documentos, cajones de madera/geotextil, planta e interferencias C-18 a C-04</w:t>
            </w:r>
          </w:p>
        </w:tc>
      </w:tr>
      <w:tr>
        <w:tc>
          <w:tcPr>
            <w:tcW w:type="dxa" w:w="5040"/>
          </w:tcPr>
          <w:p>
            <w:pPr>
              <w:spacing w:after="80"/>
            </w:pPr>
            <w:r>
              <w:rPr>
                <w:sz w:val="18"/>
              </w:rPr>
              <w:t>§5 y §5A</w:t>
            </w:r>
          </w:p>
        </w:tc>
        <w:tc>
          <w:tcPr>
            <w:tcW w:type="dxa" w:w="5040"/>
          </w:tcPr>
          <w:p>
            <w:pPr>
              <w:spacing w:after="80"/>
            </w:pPr>
            <w:r>
              <w:rPr>
                <w:sz w:val="18"/>
              </w:rPr>
              <w:t>Base documental; bloque, energía, fuerza e interceptación</w:t>
            </w:r>
          </w:p>
        </w:tc>
      </w:tr>
      <w:tr>
        <w:tc>
          <w:tcPr>
            <w:tcW w:type="dxa" w:w="5040"/>
          </w:tcPr>
          <w:p>
            <w:pPr>
              <w:spacing w:after="80"/>
            </w:pPr>
            <w:r>
              <w:rPr>
                <w:sz w:val="18"/>
              </w:rPr>
              <w:t>§§5B–5C</w:t>
            </w:r>
          </w:p>
        </w:tc>
        <w:tc>
          <w:tcPr>
            <w:tcW w:type="dxa" w:w="5040"/>
          </w:tcPr>
          <w:p>
            <w:pPr>
              <w:spacing w:after="80"/>
            </w:pPr>
            <w:r>
              <w:rPr>
                <w:sz w:val="18"/>
              </w:rPr>
              <w:t>Cálculo de malla, contacto, capas, geometría y deformación</w:t>
            </w:r>
          </w:p>
        </w:tc>
      </w:tr>
      <w:tr>
        <w:tc>
          <w:tcPr>
            <w:tcW w:type="dxa" w:w="5040"/>
          </w:tcPr>
          <w:p>
            <w:pPr>
              <w:spacing w:after="80"/>
            </w:pPr>
            <w:r>
              <w:rPr>
                <w:sz w:val="18"/>
              </w:rPr>
              <w:t>§§5D–5F</w:t>
            </w:r>
          </w:p>
        </w:tc>
        <w:tc>
          <w:tcPr>
            <w:tcW w:type="dxa" w:w="5040"/>
          </w:tcPr>
          <w:p>
            <w:pPr>
              <w:spacing w:after="80"/>
            </w:pPr>
            <w:r>
              <w:rPr>
                <w:sz w:val="18"/>
              </w:rPr>
              <w:t>Cables; demanda de postes de eucalipto; retenida y modelos de apoyo</w:t>
            </w:r>
          </w:p>
        </w:tc>
      </w:tr>
      <w:tr>
        <w:tc>
          <w:tcPr>
            <w:tcW w:type="dxa" w:w="5040"/>
          </w:tcPr>
          <w:p>
            <w:pPr>
              <w:spacing w:after="80"/>
            </w:pPr>
            <w:r>
              <w:rPr>
                <w:sz w:val="18"/>
              </w:rPr>
              <w:t>§§5G–5I</w:t>
            </w:r>
          </w:p>
        </w:tc>
        <w:tc>
          <w:tcPr>
            <w:tcW w:type="dxa" w:w="5040"/>
          </w:tcPr>
          <w:p>
            <w:pPr>
              <w:spacing w:after="80"/>
            </w:pPr>
            <w:r>
              <w:rPr>
                <w:sz w:val="18"/>
              </w:rPr>
              <w:t>Retenidas, muertos, profundidad de empotramiento, presión y extremos</w:t>
            </w:r>
          </w:p>
        </w:tc>
      </w:tr>
      <w:tr>
        <w:tc>
          <w:tcPr>
            <w:tcW w:type="dxa" w:w="5040"/>
          </w:tcPr>
          <w:p>
            <w:pPr>
              <w:spacing w:after="80"/>
            </w:pPr>
            <w:r>
              <w:rPr>
                <w:sz w:val="18"/>
              </w:rPr>
              <w:t>§§5J–5K</w:t>
            </w:r>
          </w:p>
        </w:tc>
        <w:tc>
          <w:tcPr>
            <w:tcW w:type="dxa" w:w="5040"/>
          </w:tcPr>
          <w:p>
            <w:pPr>
              <w:spacing w:after="80"/>
            </w:pPr>
            <w:r>
              <w:rPr>
                <w:sz w:val="18"/>
              </w:rPr>
              <w:t>Fijaciones y carga tributaria; cajones y función de madera/geotextil</w:t>
            </w:r>
          </w:p>
        </w:tc>
      </w:tr>
      <w:tr>
        <w:tc>
          <w:tcPr>
            <w:tcW w:type="dxa" w:w="5040"/>
          </w:tcPr>
          <w:p>
            <w:pPr>
              <w:spacing w:after="80"/>
            </w:pPr>
            <w:r>
              <w:rPr>
                <w:sz w:val="18"/>
              </w:rPr>
              <w:t>§5L y §6</w:t>
            </w:r>
          </w:p>
        </w:tc>
        <w:tc>
          <w:tcPr>
            <w:tcW w:type="dxa" w:w="5040"/>
          </w:tcPr>
          <w:p>
            <w:pPr>
              <w:spacing w:after="80"/>
            </w:pPr>
            <w:r>
              <w:rPr>
                <w:sz w:val="18"/>
              </w:rPr>
              <w:t>Metrado modular y síntesis de todos los resultados</w:t>
            </w:r>
          </w:p>
        </w:tc>
      </w:tr>
      <w:tr>
        <w:tc>
          <w:tcPr>
            <w:tcW w:type="dxa" w:w="5040"/>
          </w:tcPr>
          <w:p>
            <w:pPr>
              <w:spacing w:after="80"/>
            </w:pPr>
            <w:r>
              <w:rPr>
                <w:sz w:val="18"/>
              </w:rPr>
              <w:t>§§7–12</w:t>
            </w:r>
          </w:p>
        </w:tc>
        <w:tc>
          <w:tcPr>
            <w:tcW w:type="dxa" w:w="5040"/>
          </w:tcPr>
          <w:p>
            <w:pPr>
              <w:spacing w:after="80"/>
            </w:pPr>
            <w:r>
              <w:rPr>
                <w:sz w:val="18"/>
              </w:rPr>
              <w:t>PETS122, secuencia, matriz de actividades, controles, responsabilidades y dictamen</w:t>
            </w:r>
          </w:p>
        </w:tc>
      </w:tr>
      <w:tr>
        <w:tc>
          <w:tcPr>
            <w:tcW w:type="dxa" w:w="5040"/>
          </w:tcPr>
          <w:p>
            <w:pPr>
              <w:spacing w:after="80"/>
            </w:pPr>
            <w:r>
              <w:rPr>
                <w:sz w:val="18"/>
              </w:rPr>
              <w:t>§13 y anexo fotográfico</w:t>
            </w:r>
          </w:p>
        </w:tc>
        <w:tc>
          <w:tcPr>
            <w:tcW w:type="dxa" w:w="5040"/>
          </w:tcPr>
          <w:p>
            <w:pPr>
              <w:spacing w:after="80"/>
            </w:pPr>
            <w:r>
              <w:rPr>
                <w:sz w:val="18"/>
              </w:rPr>
              <w:t>Referencias, trazabilidad y evidencia gráfica</w:t>
            </w:r>
          </w:p>
        </w:tc>
      </w:tr>
    </w:tbl>
    <w:p/>
    <w:p>
      <w:pPr>
        <w:pStyle w:val="Heading2"/>
      </w:pPr>
      <w:r>
        <w:t>Cómo interpretar los valores</w:t>
      </w:r>
    </w:p>
    <w:p>
      <w:r>
        <w:t>Los valores de entrada tienen origen documental identificado: el eucalipto y el suelo se toman del Anexo 2 por indicación expresa del solicitante. Los resultados son operaciones matemáticas de esos datos. Los cambios de recorrido, diámetro o número de postes se presentan únicamente como sensibilidad del cálculo, sin describirlos como hechos medidos. La especie de cálculo es eucalipto; los resultados no se transfieren a una sustitución por tornillo.</w:t>
      </w:r>
    </w:p>
    <w:p>
      <w:r>
        <w:t>La hoja de cálculo complementaria contiene entradas con fuente, fórmulas reproducibles y un resumen numérico. Los resultados del informe y del resumen se contrastaron mediante cálculo independiente en Python. La hoja recalcula las fórmulas al abrirse en Excel o aplicación compatible.</w:t>
      </w:r>
    </w:p>
    <w:p>
      <w:r>
        <w:br w:type="page"/>
      </w:r>
    </w:p>
    <w:p>
      <w:pPr>
        <w:pStyle w:val="Heading1"/>
      </w:pPr>
      <w:r>
        <w:t>1. Resumen ejecutivo y decisión técnica</w:t>
      </w:r>
    </w:p>
    <w:p>
      <w:r>
        <w:t>El alcance comprende habilitar los caminos de acceso a los pedestales C-18 a C-04, instalar las protecciones complementarias y ejecutar excavación, perforación y anclajes, solado, acero, encofrado, concreto y desencofrado. La intervención se articula con Terratest y OHLA en los niveles inferiores mediante una secuencia sectorizada y un control común de accesos y comunicaciones.</w:t>
      </w:r>
    </w:p>
    <w:p>
      <w:r>
        <w:t>Se incorpora como condición existente comunicada por el solicitante que cada cajón de pedestal está protegido físicamente por geotextil y maderas. El conjunto constituye el primer punto de soporte, reparto local y contención en origen. Sus funciones se distinguen: los elementos de madera reciben y distribuyen las acciones hacia sus apoyos; el geotextil retiene finos y separa materiales, complementando el cerramiento. La resistencia estructural frente a cargas pesadas corresponde al entramado y sus apoyos, no al geotextil por sí solo.</w:t>
      </w:r>
    </w:p>
    <w:p>
      <w:r>
        <w:t>Las dos líneas de barrera complementan la protección de los cajones frente al transporte de material por el talud. El Anexo 2 aporta el modelo energético y un sistema de referencia de doble malla, postes de eucalipto, cables, retenidas y cimentaciones. Esta revisión calcula el sistema con los valores de eucalipto y suelo del Anexo por instrucción del solicitante. El cálculo no constituye un ensayo dinámico ni una certificación del kit.</w:t>
      </w:r>
    </w:p>
    <w:p>
      <w:r>
        <w:t>Ampliación RT-03: la memoria cuantifica la doble malla (RU nominal 0,884), perimetrales, retenidas, anclajes y profundidad mediante el método del Anexo. Completa flexión, cortante y deformación del eucalipto y las fuerzas exigidas a fijaciones y amarres. Su cuadro integrado distingue resultados aritméticos de resistencia dinámica del conjunto.</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Aspecto</w:t>
            </w:r>
          </w:p>
        </w:tc>
        <w:tc>
          <w:tcPr>
            <w:tcW w:type="dxa" w:w="5040"/>
          </w:tcPr>
          <w:p>
            <w:pPr>
              <w:spacing w:after="80"/>
            </w:pPr>
            <w:r>
              <w:rPr>
                <w:sz w:val="18"/>
              </w:rPr>
              <w:t>Decisión que rige el método</w:t>
            </w:r>
          </w:p>
        </w:tc>
      </w:tr>
      <w:tr>
        <w:tc>
          <w:tcPr>
            <w:tcW w:type="dxa" w:w="5040"/>
          </w:tcPr>
          <w:p>
            <w:pPr>
              <w:spacing w:after="80"/>
            </w:pPr>
            <w:r>
              <w:rPr>
                <w:sz w:val="18"/>
              </w:rPr>
              <w:t>Habilitación de caminos, rotura y excavación</w:t>
            </w:r>
          </w:p>
        </w:tc>
        <w:tc>
          <w:tcPr>
            <w:tcW w:type="dxa" w:w="5040"/>
          </w:tcPr>
          <w:p>
            <w:pPr>
              <w:spacing w:after="80"/>
            </w:pPr>
            <w:r>
              <w:rPr>
                <w:sz w:val="18"/>
              </w:rPr>
              <w:t>Se ejecutan con evacuación y bloqueo del nivel inferior dentro de la envolvente de caída.</w:t>
            </w:r>
          </w:p>
        </w:tc>
      </w:tr>
      <w:tr>
        <w:tc>
          <w:tcPr>
            <w:tcW w:type="dxa" w:w="5040"/>
          </w:tcPr>
          <w:p>
            <w:pPr>
              <w:spacing w:after="80"/>
            </w:pPr>
            <w:r>
              <w:rPr>
                <w:sz w:val="18"/>
              </w:rPr>
              <w:t>Cajones de pedestal</w:t>
            </w:r>
          </w:p>
        </w:tc>
        <w:tc>
          <w:tcPr>
            <w:tcW w:type="dxa" w:w="5040"/>
          </w:tcPr>
          <w:p>
            <w:pPr>
              <w:spacing w:after="80"/>
            </w:pPr>
            <w:r>
              <w:rPr>
                <w:sz w:val="18"/>
              </w:rPr>
              <w:t>Se conserva el cerramiento continuo de madera y geotextil; no se retira durante trabajos superiores expuestos.</w:t>
            </w:r>
          </w:p>
        </w:tc>
      </w:tr>
      <w:tr>
        <w:tc>
          <w:tcPr>
            <w:tcW w:type="dxa" w:w="5040"/>
          </w:tcPr>
          <w:p>
            <w:pPr>
              <w:spacing w:after="80"/>
            </w:pPr>
            <w:r>
              <w:rPr>
                <w:sz w:val="18"/>
              </w:rPr>
              <w:t>Montaje y mantenimiento de barreras</w:t>
            </w:r>
          </w:p>
        </w:tc>
        <w:tc>
          <w:tcPr>
            <w:tcW w:type="dxa" w:w="5040"/>
          </w:tcPr>
          <w:p>
            <w:pPr>
              <w:spacing w:after="80"/>
            </w:pPr>
            <w:r>
              <w:rPr>
                <w:sz w:val="18"/>
              </w:rPr>
              <w:t>Se ejecutan con el frente inferior expuesto evacuado; una barrera incompleta no funciona como control habilitante.</w:t>
            </w:r>
          </w:p>
        </w:tc>
      </w:tr>
      <w:tr>
        <w:tc>
          <w:tcPr>
            <w:tcW w:type="dxa" w:w="5040"/>
          </w:tcPr>
          <w:p>
            <w:pPr>
              <w:spacing w:after="80"/>
            </w:pPr>
            <w:r>
              <w:rPr>
                <w:sz w:val="18"/>
              </w:rPr>
              <w:t>Trabajos concurrentes</w:t>
            </w:r>
          </w:p>
        </w:tc>
        <w:tc>
          <w:tcPr>
            <w:tcW w:type="dxa" w:w="5040"/>
          </w:tcPr>
          <w:p>
            <w:pPr>
              <w:spacing w:after="80"/>
            </w:pPr>
            <w:r>
              <w:rPr>
                <w:sz w:val="18"/>
              </w:rPr>
              <w:t>Se mantienen únicamente fuera de la envolvente de caída, proyección y movimiento de equipos del sector activo.</w:t>
            </w:r>
          </w:p>
        </w:tc>
      </w:tr>
      <w:tr>
        <w:tc>
          <w:tcPr>
            <w:tcW w:type="dxa" w:w="5040"/>
          </w:tcPr>
          <w:p>
            <w:pPr>
              <w:spacing w:after="80"/>
            </w:pPr>
            <w:r>
              <w:rPr>
                <w:sz w:val="18"/>
              </w:rPr>
              <w:t>Izaje</w:t>
            </w:r>
          </w:p>
        </w:tc>
        <w:tc>
          <w:tcPr>
            <w:tcW w:type="dxa" w:w="5040"/>
          </w:tcPr>
          <w:p>
            <w:pPr>
              <w:spacing w:after="80"/>
            </w:pPr>
            <w:r>
              <w:rPr>
                <w:sz w:val="18"/>
              </w:rPr>
              <w:t>Se excluye la trayectoria y zona de influencia de la carga suspendida.</w:t>
            </w:r>
          </w:p>
        </w:tc>
      </w:tr>
      <w:tr>
        <w:tc>
          <w:tcPr>
            <w:tcW w:type="dxa" w:w="5040"/>
          </w:tcPr>
          <w:p>
            <w:pPr>
              <w:spacing w:after="80"/>
            </w:pPr>
            <w:r>
              <w:rPr>
                <w:sz w:val="18"/>
              </w:rPr>
              <w:t>Cambio de frente o actividad</w:t>
            </w:r>
          </w:p>
        </w:tc>
        <w:tc>
          <w:tcPr>
            <w:tcW w:type="dxa" w:w="5040"/>
          </w:tcPr>
          <w:p>
            <w:pPr>
              <w:spacing w:after="80"/>
            </w:pPr>
            <w:r>
              <w:rPr>
                <w:sz w:val="18"/>
              </w:rPr>
              <w:t>Se detiene la interacción, se actualiza el análisis del turno y se comunica la nueva secuencia.</w:t>
            </w:r>
          </w:p>
        </w:tc>
      </w:tr>
    </w:tbl>
    <w:p/>
    <w:p>
      <w:r>
        <w:rPr>
          <w:b/>
          <w:color w:val="994A18"/>
        </w:rPr>
        <w:t>La decisión es de ejecución controlada y separación de exposiciones. Los cálculos de referencia no autorizan personas debajo de las labores superiores ni acreditan una probabilidad numérica de retención.</w:t>
      </w:r>
    </w:p>
    <w:p>
      <w:r>
        <w:br w:type="page"/>
      </w:r>
    </w:p>
    <w:p>
      <w:pPr>
        <w:pStyle w:val="Heading1"/>
      </w:pPr>
      <w:r>
        <w:t>2. Objeto, alcance y base documental</w:t>
      </w:r>
    </w:p>
    <w:p>
      <w:pPr>
        <w:pStyle w:val="Heading2"/>
      </w:pPr>
      <w:r>
        <w:t>2.1 Objeto y límites</w:t>
      </w:r>
    </w:p>
    <w:p>
      <w:r>
        <w:t>Establecer el método técnico y operativo para habilitar accesos, instalar pedestales y disponer barreras de retención, manteniendo a los frentes inferiores fuera de la línea de fuego. El ámbito de trabajo es C-18 a C-04; no se extiende a otros sectores por semejanza geométrica. La cota 4180 pertenece al nombre del proyecto y no se utiliza como elevación local de los accesos.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Fuente</w:t>
            </w:r>
          </w:p>
        </w:tc>
        <w:tc>
          <w:tcPr>
            <w:tcW w:type="dxa" w:w="5040"/>
          </w:tcPr>
          <w:p>
            <w:pPr>
              <w:spacing w:after="80"/>
            </w:pPr>
            <w:r>
              <w:rPr>
                <w:sz w:val="18"/>
              </w:rPr>
              <w:t>Información utilizada</w:t>
            </w:r>
          </w:p>
        </w:tc>
      </w:tr>
      <w:tr>
        <w:tc>
          <w:tcPr>
            <w:tcW w:type="dxa" w:w="5040"/>
          </w:tcPr>
          <w:p>
            <w:pPr>
              <w:spacing w:after="80"/>
            </w:pPr>
            <w:r>
              <w:rPr>
                <w:sz w:val="18"/>
              </w:rPr>
              <w:t>D1. INFORME PARA TRABAJOS EN PARALELO.docx</w:t>
            </w:r>
          </w:p>
        </w:tc>
        <w:tc>
          <w:tcPr>
            <w:tcW w:type="dxa" w:w="5040"/>
          </w:tcPr>
          <w:p>
            <w:pPr>
              <w:spacing w:after="80"/>
            </w:pPr>
            <w:r>
              <w:rPr>
                <w:sz w:val="18"/>
              </w:rPr>
              <w:t>Actividades, secuencia inicial, interlocutores, fotografías, protección de cajones y planteamiento de dos filas.</w:t>
            </w:r>
          </w:p>
        </w:tc>
      </w:tr>
      <w:tr>
        <w:tc>
          <w:tcPr>
            <w:tcW w:type="dxa" w:w="5040"/>
          </w:tcPr>
          <w:p>
            <w:pPr>
              <w:spacing w:after="80"/>
            </w:pPr>
            <w:r>
              <w:rPr>
                <w:sz w:val="18"/>
              </w:rPr>
              <w:t>D2. Anexo_2_Memoria_de_calculo_malla_olimpica_y_vertical_Rev2.pdf</w:t>
            </w:r>
          </w:p>
        </w:tc>
        <w:tc>
          <w:tcPr>
            <w:tcW w:type="dxa" w:w="5040"/>
          </w:tcPr>
          <w:p>
            <w:pPr>
              <w:spacing w:after="80"/>
            </w:pPr>
            <w:r>
              <w:rPr>
                <w:sz w:val="18"/>
              </w:rPr>
              <w:t>Bloque de referencia, energías, modelo de fuerza, doble malla y componentes de la barrera del Corredor Este, PK 2+160–2+715.</w:t>
            </w:r>
          </w:p>
        </w:tc>
      </w:tr>
      <w:tr>
        <w:tc>
          <w:tcPr>
            <w:tcW w:type="dxa" w:w="5040"/>
          </w:tcPr>
          <w:p>
            <w:pPr>
              <w:spacing w:after="80"/>
            </w:pPr>
            <w:r>
              <w:rPr>
                <w:sz w:val="18"/>
              </w:rPr>
              <w:t>D3. GSSL-SIND-PETS122, versión 03</w:t>
            </w:r>
          </w:p>
        </w:tc>
        <w:tc>
          <w:tcPr>
            <w:tcW w:type="dxa" w:w="5040"/>
          </w:tcPr>
          <w:p>
            <w:pPr>
              <w:spacing w:after="80"/>
            </w:pPr>
            <w:r>
              <w:rPr>
                <w:sz w:val="18"/>
              </w:rPr>
              <w:t>Conceptos de interacción y simultaneidad; procedimiento §5, p.8; restricciones §6, pp.8–9; registros §7, p.9.</w:t>
            </w:r>
          </w:p>
        </w:tc>
      </w:tr>
      <w:tr>
        <w:tc>
          <w:tcPr>
            <w:tcW w:type="dxa" w:w="5040"/>
          </w:tcPr>
          <w:p>
            <w:pPr>
              <w:spacing w:after="80"/>
            </w:pPr>
            <w:r>
              <w:rPr>
                <w:sz w:val="18"/>
              </w:rPr>
              <w:t>D4. 430-SKT-TOP-00171 rev.1, cuatro PDF</w:t>
            </w:r>
          </w:p>
        </w:tc>
        <w:tc>
          <w:tcPr>
            <w:tcW w:type="dxa" w:w="5040"/>
          </w:tcPr>
          <w:p>
            <w:pPr>
              <w:spacing w:after="80"/>
            </w:pPr>
            <w:r>
              <w:rPr>
                <w:sz w:val="18"/>
              </w:rPr>
              <w:t>Planta y perfiles. Referencia topográfica PSAD56, UTM zona 18 Sur; láminas emitidas SOLO INFORMACIÓN.</w:t>
            </w:r>
          </w:p>
        </w:tc>
      </w:tr>
      <w:tr>
        <w:tc>
          <w:tcPr>
            <w:tcW w:type="dxa" w:w="5040"/>
          </w:tcPr>
          <w:p>
            <w:pPr>
              <w:spacing w:after="80"/>
            </w:pPr>
            <w:r>
              <w:rPr>
                <w:sz w:val="18"/>
              </w:rPr>
              <w:t>D5. DWG del plano SKT</w:t>
            </w:r>
          </w:p>
        </w:tc>
        <w:tc>
          <w:tcPr>
            <w:tcW w:type="dxa" w:w="5040"/>
          </w:tcPr>
          <w:p>
            <w:pPr>
              <w:spacing w:after="80"/>
            </w:pPr>
            <w:r>
              <w:rPr>
                <w:sz w:val="18"/>
              </w:rPr>
              <w:t>Archivo recibido. La lectura técnica de esta emisión utiliza las láminas PDF, sin extraer coordenadas del DWG.</w:t>
            </w:r>
          </w:p>
        </w:tc>
      </w:tr>
      <w:tr>
        <w:tc>
          <w:tcPr>
            <w:tcW w:type="dxa" w:w="5040"/>
          </w:tcPr>
          <w:p>
            <w:pPr>
              <w:spacing w:after="80"/>
            </w:pPr>
            <w:r>
              <w:rPr>
                <w:sz w:val="18"/>
              </w:rPr>
              <w:t>D6. Comunicación directa del solicitante</w:t>
            </w:r>
          </w:p>
        </w:tc>
        <w:tc>
          <w:tcPr>
            <w:tcW w:type="dxa" w:w="5040"/>
          </w:tcPr>
          <w:p>
            <w:pPr>
              <w:spacing w:after="80"/>
            </w:pPr>
            <w:r>
              <w:rPr>
                <w:sz w:val="18"/>
              </w:rPr>
              <w:t>Cajones protegidos por geotextil y maderas; barreras sin instalar; actualización de esta memoria con datos del eucalipto y suelo del Anexo 2.</w:t>
            </w:r>
          </w:p>
        </w:tc>
      </w:tr>
    </w:tbl>
    <w:p/>
    <w:p>
      <w:r>
        <w:t>El Anexo reenviado es idéntico, por SHA-256, al examinado en RT-01. Su nombre contiene “Rev2”, mientras su carátula interior indica Rev.0 y fechas de mayo/octubre de 2026. Para trazabilidad se conserva el nombre recibido y se citan sus páginas; no se altera su autoría, revisión interior ni firmas.</w:t>
      </w:r>
    </w:p>
    <w:p>
      <w:pPr>
        <w:pStyle w:val="Heading2"/>
      </w:pPr>
      <w:r>
        <w:t>2.2 Jerarquía del sustento</w:t>
      </w:r>
    </w:p>
    <w:p>
      <w:r>
        <w:t>El PETS establece la coordinación y las restricciones operativas. El Word fija el alcance constructivo y las interfaces. Los planos describen la geometría documental. El Anexo proporciona un cálculo de referencia de otra configuración. La explicación funcional de madera y geotextil se basa en el mecanismo físico de carga y retención. Para los postes se emplean los valores de eucalipto del Anexo; para el suelo se conservan sus parámetros completos. No se atribuyen resultados de ensayo nuevos.</w:t>
      </w:r>
    </w:p>
    <w:p>
      <w:r>
        <w:br w:type="page"/>
      </w:r>
    </w:p>
    <w:p>
      <w:pPr>
        <w:pStyle w:val="Heading1"/>
      </w:pPr>
      <w:r>
        <w:t>3. Cajones protegidos: primer soporte y contención</w:t>
      </w:r>
    </w:p>
    <w:p>
      <w:r>
        <w:rPr>
          <w:b/>
          <w:color w:val="994A18"/>
        </w:rPr>
        <w:t>Cada cajón de pedestal se encuentra protegido físicamente mediante geotextil y maderas, conforme a la información directa del solicitante. Esta condición se integra al método de trabajo como primera protección en origen.</w:t>
      </w:r>
    </w:p>
    <w:p>
      <w:pPr>
        <w:pStyle w:val="Heading2"/>
      </w:pPr>
      <w:r>
        <w:t>3.1 Mecanismo resistente y distribución de cargas</w:t>
      </w:r>
    </w:p>
    <w:p>
      <w:r>
        <w:t>La ruta de carga del cerramiento es: material contenido → tablones o elementos de madera → apoyos, arriostramientos y fijaciones → terreno o estructura de apoyo. El contacto a través de elementos de madera permite repartir una acción puntual sobre una superficie mayor. La relación física p=P/A explica la reducción de presión media al aumentar el área efectiva de apoyo; la continuidad y rigidez del entramado determinan qué área participa realmente.</w:t>
      </w:r>
    </w:p>
    <w:p>
      <w:r>
        <w:t>En consecuencia, el soporte para distribución de cargas pesadas se atribuye al conjunto de madera y sus apoyos. El geotextil mantiene la continuidad superficial y contiene partículas finas que podrían pasar entre las piezas. Su presencia no convierte un cerramiento en una plataforma para equipos ni prueba resistencia a una carga concentrada. Se excluyen del método el acopio de bloques pesados, tránsito de maquinaria o apoyo de estabilizadores sobre el borde y el cerramiento del cajón.</w:t>
      </w:r>
    </w:p>
    <w:p>
      <w:pPr>
        <w:pStyle w:val="Heading2"/>
      </w:pPr>
      <w:r>
        <w:t>3.2 Función del geotextil</w:t>
      </w:r>
    </w:p>
    <w:p>
      <w:r>
        <w:t>En esta disposición el geotextil se emplea como elemento de retención de finos, separación y protección del contacto entre materiales. Se evita la pérdida de partículas pequeñas a través de discontinuidades del cerramiento y el contacto directo de finos con las aberturas de las protecciones. Filtración, drenaje y refuerzo son funciones específicas que no se atribuyen automáticamente a cualquier geotextil por el solo hecho de estar instalado.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w:t>
            </w:r>
          </w:p>
        </w:tc>
        <w:tc>
          <w:tcPr>
            <w:tcW w:type="dxa" w:w="3360"/>
          </w:tcPr>
          <w:p>
            <w:pPr>
              <w:spacing w:after="80"/>
            </w:pPr>
            <w:r>
              <w:rPr>
                <w:sz w:val="18"/>
              </w:rPr>
              <w:t>Función dentro del método</w:t>
            </w:r>
          </w:p>
        </w:tc>
        <w:tc>
          <w:tcPr>
            <w:tcW w:type="dxa" w:w="3360"/>
          </w:tcPr>
          <w:p>
            <w:pPr>
              <w:spacing w:after="80"/>
            </w:pPr>
            <w:r>
              <w:rPr>
                <w:sz w:val="18"/>
              </w:rPr>
              <w:t>Acción excluida</w:t>
            </w:r>
          </w:p>
        </w:tc>
      </w:tr>
      <w:tr>
        <w:tc>
          <w:tcPr>
            <w:tcW w:type="dxa" w:w="3360"/>
          </w:tcPr>
          <w:p>
            <w:pPr>
              <w:spacing w:after="80"/>
            </w:pPr>
            <w:r>
              <w:rPr>
                <w:sz w:val="18"/>
              </w:rPr>
              <w:t>Maderas</w:t>
            </w:r>
          </w:p>
        </w:tc>
        <w:tc>
          <w:tcPr>
            <w:tcW w:type="dxa" w:w="3360"/>
          </w:tcPr>
          <w:p>
            <w:pPr>
              <w:spacing w:after="80"/>
            </w:pPr>
            <w:r>
              <w:rPr>
                <w:sz w:val="18"/>
              </w:rPr>
              <w:t>Soporte del cerramiento y reparto local hacia apoyos</w:t>
            </w:r>
          </w:p>
        </w:tc>
        <w:tc>
          <w:tcPr>
            <w:tcW w:type="dxa" w:w="3360"/>
          </w:tcPr>
          <w:p>
            <w:pPr>
              <w:spacing w:after="80"/>
            </w:pPr>
            <w:r>
              <w:rPr>
                <w:sz w:val="18"/>
              </w:rPr>
              <w:t>Usar tablas sueltas como puente o piso de circulación pesada</w:t>
            </w:r>
          </w:p>
        </w:tc>
      </w:tr>
      <w:tr>
        <w:tc>
          <w:tcPr>
            <w:tcW w:type="dxa" w:w="3360"/>
          </w:tcPr>
          <w:p>
            <w:pPr>
              <w:spacing w:after="80"/>
            </w:pPr>
            <w:r>
              <w:rPr>
                <w:sz w:val="18"/>
              </w:rPr>
              <w:t>Geotextil</w:t>
            </w:r>
          </w:p>
        </w:tc>
        <w:tc>
          <w:tcPr>
            <w:tcW w:type="dxa" w:w="3360"/>
          </w:tcPr>
          <w:p>
            <w:pPr>
              <w:spacing w:after="80"/>
            </w:pPr>
            <w:r>
              <w:rPr>
                <w:sz w:val="18"/>
              </w:rPr>
              <w:t>Contención superficial de finos y separación</w:t>
            </w:r>
          </w:p>
        </w:tc>
        <w:tc>
          <w:tcPr>
            <w:tcW w:type="dxa" w:w="3360"/>
          </w:tcPr>
          <w:p>
            <w:pPr>
              <w:spacing w:after="80"/>
            </w:pPr>
            <w:r>
              <w:rPr>
                <w:sz w:val="18"/>
              </w:rPr>
              <w:t>Asignarle la resistencia de una viga, red antirrocas o losa</w:t>
            </w:r>
          </w:p>
        </w:tc>
      </w:tr>
      <w:tr>
        <w:tc>
          <w:tcPr>
            <w:tcW w:type="dxa" w:w="3360"/>
          </w:tcPr>
          <w:p>
            <w:pPr>
              <w:spacing w:after="80"/>
            </w:pPr>
            <w:r>
              <w:rPr>
                <w:sz w:val="18"/>
              </w:rPr>
              <w:t>Fijaciones y apoyos</w:t>
            </w:r>
          </w:p>
        </w:tc>
        <w:tc>
          <w:tcPr>
            <w:tcW w:type="dxa" w:w="3360"/>
          </w:tcPr>
          <w:p>
            <w:pPr>
              <w:spacing w:after="80"/>
            </w:pPr>
            <w:r>
              <w:rPr>
                <w:sz w:val="18"/>
              </w:rPr>
              <w:t>Mantener continuidad y transmitir acciones</w:t>
            </w:r>
          </w:p>
        </w:tc>
        <w:tc>
          <w:tcPr>
            <w:tcW w:type="dxa" w:w="3360"/>
          </w:tcPr>
          <w:p>
            <w:pPr>
              <w:spacing w:after="80"/>
            </w:pPr>
            <w:r>
              <w:rPr>
                <w:sz w:val="18"/>
              </w:rPr>
              <w:t>Retirar fijaciones con el nivel inferior ocupado</w:t>
            </w:r>
          </w:p>
        </w:tc>
      </w:tr>
      <w:tr>
        <w:tc>
          <w:tcPr>
            <w:tcW w:type="dxa" w:w="3360"/>
          </w:tcPr>
          <w:p>
            <w:pPr>
              <w:spacing w:after="80"/>
            </w:pPr>
            <w:r>
              <w:rPr>
                <w:sz w:val="18"/>
              </w:rPr>
              <w:t>Conjunto del cajón</w:t>
            </w:r>
          </w:p>
        </w:tc>
        <w:tc>
          <w:tcPr>
            <w:tcW w:type="dxa" w:w="3360"/>
          </w:tcPr>
          <w:p>
            <w:pPr>
              <w:spacing w:after="80"/>
            </w:pPr>
            <w:r>
              <w:rPr>
                <w:sz w:val="18"/>
              </w:rPr>
              <w:t>Primera protección antes del transporte por el talud</w:t>
            </w:r>
          </w:p>
        </w:tc>
        <w:tc>
          <w:tcPr>
            <w:tcW w:type="dxa" w:w="3360"/>
          </w:tcPr>
          <w:p>
            <w:pPr>
              <w:spacing w:after="80"/>
            </w:pPr>
            <w:r>
              <w:rPr>
                <w:sz w:val="18"/>
              </w:rPr>
              <w:t>Usarlo para justificar trabajo bajo caída libre de bloques</w:t>
            </w:r>
          </w:p>
        </w:tc>
      </w:tr>
    </w:tbl>
    <w:p/>
    <w:p>
      <w:pPr>
        <w:pStyle w:val="Heading2"/>
      </w:pPr>
      <w:r>
        <w:t>3.3 Conservación durante la obra</w:t>
      </w:r>
    </w:p>
    <w:p>
      <w:r>
        <w:t>El cerramiento permanece continuo, sin huecos de descarga hacia el talud. El material suelto se retira de forma controlada; no se almacena contra la protección para incrementar su altura. Las piezas dañadas y los geotextiles cortados se reemplazan con el sector inferior excluido. No se libera material contenido cortando la protección ni se acumulan escombros sobre ella.</w:t>
      </w:r>
    </w:p>
    <w:p>
      <w:r>
        <w:br w:type="page"/>
      </w:r>
    </w:p>
    <w:p>
      <w:pPr>
        <w:pStyle w:val="Heading1"/>
      </w:pPr>
      <w:r>
        <w:t>4. Terreno, accesos y envolvente de interacción</w:t>
      </w:r>
    </w:p>
    <w:p>
      <w:r>
        <w:drawing>
          <wp:inline xmlns:a="http://schemas.openxmlformats.org/drawingml/2006/main" xmlns:pic="http://schemas.openxmlformats.org/drawingml/2006/picture">
            <wp:extent cx="3856052" cy="2651759"/>
            <wp:docPr id="2" name="Picture 2"/>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Figura 1. Planta del sector Booster OPP. La imagen se utiliza para coordinación documental; no representa una poligonal de exclusión aprobada.</w:t>
      </w:r>
    </w:p>
    <w:p>
      <w:r>
        <w:t>Las láminas muestran pendientes variables y perfiles de pedestales y puntos intermedios. Las elevaciones locales representadas en parte de los perfiles se sitúan aproximadamente entre 3830 y 3920 msnm. La longitud recorrida sobre el talud y el desnivel vertical son magnitudes diferentes: la energía potencial depende del desnivel hasta el impacto.</w:t>
      </w:r>
    </w:p>
    <w:p>
      <w:r>
        <w:t>El acceso a cada pedestal se habilita desde un frente controlado, sin abrir varios puntos de descarga en la misma vertical. El material excavado se recoge y retira; no se vierte libremente sobre el talud ni se empuja hacia el borde. Las herramientas y los componentes se trasladan asegurados. Las rutas de personas, equipos, mangueras y suministros permanecen separadas del área de caída y de las maniobras.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Interfaz</w:t>
            </w:r>
          </w:p>
        </w:tc>
        <w:tc>
          <w:tcPr>
            <w:tcW w:type="dxa" w:w="5040"/>
          </w:tcPr>
          <w:p>
            <w:pPr>
              <w:spacing w:after="80"/>
            </w:pPr>
            <w:r>
              <w:rPr>
                <w:sz w:val="18"/>
              </w:rPr>
              <w:t>Contenido del control de turno</w:t>
            </w:r>
          </w:p>
        </w:tc>
      </w:tr>
      <w:tr>
        <w:tc>
          <w:tcPr>
            <w:tcW w:type="dxa" w:w="5040"/>
          </w:tcPr>
          <w:p>
            <w:pPr>
              <w:spacing w:after="80"/>
            </w:pPr>
            <w:r>
              <w:rPr>
                <w:sz w:val="18"/>
              </w:rPr>
              <w:t>Sector superior activo</w:t>
            </w:r>
          </w:p>
        </w:tc>
        <w:tc>
          <w:tcPr>
            <w:tcW w:type="dxa" w:w="5040"/>
          </w:tcPr>
          <w:p>
            <w:pPr>
              <w:spacing w:after="80"/>
            </w:pPr>
            <w:r>
              <w:rPr>
                <w:sz w:val="18"/>
              </w:rPr>
              <w:t>Pedestal, actividad, equipos, fuente de caída y recorrido de materiales</w:t>
            </w:r>
          </w:p>
        </w:tc>
      </w:tr>
      <w:tr>
        <w:tc>
          <w:tcPr>
            <w:tcW w:type="dxa" w:w="5040"/>
          </w:tcPr>
          <w:p>
            <w:pPr>
              <w:spacing w:after="80"/>
            </w:pPr>
            <w:r>
              <w:rPr>
                <w:sz w:val="18"/>
              </w:rPr>
              <w:t>Terratest / OHLA, nivel inferior</w:t>
            </w:r>
          </w:p>
        </w:tc>
        <w:tc>
          <w:tcPr>
            <w:tcW w:type="dxa" w:w="5040"/>
          </w:tcPr>
          <w:p>
            <w:pPr>
              <w:spacing w:after="80"/>
            </w:pPr>
            <w:r>
              <w:rPr>
                <w:sz w:val="18"/>
              </w:rPr>
              <w:t>Personas, equipos, instalaciones, accesos y servicios expuestos</w:t>
            </w:r>
          </w:p>
        </w:tc>
      </w:tr>
      <w:tr>
        <w:tc>
          <w:tcPr>
            <w:tcW w:type="dxa" w:w="5040"/>
          </w:tcPr>
          <w:p>
            <w:pPr>
              <w:spacing w:after="80"/>
            </w:pPr>
            <w:r>
              <w:rPr>
                <w:sz w:val="18"/>
              </w:rPr>
              <w:t>Barreras y cajones</w:t>
            </w:r>
          </w:p>
        </w:tc>
        <w:tc>
          <w:tcPr>
            <w:tcW w:type="dxa" w:w="5040"/>
          </w:tcPr>
          <w:p>
            <w:pPr>
              <w:spacing w:after="80"/>
            </w:pPr>
            <w:r>
              <w:rPr>
                <w:sz w:val="18"/>
              </w:rPr>
              <w:t>Continuidad, extremos, altura útil, daño y acumulación</w:t>
            </w:r>
          </w:p>
        </w:tc>
      </w:tr>
      <w:tr>
        <w:tc>
          <w:tcPr>
            <w:tcW w:type="dxa" w:w="5040"/>
          </w:tcPr>
          <w:p>
            <w:pPr>
              <w:spacing w:after="80"/>
            </w:pPr>
            <w:r>
              <w:rPr>
                <w:sz w:val="18"/>
              </w:rPr>
              <w:t>Envolvente de interacción</w:t>
            </w:r>
          </w:p>
        </w:tc>
        <w:tc>
          <w:tcPr>
            <w:tcW w:type="dxa" w:w="5040"/>
          </w:tcPr>
          <w:p>
            <w:pPr>
              <w:spacing w:after="80"/>
            </w:pPr>
            <w:r>
              <w:rPr>
                <w:sz w:val="18"/>
              </w:rPr>
              <w:t>Caída, rodadura, rebote, proyección, desplazamiento de protección y escape lateral</w:t>
            </w:r>
          </w:p>
        </w:tc>
      </w:tr>
      <w:tr>
        <w:tc>
          <w:tcPr>
            <w:tcW w:type="dxa" w:w="5040"/>
          </w:tcPr>
          <w:p>
            <w:pPr>
              <w:spacing w:after="80"/>
            </w:pPr>
            <w:r>
              <w:rPr>
                <w:sz w:val="18"/>
              </w:rPr>
              <w:t>Rutas seguras</w:t>
            </w:r>
          </w:p>
        </w:tc>
        <w:tc>
          <w:tcPr>
            <w:tcW w:type="dxa" w:w="5040"/>
          </w:tcPr>
          <w:p>
            <w:pPr>
              <w:spacing w:after="80"/>
            </w:pPr>
            <w:r>
              <w:rPr>
                <w:sz w:val="18"/>
              </w:rPr>
              <w:t>Puntos de acceso, bloqueo, evacuación y reunión de supervisores</w:t>
            </w:r>
          </w:p>
        </w:tc>
      </w:tr>
    </w:tbl>
    <w:p/>
    <w:p>
      <w:r>
        <w:t>La envolvente de exclusión no se reduce a una línea vertical desde el pedestal. Incluye los escapes laterales y los rebotes asociados a los cambios de pendiente. No se adopta un retiro universal en metros a partir de una fotografía o de la escala de este recorte. El bloqueo operativo abarca el recorrido completo de exposición del sector activo.</w:t>
      </w:r>
    </w:p>
    <w:p>
      <w:r>
        <w:br w:type="page"/>
      </w:r>
    </w:p>
    <w:p>
      <w:pPr>
        <w:pStyle w:val="Heading1"/>
      </w:pPr>
      <w:r>
        <w:t>5. Memoria de cálculo integrada — Booster OPP</w:t>
      </w:r>
    </w:p>
    <w:p>
      <w:r>
        <w:t>Objeto de la memoria. Cuantificar la demanda de impacto, el comportamiento resistente de la doble malla, sus cables, postes, retenidas, apoyos y extremos para la solución de protección de accesos a C-18 a C-04. Los valores de entrada proceden del Anexo 2 y se aplican como base documental de cálculo para organizar la protección de Booster OPP; no se alteran los resultados del RocFall original ni se presentan como trayectorias calculadas para los pedestales.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Parámetro / unidad</w:t>
            </w:r>
          </w:p>
        </w:tc>
        <w:tc>
          <w:tcPr>
            <w:tcW w:type="dxa" w:w="3360"/>
          </w:tcPr>
          <w:p>
            <w:pPr>
              <w:spacing w:after="80"/>
            </w:pPr>
            <w:r>
              <w:rPr>
                <w:sz w:val="18"/>
              </w:rPr>
              <w:t>Valor de cálculo</w:t>
            </w:r>
          </w:p>
        </w:tc>
        <w:tc>
          <w:tcPr>
            <w:tcW w:type="dxa" w:w="3360"/>
          </w:tcPr>
          <w:p>
            <w:pPr>
              <w:spacing w:after="80"/>
            </w:pPr>
            <w:r>
              <w:rPr>
                <w:sz w:val="18"/>
              </w:rPr>
              <w:t>Procedencia</w:t>
            </w:r>
          </w:p>
        </w:tc>
      </w:tr>
      <w:tr>
        <w:tc>
          <w:tcPr>
            <w:tcW w:type="dxa" w:w="3360"/>
          </w:tcPr>
          <w:p>
            <w:pPr>
              <w:spacing w:after="80"/>
            </w:pPr>
            <w:r>
              <w:rPr>
                <w:sz w:val="18"/>
              </w:rPr>
              <w:t>Masa / diámetro del bloque</w:t>
            </w:r>
          </w:p>
        </w:tc>
        <w:tc>
          <w:tcPr>
            <w:tcW w:type="dxa" w:w="3360"/>
          </w:tcPr>
          <w:p>
            <w:pPr>
              <w:spacing w:after="80"/>
            </w:pPr>
            <w:r>
              <w:rPr>
                <w:sz w:val="18"/>
              </w:rPr>
              <w:t>1 020 kg / 0,914 m</w:t>
            </w:r>
          </w:p>
        </w:tc>
        <w:tc>
          <w:tcPr>
            <w:tcW w:type="dxa" w:w="3360"/>
          </w:tcPr>
          <w:p>
            <w:pPr>
              <w:spacing w:after="80"/>
            </w:pPr>
            <w:r>
              <w:rPr>
                <w:sz w:val="18"/>
              </w:rPr>
              <w:t>Anexo 2 §4.1, p.5</w:t>
            </w:r>
          </w:p>
        </w:tc>
      </w:tr>
      <w:tr>
        <w:tc>
          <w:tcPr>
            <w:tcW w:type="dxa" w:w="3360"/>
          </w:tcPr>
          <w:p>
            <w:pPr>
              <w:spacing w:after="80"/>
            </w:pPr>
            <w:r>
              <w:rPr>
                <w:sz w:val="18"/>
              </w:rPr>
              <w:t>Ek de referencia</w:t>
            </w:r>
          </w:p>
        </w:tc>
        <w:tc>
          <w:tcPr>
            <w:tcW w:type="dxa" w:w="3360"/>
          </w:tcPr>
          <w:p>
            <w:pPr>
              <w:spacing w:after="80"/>
            </w:pPr>
            <w:r>
              <w:rPr>
                <w:sz w:val="18"/>
              </w:rPr>
              <w:t>9,20 y 12,80 kJ</w:t>
            </w:r>
          </w:p>
        </w:tc>
        <w:tc>
          <w:tcPr>
            <w:tcW w:type="dxa" w:w="3360"/>
          </w:tcPr>
          <w:p>
            <w:pPr>
              <w:spacing w:after="80"/>
            </w:pPr>
            <w:r>
              <w:rPr>
                <w:sz w:val="18"/>
              </w:rPr>
              <w:t>Anexo 2 §4.2, p.5</w:t>
            </w:r>
          </w:p>
        </w:tc>
      </w:tr>
      <w:tr>
        <w:tc>
          <w:tcPr>
            <w:tcW w:type="dxa" w:w="3360"/>
          </w:tcPr>
          <w:p>
            <w:pPr>
              <w:spacing w:after="80"/>
            </w:pPr>
            <w:r>
              <w:rPr>
                <w:sz w:val="18"/>
              </w:rPr>
              <w:t>Factor energético</w:t>
            </w:r>
          </w:p>
        </w:tc>
        <w:tc>
          <w:tcPr>
            <w:tcW w:type="dxa" w:w="3360"/>
          </w:tcPr>
          <w:p>
            <w:pPr>
              <w:spacing w:after="80"/>
            </w:pPr>
            <w:r>
              <w:rPr>
                <w:sz w:val="18"/>
              </w:rPr>
              <w:t>1,30</w:t>
            </w:r>
          </w:p>
        </w:tc>
        <w:tc>
          <w:tcPr>
            <w:tcW w:type="dxa" w:w="3360"/>
          </w:tcPr>
          <w:p>
            <w:pPr>
              <w:spacing w:after="80"/>
            </w:pPr>
            <w:r>
              <w:rPr>
                <w:sz w:val="18"/>
              </w:rPr>
              <w:t>Anexo 2 §6.1, p.7</w:t>
            </w:r>
          </w:p>
        </w:tc>
      </w:tr>
      <w:tr>
        <w:tc>
          <w:tcPr>
            <w:tcW w:type="dxa" w:w="3360"/>
          </w:tcPr>
          <w:p>
            <w:pPr>
              <w:spacing w:after="80"/>
            </w:pPr>
            <w:r>
              <w:rPr>
                <w:sz w:val="18"/>
              </w:rPr>
              <w:t>Recorrido global / flecha local</w:t>
            </w:r>
          </w:p>
        </w:tc>
        <w:tc>
          <w:tcPr>
            <w:tcW w:type="dxa" w:w="3360"/>
          </w:tcPr>
          <w:p>
            <w:pPr>
              <w:spacing w:after="80"/>
            </w:pPr>
            <w:r>
              <w:rPr>
                <w:sz w:val="18"/>
              </w:rPr>
              <w:t>1,50 m / 0,50 m</w:t>
            </w:r>
          </w:p>
        </w:tc>
        <w:tc>
          <w:tcPr>
            <w:tcW w:type="dxa" w:w="3360"/>
          </w:tcPr>
          <w:p>
            <w:pPr>
              <w:spacing w:after="80"/>
            </w:pPr>
            <w:r>
              <w:rPr>
                <w:sz w:val="18"/>
              </w:rPr>
              <w:t>Anexo 2 §§6.3 y 7.12, pp.7 y 9</w:t>
            </w:r>
          </w:p>
        </w:tc>
      </w:tr>
      <w:tr>
        <w:tc>
          <w:tcPr>
            <w:tcW w:type="dxa" w:w="3360"/>
          </w:tcPr>
          <w:p>
            <w:pPr>
              <w:spacing w:after="80"/>
            </w:pPr>
            <w:r>
              <w:rPr>
                <w:sz w:val="18"/>
              </w:rPr>
              <w:t>Malla: capas / diámetro / abertura</w:t>
            </w:r>
          </w:p>
        </w:tc>
        <w:tc>
          <w:tcPr>
            <w:tcW w:type="dxa" w:w="3360"/>
          </w:tcPr>
          <w:p>
            <w:pPr>
              <w:spacing w:after="80"/>
            </w:pPr>
            <w:r>
              <w:rPr>
                <w:sz w:val="18"/>
              </w:rPr>
              <w:t>2 / 2,77 mm / 50,8 mm</w:t>
            </w:r>
          </w:p>
        </w:tc>
        <w:tc>
          <w:tcPr>
            <w:tcW w:type="dxa" w:w="3360"/>
          </w:tcPr>
          <w:p>
            <w:pPr>
              <w:spacing w:after="80"/>
            </w:pPr>
            <w:r>
              <w:rPr>
                <w:sz w:val="18"/>
              </w:rPr>
              <w:t>Anexo 2 §5.2, p.6</w:t>
            </w:r>
          </w:p>
        </w:tc>
      </w:tr>
      <w:tr>
        <w:tc>
          <w:tcPr>
            <w:tcW w:type="dxa" w:w="3360"/>
          </w:tcPr>
          <w:p>
            <w:pPr>
              <w:spacing w:after="80"/>
            </w:pPr>
            <w:r>
              <w:rPr>
                <w:sz w:val="18"/>
              </w:rPr>
              <w:t>fu alambre / eficiencia del modelo</w:t>
            </w:r>
          </w:p>
        </w:tc>
        <w:tc>
          <w:tcPr>
            <w:tcW w:type="dxa" w:w="3360"/>
          </w:tcPr>
          <w:p>
            <w:pPr>
              <w:spacing w:after="80"/>
            </w:pPr>
            <w:r>
              <w:rPr>
                <w:sz w:val="18"/>
              </w:rPr>
              <w:t>539,4 MPa / 0,50</w:t>
            </w:r>
          </w:p>
        </w:tc>
        <w:tc>
          <w:tcPr>
            <w:tcW w:type="dxa" w:w="3360"/>
          </w:tcPr>
          <w:p>
            <w:pPr>
              <w:spacing w:after="80"/>
            </w:pPr>
            <w:r>
              <w:rPr>
                <w:sz w:val="18"/>
              </w:rPr>
              <w:t>Anexo 2 §7.12, p.10</w:t>
            </w:r>
          </w:p>
        </w:tc>
      </w:tr>
      <w:tr>
        <w:tc>
          <w:tcPr>
            <w:tcW w:type="dxa" w:w="3360"/>
          </w:tcPr>
          <w:p>
            <w:pPr>
              <w:spacing w:after="80"/>
            </w:pPr>
            <w:r>
              <w:rPr>
                <w:sz w:val="18"/>
              </w:rPr>
              <w:t>Altura / separación de postes</w:t>
            </w:r>
          </w:p>
        </w:tc>
        <w:tc>
          <w:tcPr>
            <w:tcW w:type="dxa" w:w="3360"/>
          </w:tcPr>
          <w:p>
            <w:pPr>
              <w:spacing w:after="80"/>
            </w:pPr>
            <w:r>
              <w:rPr>
                <w:sz w:val="18"/>
              </w:rPr>
              <w:t>2,00 m / 2,50 m</w:t>
            </w:r>
          </w:p>
        </w:tc>
        <w:tc>
          <w:tcPr>
            <w:tcW w:type="dxa" w:w="3360"/>
          </w:tcPr>
          <w:p>
            <w:pPr>
              <w:spacing w:after="80"/>
            </w:pPr>
            <w:r>
              <w:rPr>
                <w:sz w:val="18"/>
              </w:rPr>
              <w:t>Anexo 2 §5.1, p.6</w:t>
            </w:r>
          </w:p>
        </w:tc>
      </w:tr>
      <w:tr>
        <w:tc>
          <w:tcPr>
            <w:tcW w:type="dxa" w:w="3360"/>
          </w:tcPr>
          <w:p>
            <w:pPr>
              <w:spacing w:after="80"/>
            </w:pPr>
            <w:r>
              <w:rPr>
                <w:sz w:val="18"/>
              </w:rPr>
              <w:t>Suelo: γ / φ / c / Kp</w:t>
            </w:r>
          </w:p>
        </w:tc>
        <w:tc>
          <w:tcPr>
            <w:tcW w:type="dxa" w:w="3360"/>
          </w:tcPr>
          <w:p>
            <w:pPr>
              <w:spacing w:after="80"/>
            </w:pPr>
            <w:r>
              <w:rPr>
                <w:sz w:val="18"/>
              </w:rPr>
              <w:t>19 kN/m³ / 37° / 0 / 4,02</w:t>
            </w:r>
          </w:p>
        </w:tc>
        <w:tc>
          <w:tcPr>
            <w:tcW w:type="dxa" w:w="3360"/>
          </w:tcPr>
          <w:p>
            <w:pPr>
              <w:spacing w:after="80"/>
            </w:pPr>
            <w:r>
              <w:rPr>
                <w:sz w:val="18"/>
              </w:rPr>
              <w:t>Anexo 2 §4.3, pp.5–6</w:t>
            </w:r>
          </w:p>
        </w:tc>
      </w:tr>
      <w:tr>
        <w:tc>
          <w:tcPr>
            <w:tcW w:type="dxa" w:w="3360"/>
          </w:tcPr>
          <w:p>
            <w:pPr>
              <w:spacing w:after="80"/>
            </w:pPr>
            <w:r>
              <w:rPr>
                <w:sz w:val="18"/>
              </w:rPr>
              <w:t>qadm de comparación / γ concreto</w:t>
            </w:r>
          </w:p>
        </w:tc>
        <w:tc>
          <w:tcPr>
            <w:tcW w:type="dxa" w:w="3360"/>
          </w:tcPr>
          <w:p>
            <w:pPr>
              <w:spacing w:after="80"/>
            </w:pPr>
            <w:r>
              <w:rPr>
                <w:sz w:val="18"/>
              </w:rPr>
              <w:t>383 kPa / 23 kN/m³</w:t>
            </w:r>
          </w:p>
        </w:tc>
        <w:tc>
          <w:tcPr>
            <w:tcW w:type="dxa" w:w="3360"/>
          </w:tcPr>
          <w:p>
            <w:pPr>
              <w:spacing w:after="80"/>
            </w:pPr>
            <w:r>
              <w:rPr>
                <w:sz w:val="18"/>
              </w:rPr>
              <w:t>Anexo 2, p.6</w:t>
            </w:r>
          </w:p>
        </w:tc>
      </w:tr>
      <w:tr>
        <w:tc>
          <w:tcPr>
            <w:tcW w:type="dxa" w:w="3360"/>
          </w:tcPr>
          <w:p>
            <w:pPr>
              <w:spacing w:after="80"/>
            </w:pPr>
            <w:r>
              <w:rPr>
                <w:sz w:val="18"/>
              </w:rPr>
              <w:t>Madera de cálculo en esta emisión</w:t>
            </w:r>
          </w:p>
        </w:tc>
        <w:tc>
          <w:tcPr>
            <w:tcW w:type="dxa" w:w="3360"/>
          </w:tcPr>
          <w:p>
            <w:pPr>
              <w:spacing w:after="80"/>
            </w:pPr>
            <w:r>
              <w:rPr>
                <w:sz w:val="18"/>
              </w:rPr>
              <w:t>Eucalipto del Anexo 2</w:t>
            </w:r>
          </w:p>
        </w:tc>
        <w:tc>
          <w:tcPr>
            <w:tcW w:type="dxa" w:w="3360"/>
          </w:tcPr>
          <w:p>
            <w:pPr>
              <w:spacing w:after="80"/>
            </w:pPr>
            <w:r>
              <w:rPr>
                <w:sz w:val="18"/>
              </w:rPr>
              <w:t>Indicación expresa del solicitante</w:t>
            </w:r>
          </w:p>
        </w:tc>
      </w:tr>
    </w:tbl>
    <w:p/>
    <w:p>
      <w:pPr>
        <w:pStyle w:val="Heading2"/>
      </w:pPr>
      <w:r>
        <w:t>5.1 Criterio de aplicación a C-18 a C-04</w:t>
      </w:r>
    </w:p>
    <w:p>
      <w:r>
        <w:t>Se utiliza la mayor energía del Anexo, Ed=16,64 kJ, como referencia única para las comprobaciones envolventes de esta memoria OPP; se mantiene S1 en tablas para contrastar la aritmética. No se reparten sectores PK del Corredor Este entre pedestales ni se inventan nuevas ubicaciones o coordenadas de barreras. Los cálculos siguen separados en: demanda del modelo documental, comparación de componentes del Anexo y comprobaciones resistentes para el eucalipto del Anexo.</w:t>
      </w:r>
    </w:p>
    <w:p>
      <w:r>
        <w:rPr>
          <w:b/>
          <w:color w:val="994A18"/>
        </w:rPr>
        <w:t>Una verificación numérica contra los valores del Anexo es un resultado del modelo, no una certificación dinámica del sistema instalado en OPP. Las restricciones operativas de §§7–12 forman parte del resultado técnico.</w:t>
      </w:r>
    </w:p>
    <w:p>
      <w:r>
        <w:br w:type="page"/>
      </w:r>
    </w:p>
    <w:p>
      <w:pPr>
        <w:pStyle w:val="Heading1"/>
      </w:pPr>
      <w:r>
        <w:t>5A. Bloque, energía y altura de interceptación</w:t>
      </w:r>
    </w:p>
    <w:p>
      <w:pPr>
        <w:pStyle w:val="Heading2"/>
      </w:pPr>
      <w:r>
        <w:t>5A.1 Consistencia del bloque y demanda</w:t>
      </w:r>
    </w:p>
    <w:p>
      <w:r>
        <w:t>Volumen esférico equivalente V=πD³/6=0,3998 m³. Densidad ρ=m/V=2551,3 kg/m³. La consistencia de masa y volumen no representa una caracterización de todos los fragmentos del frente OPP.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 ecuación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Et=½mv², con v de D2</w:t>
            </w:r>
          </w:p>
        </w:tc>
        <w:tc>
          <w:tcPr>
            <w:tcW w:type="dxa" w:w="3360"/>
          </w:tcPr>
          <w:p>
            <w:pPr>
              <w:spacing w:after="80"/>
            </w:pPr>
            <w:r>
              <w:rPr>
                <w:sz w:val="18"/>
              </w:rPr>
              <w:t>6,610 kJ</w:t>
            </w:r>
          </w:p>
        </w:tc>
        <w:tc>
          <w:tcPr>
            <w:tcW w:type="dxa" w:w="3360"/>
          </w:tcPr>
          <w:p>
            <w:pPr>
              <w:spacing w:after="80"/>
            </w:pPr>
            <w:r>
              <w:rPr>
                <w:sz w:val="18"/>
              </w:rPr>
              <w:t>10,792 kJ</w:t>
            </w:r>
          </w:p>
        </w:tc>
      </w:tr>
      <w:tr>
        <w:tc>
          <w:tcPr>
            <w:tcW w:type="dxa" w:w="3360"/>
          </w:tcPr>
          <w:p>
            <w:pPr>
              <w:spacing w:after="80"/>
            </w:pPr>
            <w:r>
              <w:rPr>
                <w:sz w:val="18"/>
              </w:rPr>
              <w:t>Ek total, entrada del Anexo</w:t>
            </w:r>
          </w:p>
        </w:tc>
        <w:tc>
          <w:tcPr>
            <w:tcW w:type="dxa" w:w="3360"/>
          </w:tcPr>
          <w:p>
            <w:pPr>
              <w:spacing w:after="80"/>
            </w:pPr>
            <w:r>
              <w:rPr>
                <w:sz w:val="18"/>
              </w:rPr>
              <w:t>9,200 kJ</w:t>
            </w:r>
          </w:p>
        </w:tc>
        <w:tc>
          <w:tcPr>
            <w:tcW w:type="dxa" w:w="3360"/>
          </w:tcPr>
          <w:p>
            <w:pPr>
              <w:spacing w:after="80"/>
            </w:pPr>
            <w:r>
              <w:rPr>
                <w:sz w:val="18"/>
              </w:rPr>
              <w:t>12,800 kJ</w:t>
            </w:r>
          </w:p>
        </w:tc>
      </w:tr>
      <w:tr>
        <w:tc>
          <w:tcPr>
            <w:tcW w:type="dxa" w:w="3360"/>
          </w:tcPr>
          <w:p>
            <w:pPr>
              <w:spacing w:after="80"/>
            </w:pPr>
            <w:r>
              <w:rPr>
                <w:sz w:val="18"/>
              </w:rPr>
              <w:t>Ed=1,30Ek</w:t>
            </w:r>
          </w:p>
        </w:tc>
        <w:tc>
          <w:tcPr>
            <w:tcW w:type="dxa" w:w="3360"/>
          </w:tcPr>
          <w:p>
            <w:pPr>
              <w:spacing w:after="80"/>
            </w:pPr>
            <w:r>
              <w:rPr>
                <w:sz w:val="18"/>
              </w:rPr>
              <w:t>11,960 kJ</w:t>
            </w:r>
          </w:p>
        </w:tc>
        <w:tc>
          <w:tcPr>
            <w:tcW w:type="dxa" w:w="3360"/>
          </w:tcPr>
          <w:p>
            <w:pPr>
              <w:spacing w:after="80"/>
            </w:pPr>
            <w:r>
              <w:rPr>
                <w:sz w:val="18"/>
              </w:rPr>
              <w:t>16,640 kJ</w:t>
            </w:r>
          </w:p>
        </w:tc>
      </w:tr>
      <w:tr>
        <w:tc>
          <w:tcPr>
            <w:tcW w:type="dxa" w:w="3360"/>
          </w:tcPr>
          <w:p>
            <w:pPr>
              <w:spacing w:after="80"/>
            </w:pPr>
            <w:r>
              <w:rPr>
                <w:sz w:val="18"/>
              </w:rPr>
              <w:t>Fmedia=Ed/δ</w:t>
            </w:r>
          </w:p>
        </w:tc>
        <w:tc>
          <w:tcPr>
            <w:tcW w:type="dxa" w:w="3360"/>
          </w:tcPr>
          <w:p>
            <w:pPr>
              <w:spacing w:after="80"/>
            </w:pPr>
            <w:r>
              <w:rPr>
                <w:sz w:val="18"/>
              </w:rPr>
              <w:t>7,973 kN</w:t>
            </w:r>
          </w:p>
        </w:tc>
        <w:tc>
          <w:tcPr>
            <w:tcW w:type="dxa" w:w="3360"/>
          </w:tcPr>
          <w:p>
            <w:pPr>
              <w:spacing w:after="80"/>
            </w:pPr>
            <w:r>
              <w:rPr>
                <w:sz w:val="18"/>
              </w:rPr>
              <w:t>11,093 kN</w:t>
            </w:r>
          </w:p>
        </w:tc>
      </w:tr>
      <w:tr>
        <w:tc>
          <w:tcPr>
            <w:tcW w:type="dxa" w:w="3360"/>
          </w:tcPr>
          <w:p>
            <w:pPr>
              <w:spacing w:after="80"/>
            </w:pPr>
            <w:r>
              <w:rPr>
                <w:sz w:val="18"/>
              </w:rPr>
              <w:t>Fpico=2Ed/δ</w:t>
            </w:r>
          </w:p>
        </w:tc>
        <w:tc>
          <w:tcPr>
            <w:tcW w:type="dxa" w:w="3360"/>
          </w:tcPr>
          <w:p>
            <w:pPr>
              <w:spacing w:after="80"/>
            </w:pPr>
            <w:r>
              <w:rPr>
                <w:sz w:val="18"/>
              </w:rPr>
              <w:t>15,947 kN</w:t>
            </w:r>
          </w:p>
        </w:tc>
        <w:tc>
          <w:tcPr>
            <w:tcW w:type="dxa" w:w="3360"/>
          </w:tcPr>
          <w:p>
            <w:pPr>
              <w:spacing w:after="80"/>
            </w:pPr>
            <w:r>
              <w:rPr>
                <w:sz w:val="18"/>
              </w:rPr>
              <w:t>22,187 kN</w:t>
            </w:r>
          </w:p>
        </w:tc>
      </w:tr>
    </w:tbl>
    <w:p/>
    <w:p>
      <w:r>
        <w:t>Energía absorbida: Ed=∫F(x)dx. La forma triangular del modelo lineal conduce a Fpico=2Ed/δ. No se usa Fmedia para comprobar componentes a fuerza máxima. La diferencia entre Ek total y Et de máximos separados no se asigna a una rotación medida.</w:t>
      </w:r>
    </w:p>
    <w:p>
      <w:pPr>
        <w:pStyle w:val="Heading2"/>
      </w:pPr>
      <w:r>
        <w:t>5A.2 Altura geométrica del Anexo</w:t>
      </w:r>
    </w:p>
    <w:p>
      <w:r>
        <w:t>Hreq=hs+D+bl=0,20+0,914+0,30=1,414 m. El Anexo adopta 1,50 m y dispone malla de 2,00 m: margen inicial respecto a Hreq=0,586 m. El cálculo reproduce la convención de sumar la saltación y el diámetro completo. No acredita altura residual después del impacto ni una saltación de OPP.</w:t>
      </w:r>
    </w:p>
    <w:p>
      <w:pPr>
        <w:pStyle w:val="Heading2"/>
      </w:pPr>
      <w:r>
        <w:t>5A.3 Sensibilidad energética sin introducir nuevos datos de obra</w:t>
      </w:r>
    </w:p>
    <w:p>
      <w:r>
        <w:t>Con Ed=16,64 kJ, Fδ=33,28 kN·m. Por tanto, reducir a la mitad el recorrido duplica la fuerza. Para documentar esta relación se muestran cambios del propio parámetro del modelo; no se describen como condiciones existentes de la obra.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Recorrido δ del modelo</w:t>
            </w:r>
          </w:p>
        </w:tc>
        <w:tc>
          <w:tcPr>
            <w:tcW w:type="dxa" w:w="3360"/>
          </w:tcPr>
          <w:p>
            <w:pPr>
              <w:spacing w:after="80"/>
            </w:pPr>
            <w:r>
              <w:rPr>
                <w:sz w:val="18"/>
              </w:rPr>
              <w:t>F pico S2</w:t>
            </w:r>
          </w:p>
        </w:tc>
        <w:tc>
          <w:tcPr>
            <w:tcW w:type="dxa" w:w="3360"/>
          </w:tcPr>
          <w:p>
            <w:pPr>
              <w:spacing w:after="80"/>
            </w:pPr>
            <w:r>
              <w:rPr>
                <w:sz w:val="18"/>
              </w:rPr>
              <w:t>Interpretación</w:t>
            </w:r>
          </w:p>
        </w:tc>
      </w:tr>
      <w:tr>
        <w:tc>
          <w:tcPr>
            <w:tcW w:type="dxa" w:w="3360"/>
          </w:tcPr>
          <w:p>
            <w:pPr>
              <w:spacing w:after="80"/>
            </w:pPr>
            <w:r>
              <w:rPr>
                <w:sz w:val="18"/>
              </w:rPr>
              <w:t>0,50 m</w:t>
            </w:r>
          </w:p>
        </w:tc>
        <w:tc>
          <w:tcPr>
            <w:tcW w:type="dxa" w:w="3360"/>
          </w:tcPr>
          <w:p>
            <w:pPr>
              <w:spacing w:after="80"/>
            </w:pPr>
            <w:r>
              <w:rPr>
                <w:sz w:val="18"/>
              </w:rPr>
              <w:t>66,560 kN</w:t>
            </w:r>
          </w:p>
        </w:tc>
        <w:tc>
          <w:tcPr>
            <w:tcW w:type="dxa" w:w="3360"/>
          </w:tcPr>
          <w:p>
            <w:pPr>
              <w:spacing w:after="80"/>
            </w:pPr>
            <w:r>
              <w:rPr>
                <w:sz w:val="18"/>
              </w:rPr>
              <w:t>Sensibilidad matemática</w:t>
            </w:r>
          </w:p>
        </w:tc>
      </w:tr>
      <w:tr>
        <w:tc>
          <w:tcPr>
            <w:tcW w:type="dxa" w:w="3360"/>
          </w:tcPr>
          <w:p>
            <w:pPr>
              <w:spacing w:after="80"/>
            </w:pPr>
            <w:r>
              <w:rPr>
                <w:sz w:val="18"/>
              </w:rPr>
              <w:t>1,00 m</w:t>
            </w:r>
          </w:p>
        </w:tc>
        <w:tc>
          <w:tcPr>
            <w:tcW w:type="dxa" w:w="3360"/>
          </w:tcPr>
          <w:p>
            <w:pPr>
              <w:spacing w:after="80"/>
            </w:pPr>
            <w:r>
              <w:rPr>
                <w:sz w:val="18"/>
              </w:rPr>
              <w:t>33,280 kN</w:t>
            </w:r>
          </w:p>
        </w:tc>
        <w:tc>
          <w:tcPr>
            <w:tcW w:type="dxa" w:w="3360"/>
          </w:tcPr>
          <w:p>
            <w:pPr>
              <w:spacing w:after="80"/>
            </w:pPr>
            <w:r>
              <w:rPr>
                <w:sz w:val="18"/>
              </w:rPr>
              <w:t>Sensibilidad matemática</w:t>
            </w:r>
          </w:p>
        </w:tc>
      </w:tr>
      <w:tr>
        <w:tc>
          <w:tcPr>
            <w:tcW w:type="dxa" w:w="3360"/>
          </w:tcPr>
          <w:p>
            <w:pPr>
              <w:spacing w:after="80"/>
            </w:pPr>
            <w:r>
              <w:rPr>
                <w:sz w:val="18"/>
              </w:rPr>
              <w:t>1,50 m</w:t>
            </w:r>
          </w:p>
        </w:tc>
        <w:tc>
          <w:tcPr>
            <w:tcW w:type="dxa" w:w="3360"/>
          </w:tcPr>
          <w:p>
            <w:pPr>
              <w:spacing w:after="80"/>
            </w:pPr>
            <w:r>
              <w:rPr>
                <w:sz w:val="18"/>
              </w:rPr>
              <w:t>22,187 kN</w:t>
            </w:r>
          </w:p>
        </w:tc>
        <w:tc>
          <w:tcPr>
            <w:tcW w:type="dxa" w:w="3360"/>
          </w:tcPr>
          <w:p>
            <w:pPr>
              <w:spacing w:after="80"/>
            </w:pPr>
            <w:r>
              <w:rPr>
                <w:sz w:val="18"/>
              </w:rPr>
              <w:t>Sensibilidad matemática</w:t>
            </w:r>
          </w:p>
        </w:tc>
      </w:tr>
      <w:tr>
        <w:tc>
          <w:tcPr>
            <w:tcW w:type="dxa" w:w="3360"/>
          </w:tcPr>
          <w:p>
            <w:pPr>
              <w:spacing w:after="80"/>
            </w:pPr>
            <w:r>
              <w:rPr>
                <w:sz w:val="18"/>
              </w:rPr>
              <w:t>2,00 m</w:t>
            </w:r>
          </w:p>
        </w:tc>
        <w:tc>
          <w:tcPr>
            <w:tcW w:type="dxa" w:w="3360"/>
          </w:tcPr>
          <w:p>
            <w:pPr>
              <w:spacing w:after="80"/>
            </w:pPr>
            <w:r>
              <w:rPr>
                <w:sz w:val="18"/>
              </w:rPr>
              <w:t>16,640 kN</w:t>
            </w:r>
          </w:p>
        </w:tc>
        <w:tc>
          <w:tcPr>
            <w:tcW w:type="dxa" w:w="3360"/>
          </w:tcPr>
          <w:p>
            <w:pPr>
              <w:spacing w:after="80"/>
            </w:pPr>
            <w:r>
              <w:rPr>
                <w:sz w:val="18"/>
              </w:rPr>
              <w:t>Sensibilidad matemática</w:t>
            </w:r>
          </w:p>
        </w:tc>
      </w:tr>
    </w:tbl>
    <w:p/>
    <w:p>
      <w:r>
        <w:rPr>
          <w:b/>
          <w:color w:val="994A18"/>
        </w:rPr>
        <w:t>La energía de referencia no es un tonelaje admisible de descarga ni una altura de caída autorizada. No se vierten materiales al talud durante la habilitación de accesos.</w:t>
      </w:r>
    </w:p>
    <w:p>
      <w:r>
        <w:br w:type="page"/>
      </w:r>
    </w:p>
    <w:p>
      <w:pPr>
        <w:pStyle w:val="Heading1"/>
      </w:pPr>
      <w:r>
        <w:t>5B. Cálculo de la doble malla olímpica</w:t>
      </w:r>
    </w:p>
    <w:p>
      <w:r>
        <w:t>Se reproduce íntegramente el mecanismo de membrana de D2 §7.12: semiluz a=2,50 m; flecha local δm=0,50 m; dos capas; franja de contacto b=1,00 m; eficiencia η=0,50. Estos coeficientes pertenecen al método del Anexo y su procedencia queda identificada, sin convertirlos en ensayos del tejido.</w:t>
      </w:r>
    </w:p>
    <w:p>
      <w:r>
        <w:t>θ=arctan(δm/a)=11,310°. senθ=0,19612. T=Fpico/(2senθ), donde T representa la tracción resultante en cada lado del mecanismo.</w:t>
      </w:r>
    </w:p>
    <w:p>
      <w:r>
        <w:t>Área de alambre Aw=πdw²/4=6,0263 mm². Rotura ideal de un alambre Tw=Aw·fu/1000=3,2506 kN. Número equivalente del modelo nw=2b/abertura=39,3701. Resistencia nominal reducida Rm=nw·Tw·η=63,988 kN.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 de membrana</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Fpico</w:t>
            </w:r>
          </w:p>
        </w:tc>
        <w:tc>
          <w:tcPr>
            <w:tcW w:type="dxa" w:w="3360"/>
          </w:tcPr>
          <w:p>
            <w:pPr>
              <w:spacing w:after="80"/>
            </w:pPr>
            <w:r>
              <w:rPr>
                <w:sz w:val="18"/>
              </w:rPr>
              <w:t>15,947 kN</w:t>
            </w:r>
          </w:p>
        </w:tc>
        <w:tc>
          <w:tcPr>
            <w:tcW w:type="dxa" w:w="3360"/>
          </w:tcPr>
          <w:p>
            <w:pPr>
              <w:spacing w:after="80"/>
            </w:pPr>
            <w:r>
              <w:rPr>
                <w:sz w:val="18"/>
              </w:rPr>
              <w:t>22,187 kN</w:t>
            </w:r>
          </w:p>
        </w:tc>
      </w:tr>
      <w:tr>
        <w:tc>
          <w:tcPr>
            <w:tcW w:type="dxa" w:w="3360"/>
          </w:tcPr>
          <w:p>
            <w:pPr>
              <w:spacing w:after="80"/>
            </w:pPr>
            <w:r>
              <w:rPr>
                <w:sz w:val="18"/>
              </w:rPr>
              <w:t>Tracción T</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Rm del modelo</w:t>
            </w:r>
          </w:p>
        </w:tc>
        <w:tc>
          <w:tcPr>
            <w:tcW w:type="dxa" w:w="3360"/>
          </w:tcPr>
          <w:p>
            <w:pPr>
              <w:spacing w:after="80"/>
            </w:pPr>
            <w:r>
              <w:rPr>
                <w:sz w:val="18"/>
              </w:rPr>
              <w:t>63,988 kN</w:t>
            </w:r>
          </w:p>
        </w:tc>
        <w:tc>
          <w:tcPr>
            <w:tcW w:type="dxa" w:w="3360"/>
          </w:tcPr>
          <w:p>
            <w:pPr>
              <w:spacing w:after="80"/>
            </w:pPr>
            <w:r>
              <w:rPr>
                <w:sz w:val="18"/>
              </w:rPr>
              <w:t>63,988 kN</w:t>
            </w:r>
          </w:p>
        </w:tc>
      </w:tr>
      <w:tr>
        <w:tc>
          <w:tcPr>
            <w:tcW w:type="dxa" w:w="3360"/>
          </w:tcPr>
          <w:p>
            <w:pPr>
              <w:spacing w:after="80"/>
            </w:pPr>
            <w:r>
              <w:rPr>
                <w:sz w:val="18"/>
              </w:rPr>
              <w:t>RU=T/Rm</w:t>
            </w:r>
          </w:p>
        </w:tc>
        <w:tc>
          <w:tcPr>
            <w:tcW w:type="dxa" w:w="3360"/>
          </w:tcPr>
          <w:p>
            <w:pPr>
              <w:spacing w:after="80"/>
            </w:pPr>
            <w:r>
              <w:rPr>
                <w:sz w:val="18"/>
              </w:rPr>
              <w:t>0,635</w:t>
            </w:r>
          </w:p>
        </w:tc>
        <w:tc>
          <w:tcPr>
            <w:tcW w:type="dxa" w:w="3360"/>
          </w:tcPr>
          <w:p>
            <w:pPr>
              <w:spacing w:after="80"/>
            </w:pPr>
            <w:r>
              <w:rPr>
                <w:sz w:val="18"/>
              </w:rPr>
              <w:t>0,884</w:t>
            </w:r>
          </w:p>
        </w:tc>
      </w:tr>
      <w:tr>
        <w:tc>
          <w:tcPr>
            <w:tcW w:type="dxa" w:w="3360"/>
          </w:tcPr>
          <w:p>
            <w:pPr>
              <w:spacing w:after="80"/>
            </w:pPr>
            <w:r>
              <w:rPr>
                <w:sz w:val="18"/>
              </w:rPr>
              <w:t>Rm/T</w:t>
            </w:r>
          </w:p>
        </w:tc>
        <w:tc>
          <w:tcPr>
            <w:tcW w:type="dxa" w:w="3360"/>
          </w:tcPr>
          <w:p>
            <w:pPr>
              <w:spacing w:after="80"/>
            </w:pPr>
            <w:r>
              <w:rPr>
                <w:sz w:val="18"/>
              </w:rPr>
              <w:t>1,574</w:t>
            </w:r>
          </w:p>
        </w:tc>
        <w:tc>
          <w:tcPr>
            <w:tcW w:type="dxa" w:w="3360"/>
          </w:tcPr>
          <w:p>
            <w:pPr>
              <w:spacing w:after="80"/>
            </w:pPr>
            <w:r>
              <w:rPr>
                <w:sz w:val="18"/>
              </w:rPr>
              <w:t>1,131</w:t>
            </w:r>
          </w:p>
        </w:tc>
      </w:tr>
      <w:tr>
        <w:tc>
          <w:tcPr>
            <w:tcW w:type="dxa" w:w="3360"/>
          </w:tcPr>
          <w:p>
            <w:pPr>
              <w:spacing w:after="80"/>
            </w:pPr>
            <w:r>
              <w:rPr>
                <w:sz w:val="18"/>
              </w:rPr>
              <w:t>Resultado aritmético</w:t>
            </w:r>
          </w:p>
        </w:tc>
        <w:tc>
          <w:tcPr>
            <w:tcW w:type="dxa" w:w="3360"/>
          </w:tcPr>
          <w:p>
            <w:pPr>
              <w:spacing w:after="80"/>
            </w:pPr>
            <w:r>
              <w:rPr>
                <w:sz w:val="18"/>
              </w:rPr>
              <w:t>T &lt; Rm</w:t>
            </w:r>
          </w:p>
        </w:tc>
        <w:tc>
          <w:tcPr>
            <w:tcW w:type="dxa" w:w="3360"/>
          </w:tcPr>
          <w:p>
            <w:pPr>
              <w:spacing w:after="80"/>
            </w:pPr>
            <w:r>
              <w:rPr>
                <w:sz w:val="18"/>
              </w:rPr>
              <w:t>T &lt; Rm</w:t>
            </w:r>
          </w:p>
        </w:tc>
      </w:tr>
    </w:tbl>
    <w:p/>
    <w:p>
      <w:r>
        <w:t>Conclusión de esta comprobación: la doble malla tiene demanda inferior a la resistencia nominal reducida calculada por el método del Anexo, con RU=0,884 en la envolvente. Este resultado no incluye un factor independiente que convierta fu del alambre en resistencia de diseño del tejido ni valida punzonamiento, desgarro, fijaciones o impacto del kit completo. Por eso no se rotula como capacidad dinámica certificada.</w:t>
      </w:r>
    </w:p>
    <w:p>
      <w:r>
        <w:t>El número nw es una cantidad equivalente de ramas del modelo, no un conteo físico de alambres plenamente resistentes. La orientación de los rombos, sus dobleces y el reparto entre capas afectan su movilización; la eficiencia 0,50 no reemplaza un ensayo de paño y bordes.</w:t>
      </w:r>
    </w:p>
    <w:p>
      <w:r>
        <w:br w:type="page"/>
      </w:r>
    </w:p>
    <w:p>
      <w:pPr>
        <w:pStyle w:val="Heading1"/>
      </w:pPr>
      <w:r>
        <w:t>5C. Contacto, geometría y mecanismo de retención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Variación del cálculo de malla</w:t>
            </w:r>
          </w:p>
        </w:tc>
        <w:tc>
          <w:tcPr>
            <w:tcW w:type="dxa" w:w="3360"/>
          </w:tcPr>
          <w:p>
            <w:pPr>
              <w:spacing w:after="80"/>
            </w:pPr>
            <w:r>
              <w:rPr>
                <w:sz w:val="18"/>
              </w:rPr>
              <w:t>Resultado S2</w:t>
            </w:r>
          </w:p>
        </w:tc>
        <w:tc>
          <w:tcPr>
            <w:tcW w:type="dxa" w:w="3360"/>
          </w:tcPr>
          <w:p>
            <w:pPr>
              <w:spacing w:after="80"/>
            </w:pPr>
            <w:r>
              <w:rPr>
                <w:sz w:val="18"/>
              </w:rPr>
              <w:t>Conclusión numérica</w:t>
            </w:r>
          </w:p>
        </w:tc>
      </w:tr>
      <w:tr>
        <w:tc>
          <w:tcPr>
            <w:tcW w:type="dxa" w:w="3360"/>
          </w:tcPr>
          <w:p>
            <w:pPr>
              <w:spacing w:after="80"/>
            </w:pPr>
            <w:r>
              <w:rPr>
                <w:sz w:val="18"/>
              </w:rPr>
              <w:t>Una capa; b=1,00 m</w:t>
            </w:r>
          </w:p>
        </w:tc>
        <w:tc>
          <w:tcPr>
            <w:tcW w:type="dxa" w:w="3360"/>
          </w:tcPr>
          <w:p>
            <w:pPr>
              <w:spacing w:after="80"/>
            </w:pPr>
            <w:r>
              <w:rPr>
                <w:sz w:val="18"/>
              </w:rPr>
              <w:t>Rm=31,994 kN; RU=1,768</w:t>
            </w:r>
          </w:p>
        </w:tc>
        <w:tc>
          <w:tcPr>
            <w:tcW w:type="dxa" w:w="3360"/>
          </w:tcPr>
          <w:p>
            <w:pPr>
              <w:spacing w:after="80"/>
            </w:pPr>
            <w:r>
              <w:rPr>
                <w:sz w:val="18"/>
              </w:rPr>
              <w:t>Demanda supera resistencia del modelo</w:t>
            </w:r>
          </w:p>
        </w:tc>
      </w:tr>
      <w:tr>
        <w:tc>
          <w:tcPr>
            <w:tcW w:type="dxa" w:w="3360"/>
          </w:tcPr>
          <w:p>
            <w:pPr>
              <w:spacing w:after="80"/>
            </w:pPr>
            <w:r>
              <w:rPr>
                <w:sz w:val="18"/>
              </w:rPr>
              <w:t>Dos capas; b=0,914 m</w:t>
            </w:r>
          </w:p>
        </w:tc>
        <w:tc>
          <w:tcPr>
            <w:tcW w:type="dxa" w:w="3360"/>
          </w:tcPr>
          <w:p>
            <w:pPr>
              <w:spacing w:after="80"/>
            </w:pPr>
            <w:r>
              <w:rPr>
                <w:sz w:val="18"/>
              </w:rPr>
              <w:t>Rm=58,485 kN; RU=0,967</w:t>
            </w:r>
          </w:p>
        </w:tc>
        <w:tc>
          <w:tcPr>
            <w:tcW w:type="dxa" w:w="3360"/>
          </w:tcPr>
          <w:p>
            <w:pPr>
              <w:spacing w:after="80"/>
            </w:pPr>
            <w:r>
              <w:rPr>
                <w:sz w:val="18"/>
              </w:rPr>
              <w:t>Margen nominal reducido</w:t>
            </w:r>
          </w:p>
        </w:tc>
      </w:tr>
      <w:tr>
        <w:tc>
          <w:tcPr>
            <w:tcW w:type="dxa" w:w="3360"/>
          </w:tcPr>
          <w:p>
            <w:pPr>
              <w:spacing w:after="80"/>
            </w:pPr>
            <w:r>
              <w:rPr>
                <w:sz w:val="18"/>
              </w:rPr>
              <w:t>Dos capas; b=0,50 m</w:t>
            </w:r>
          </w:p>
        </w:tc>
        <w:tc>
          <w:tcPr>
            <w:tcW w:type="dxa" w:w="3360"/>
          </w:tcPr>
          <w:p>
            <w:pPr>
              <w:spacing w:after="80"/>
            </w:pPr>
            <w:r>
              <w:rPr>
                <w:sz w:val="18"/>
              </w:rPr>
              <w:t>Rm=31,994 kN; RU=1,768</w:t>
            </w:r>
          </w:p>
        </w:tc>
        <w:tc>
          <w:tcPr>
            <w:tcW w:type="dxa" w:w="3360"/>
          </w:tcPr>
          <w:p>
            <w:pPr>
              <w:spacing w:after="80"/>
            </w:pPr>
            <w:r>
              <w:rPr>
                <w:sz w:val="18"/>
              </w:rPr>
              <w:t>Demanda supera resistencia del modelo</w:t>
            </w:r>
          </w:p>
        </w:tc>
      </w:tr>
      <w:tr>
        <w:tc>
          <w:tcPr>
            <w:tcW w:type="dxa" w:w="3360"/>
          </w:tcPr>
          <w:p>
            <w:pPr>
              <w:spacing w:after="80"/>
            </w:pPr>
            <w:r>
              <w:rPr>
                <w:sz w:val="18"/>
              </w:rPr>
              <w:t>Dos capas; δm=0,25 m</w:t>
            </w:r>
          </w:p>
        </w:tc>
        <w:tc>
          <w:tcPr>
            <w:tcW w:type="dxa" w:w="3360"/>
          </w:tcPr>
          <w:p>
            <w:pPr>
              <w:spacing w:after="80"/>
            </w:pPr>
            <w:r>
              <w:rPr>
                <w:sz w:val="18"/>
              </w:rPr>
              <w:t>T=111,487 kN</w:t>
            </w:r>
          </w:p>
        </w:tc>
        <w:tc>
          <w:tcPr>
            <w:tcW w:type="dxa" w:w="3360"/>
          </w:tcPr>
          <w:p>
            <w:pPr>
              <w:spacing w:after="80"/>
            </w:pPr>
            <w:r>
              <w:rPr>
                <w:sz w:val="18"/>
              </w:rPr>
              <w:t>La menor flecha aumenta tracción</w:t>
            </w:r>
          </w:p>
        </w:tc>
      </w:tr>
    </w:tbl>
    <w:p/>
    <w:p>
      <w:r>
        <w:t>Ancho equivalente mínimo para T≤Rm: bmin=T/(Rm por metro)=0,8840 m. Eficiencia mínima del mismo mecanismo: ηmin=T/(nwTw)=0,4420. Frente a η=0,50, el resultado depende de que se movilice una franja amplia y de que ambas capas trabajen en conjunto. El diámetro de un bloque no es por sí solo su ancho de contacto efectivo.</w:t>
      </w:r>
    </w:p>
    <w:p>
      <w:pPr>
        <w:pStyle w:val="Heading2"/>
      </w:pPr>
      <w:r>
        <w:t>5C.1 Diferencia entre luz de paño y semiluz del modelo</w:t>
      </w:r>
    </w:p>
    <w:p>
      <w:r>
        <w:t>El espaciamiento de postes es 2,50 m; un impacto en el centro de un único paño tiene semiluz 1,25 m. El Anexo utiliza 2,50 m como semiluz, correspondiente a un mecanismo más amplio. Se conserva ese valor para reproducir su resultado y se muestra el caso geométrico de un paño sin declararlos mecanismos equivalentes.</w:t>
      </w:r>
    </w:p>
    <w:p>
      <w:r>
        <w:t>Para a=1,25 m y δm=0,50 m: θ=21,801° y T=29,870 kN. La tracción menor de este esquema no demuestra que el poste intermedio, el contacto o el tejido desarrollen la respuesta global del Anexo.</w:t>
      </w:r>
    </w:p>
    <w:p>
      <w:pPr>
        <w:pStyle w:val="Heading2"/>
      </w:pPr>
      <w:r>
        <w:t>5C.2 Deformación geométrica y cobertura</w:t>
      </w:r>
    </w:p>
    <w:p>
      <w:r>
        <w:t>Alargamiento geométrico del segmento de membrana del Anexo: εgeom=√(a²+δm²)/a−1=1,980 %. Es una demanda geométrica, no una ductilidad admisible del alambre. La flecha global de 1,50 m incluye otras contribuciones y no se atribuye entera al poste o a la malla.</w:t>
      </w:r>
    </w:p>
    <w:p>
      <w:r>
        <w:rPr>
          <w:b/>
          <w:color w:val="994A18"/>
        </w:rPr>
        <w:t>Dos capas superpuestas no son dos líneas sucesivas. Las dos líneas previstas para OPP no aportan una suma automática de capacidades; ambas conservan la cobertura de extremos y la exclusión de su zona de deformación y rebote.</w:t>
      </w:r>
    </w:p>
    <w:p>
      <w:r>
        <w:br w:type="page"/>
      </w:r>
    </w:p>
    <w:p>
      <w:pPr>
        <w:pStyle w:val="Heading1"/>
      </w:pPr>
      <w:r>
        <w:t>5D. Cables perimetrales y diagonales</w:t>
      </w:r>
    </w:p>
    <w:p>
      <w:r>
        <w:t>El Anexo distribuye T entre cable superior e inferior: Tc=T/2. Cable de referencia Ø1/2 in, 6×19, rotura mínima 90 kN. Comparación de rotura/demanda con objetivo 2,00 de D2 §7.13.</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Tc=T/2</w:t>
            </w:r>
          </w:p>
        </w:tc>
        <w:tc>
          <w:tcPr>
            <w:tcW w:type="dxa" w:w="3360"/>
          </w:tcPr>
          <w:p>
            <w:pPr>
              <w:spacing w:after="80"/>
            </w:pPr>
            <w:r>
              <w:rPr>
                <w:sz w:val="18"/>
              </w:rPr>
              <w:t>20,328 kN</w:t>
            </w:r>
          </w:p>
        </w:tc>
        <w:tc>
          <w:tcPr>
            <w:tcW w:type="dxa" w:w="3360"/>
          </w:tcPr>
          <w:p>
            <w:pPr>
              <w:spacing w:after="80"/>
            </w:pPr>
            <w:r>
              <w:rPr>
                <w:sz w:val="18"/>
              </w:rPr>
              <w:t>28,283 kN</w:t>
            </w:r>
          </w:p>
        </w:tc>
      </w:tr>
      <w:tr>
        <w:tc>
          <w:tcPr>
            <w:tcW w:type="dxa" w:w="3360"/>
          </w:tcPr>
          <w:p>
            <w:pPr>
              <w:spacing w:after="80"/>
            </w:pPr>
            <w:r>
              <w:rPr>
                <w:sz w:val="18"/>
              </w:rPr>
              <w:t>90/Tc</w:t>
            </w:r>
          </w:p>
        </w:tc>
        <w:tc>
          <w:tcPr>
            <w:tcW w:type="dxa" w:w="3360"/>
          </w:tcPr>
          <w:p>
            <w:pPr>
              <w:spacing w:after="80"/>
            </w:pPr>
            <w:r>
              <w:rPr>
                <w:sz w:val="18"/>
              </w:rPr>
              <w:t>4,427</w:t>
            </w:r>
          </w:p>
        </w:tc>
        <w:tc>
          <w:tcPr>
            <w:tcW w:type="dxa" w:w="3360"/>
          </w:tcPr>
          <w:p>
            <w:pPr>
              <w:spacing w:after="80"/>
            </w:pPr>
            <w:r>
              <w:rPr>
                <w:sz w:val="18"/>
              </w:rPr>
              <w:t>3,182</w:t>
            </w:r>
          </w:p>
        </w:tc>
      </w:tr>
      <w:tr>
        <w:tc>
          <w:tcPr>
            <w:tcW w:type="dxa" w:w="3360"/>
          </w:tcPr>
          <w:p>
            <w:pPr>
              <w:spacing w:after="80"/>
            </w:pPr>
            <w:r>
              <w:rPr>
                <w:sz w:val="18"/>
              </w:rPr>
              <w:t>Rotura mínima efectiva para FS=2</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ηterminal mínima, cable 90 kN</w:t>
            </w:r>
          </w:p>
        </w:tc>
        <w:tc>
          <w:tcPr>
            <w:tcW w:type="dxa" w:w="3360"/>
          </w:tcPr>
          <w:p>
            <w:pPr>
              <w:spacing w:after="80"/>
            </w:pPr>
            <w:r>
              <w:rPr>
                <w:sz w:val="18"/>
              </w:rPr>
              <w:t>0,452</w:t>
            </w:r>
          </w:p>
        </w:tc>
        <w:tc>
          <w:tcPr>
            <w:tcW w:type="dxa" w:w="3360"/>
          </w:tcPr>
          <w:p>
            <w:pPr>
              <w:spacing w:after="80"/>
            </w:pPr>
            <w:r>
              <w:rPr>
                <w:sz w:val="18"/>
              </w:rPr>
              <w:t>0,629</w:t>
            </w:r>
          </w:p>
        </w:tc>
      </w:tr>
      <w:tr>
        <w:tc>
          <w:tcPr>
            <w:tcW w:type="dxa" w:w="3360"/>
          </w:tcPr>
          <w:p>
            <w:pPr>
              <w:spacing w:after="80"/>
            </w:pPr>
            <w:r>
              <w:rPr>
                <w:sz w:val="18"/>
              </w:rPr>
              <w:t>FS con cable nominal 54 kN</w:t>
            </w:r>
          </w:p>
        </w:tc>
        <w:tc>
          <w:tcPr>
            <w:tcW w:type="dxa" w:w="3360"/>
          </w:tcPr>
          <w:p>
            <w:pPr>
              <w:spacing w:after="80"/>
            </w:pPr>
            <w:r>
              <w:rPr>
                <w:sz w:val="18"/>
              </w:rPr>
              <w:t>2,656</w:t>
            </w:r>
          </w:p>
        </w:tc>
        <w:tc>
          <w:tcPr>
            <w:tcW w:type="dxa" w:w="3360"/>
          </w:tcPr>
          <w:p>
            <w:pPr>
              <w:spacing w:after="80"/>
            </w:pPr>
            <w:r>
              <w:rPr>
                <w:sz w:val="18"/>
              </w:rPr>
              <w:t>1,909</w:t>
            </w:r>
          </w:p>
        </w:tc>
      </w:tr>
    </w:tbl>
    <w:p/>
    <w:p>
      <w:r>
        <w:t>En S2 la eficiencia conjunta de cable y terminal debe alcanzar al menos 62,85 % para conservar el cociente 2,00 bajo reparto igual. Si un cable recibe toda T, 90/T=1,591, inferior a 2,00. Con terminal de eficiencia menor que uno, el cociente se reduce adicionalmente.</w:t>
      </w:r>
    </w:p>
    <w:p>
      <w:pPr>
        <w:pStyle w:val="Heading2"/>
      </w:pPr>
      <w:r>
        <w:t>5D.1 Geometría de las diagonales</w:t>
      </w:r>
    </w:p>
    <w:p>
      <w:r>
        <w:t>Paño 2,50×2,00 m: diagonal ld=√(2,50²+2,00²)=3,202 m y dos diagonales suman 6,403 m por paño. Su ángulo en el plano del paño es 38,660°. Esta geometría no determina por sí sola el reparto de una carga normal al plano de la malla.</w:t>
      </w:r>
    </w:p>
    <w:p>
      <w:r>
        <w:t>La afirmación del Anexo de que Ø1/2 in sirve también para diagonales no contiene una comprobación independiente de su fuerza y compatibilidad. En esta memoria se conserva la sección de referencia y se separa su resultado: geometría calculada; tracción independiente de diagonal no obtenible del reparto Tc=T/2. No se asigna por esa vía un factor de seguridad ficticio a la diagonal.</w:t>
      </w:r>
    </w:p>
    <w:p>
      <w:pPr>
        <w:pStyle w:val="Heading2"/>
      </w:pPr>
      <w:r>
        <w:t>5D.2 Especificación funcional de la conexión</w:t>
      </w:r>
    </w:p>
    <w:p>
      <w:r>
        <w:t>Se conserva el cable continuo, sin empalmes improvisados y con terminal compatible con el fabricante. El número mínimo de grapas del Anexo no constituye por sí solo la eficiencia de la terminación. Los amarres y apoyos transmiten la fuerza resultante calculada; la simple presencia del cable no acredita participación de tres postes.</w:t>
      </w:r>
    </w:p>
    <w:p>
      <w:r>
        <w:br w:type="page"/>
      </w:r>
    </w:p>
    <w:p>
      <w:pPr>
        <w:pStyle w:val="Heading1"/>
      </w:pPr>
      <w:r>
        <w:t>5E. Eucalipto: flexión y cortante</w:t>
      </w:r>
    </w:p>
    <w:p>
      <w:r>
        <w:t>La configuración calculada de esta revisión usa íntegramente los valores de eucalipto del Anexo 2, por indicación expresa del solicitante. No se presentan esos valores como propiedades de la especie tornillo.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Parámetro de eucalipto</w:t>
            </w:r>
          </w:p>
        </w:tc>
        <w:tc>
          <w:tcPr>
            <w:tcW w:type="dxa" w:w="3360"/>
          </w:tcPr>
          <w:p>
            <w:pPr>
              <w:spacing w:after="80"/>
            </w:pPr>
            <w:r>
              <w:rPr>
                <w:sz w:val="18"/>
              </w:rPr>
              <w:t>Valor de cálculo</w:t>
            </w:r>
          </w:p>
        </w:tc>
        <w:tc>
          <w:tcPr>
            <w:tcW w:type="dxa" w:w="3360"/>
          </w:tcPr>
          <w:p>
            <w:pPr>
              <w:spacing w:after="80"/>
            </w:pPr>
            <w:r>
              <w:rPr>
                <w:sz w:val="18"/>
              </w:rPr>
              <w:t>Fuente</w:t>
            </w:r>
          </w:p>
        </w:tc>
      </w:tr>
      <w:tr>
        <w:tc>
          <w:tcPr>
            <w:tcW w:type="dxa" w:w="3360"/>
          </w:tcPr>
          <w:p>
            <w:pPr>
              <w:spacing w:after="80"/>
            </w:pPr>
            <w:r>
              <w:rPr>
                <w:sz w:val="18"/>
              </w:rPr>
              <w:t>Diámetro resistente mínimo / altura libre</w:t>
            </w:r>
          </w:p>
        </w:tc>
        <w:tc>
          <w:tcPr>
            <w:tcW w:type="dxa" w:w="3360"/>
          </w:tcPr>
          <w:p>
            <w:pPr>
              <w:spacing w:after="80"/>
            </w:pPr>
            <w:r>
              <w:rPr>
                <w:sz w:val="18"/>
              </w:rPr>
              <w:t>150 mm / 2,00 m</w:t>
            </w:r>
          </w:p>
        </w:tc>
        <w:tc>
          <w:tcPr>
            <w:tcW w:type="dxa" w:w="3360"/>
          </w:tcPr>
          <w:p>
            <w:pPr>
              <w:spacing w:after="80"/>
            </w:pPr>
            <w:r>
              <w:rPr>
                <w:sz w:val="18"/>
              </w:rPr>
              <w:t>Anexo 2 §5.1</w:t>
            </w:r>
          </w:p>
        </w:tc>
      </w:tr>
      <w:tr>
        <w:tc>
          <w:tcPr>
            <w:tcW w:type="dxa" w:w="3360"/>
          </w:tcPr>
          <w:p>
            <w:pPr>
              <w:spacing w:after="80"/>
            </w:pPr>
            <w:r>
              <w:rPr>
                <w:sz w:val="18"/>
              </w:rPr>
              <w:t>fb de comparación</w:t>
            </w:r>
          </w:p>
        </w:tc>
        <w:tc>
          <w:tcPr>
            <w:tcW w:type="dxa" w:w="3360"/>
          </w:tcPr>
          <w:p>
            <w:pPr>
              <w:spacing w:after="80"/>
            </w:pPr>
            <w:r>
              <w:rPr>
                <w:sz w:val="18"/>
              </w:rPr>
              <w:t>60 MPa</w:t>
            </w:r>
          </w:p>
        </w:tc>
        <w:tc>
          <w:tcPr>
            <w:tcW w:type="dxa" w:w="3360"/>
          </w:tcPr>
          <w:p>
            <w:pPr>
              <w:spacing w:after="80"/>
            </w:pPr>
            <w:r>
              <w:rPr>
                <w:sz w:val="18"/>
              </w:rPr>
              <w:t>Anexo 2 §6.3; reducción 0,54 de su ficha</w:t>
            </w:r>
          </w:p>
        </w:tc>
      </w:tr>
      <w:tr>
        <w:tc>
          <w:tcPr>
            <w:tcW w:type="dxa" w:w="3360"/>
          </w:tcPr>
          <w:p>
            <w:pPr>
              <w:spacing w:after="80"/>
            </w:pPr>
            <w:r>
              <w:rPr>
                <w:sz w:val="18"/>
              </w:rPr>
              <w:t>fv de comparación</w:t>
            </w:r>
          </w:p>
        </w:tc>
        <w:tc>
          <w:tcPr>
            <w:tcW w:type="dxa" w:w="3360"/>
          </w:tcPr>
          <w:p>
            <w:pPr>
              <w:spacing w:after="80"/>
            </w:pPr>
            <w:r>
              <w:rPr>
                <w:sz w:val="18"/>
              </w:rPr>
              <w:t>8,2 MPa</w:t>
            </w:r>
          </w:p>
        </w:tc>
        <w:tc>
          <w:tcPr>
            <w:tcW w:type="dxa" w:w="3360"/>
          </w:tcPr>
          <w:p>
            <w:pPr>
              <w:spacing w:after="80"/>
            </w:pPr>
            <w:r>
              <w:rPr>
                <w:sz w:val="18"/>
              </w:rPr>
              <w:t>Anexo 2 p.8</w:t>
            </w:r>
          </w:p>
        </w:tc>
      </w:tr>
      <w:tr>
        <w:tc>
          <w:tcPr>
            <w:tcW w:type="dxa" w:w="3360"/>
          </w:tcPr>
          <w:p>
            <w:pPr>
              <w:spacing w:after="80"/>
            </w:pPr>
            <w:r>
              <w:rPr>
                <w:sz w:val="18"/>
              </w:rPr>
              <w:t>Módulo elástico E</w:t>
            </w:r>
          </w:p>
        </w:tc>
        <w:tc>
          <w:tcPr>
            <w:tcW w:type="dxa" w:w="3360"/>
          </w:tcPr>
          <w:p>
            <w:pPr>
              <w:spacing w:after="80"/>
            </w:pPr>
            <w:r>
              <w:rPr>
                <w:sz w:val="18"/>
              </w:rPr>
              <w:t>6 800 MPa</w:t>
            </w:r>
          </w:p>
        </w:tc>
        <w:tc>
          <w:tcPr>
            <w:tcW w:type="dxa" w:w="3360"/>
          </w:tcPr>
          <w:p>
            <w:pPr>
              <w:spacing w:after="80"/>
            </w:pPr>
            <w:r>
              <w:rPr>
                <w:sz w:val="18"/>
              </w:rPr>
              <w:t>Anexo 2 p.8</w:t>
            </w:r>
          </w:p>
        </w:tc>
      </w:tr>
      <w:tr>
        <w:tc>
          <w:tcPr>
            <w:tcW w:type="dxa" w:w="3360"/>
          </w:tcPr>
          <w:p>
            <w:pPr>
              <w:spacing w:after="80"/>
            </w:pPr>
            <w:r>
              <w:rPr>
                <w:sz w:val="18"/>
              </w:rPr>
              <w:t>Resistencia de compresión de referencia</w:t>
            </w:r>
          </w:p>
        </w:tc>
        <w:tc>
          <w:tcPr>
            <w:tcW w:type="dxa" w:w="3360"/>
          </w:tcPr>
          <w:p>
            <w:pPr>
              <w:spacing w:after="80"/>
            </w:pPr>
            <w:r>
              <w:rPr>
                <w:sz w:val="18"/>
              </w:rPr>
              <w:t>48,5 MPa</w:t>
            </w:r>
          </w:p>
        </w:tc>
        <w:tc>
          <w:tcPr>
            <w:tcW w:type="dxa" w:w="3360"/>
          </w:tcPr>
          <w:p>
            <w:pPr>
              <w:spacing w:after="80"/>
            </w:pPr>
            <w:r>
              <w:rPr>
                <w:sz w:val="18"/>
              </w:rPr>
              <w:t>Anexo 2 p.12</w:t>
            </w:r>
          </w:p>
        </w:tc>
      </w:tr>
      <w:tr>
        <w:tc>
          <w:tcPr>
            <w:tcW w:type="dxa" w:w="3360"/>
          </w:tcPr>
          <w:p>
            <w:pPr>
              <w:spacing w:after="80"/>
            </w:pPr>
            <w:r>
              <w:rPr>
                <w:sz w:val="18"/>
              </w:rPr>
              <w:t>Peso de poste para q</w:t>
            </w:r>
          </w:p>
        </w:tc>
        <w:tc>
          <w:tcPr>
            <w:tcW w:type="dxa" w:w="3360"/>
          </w:tcPr>
          <w:p>
            <w:pPr>
              <w:spacing w:after="80"/>
            </w:pPr>
            <w:r>
              <w:rPr>
                <w:sz w:val="18"/>
              </w:rPr>
              <w:t>0,40 kN</w:t>
            </w:r>
          </w:p>
        </w:tc>
        <w:tc>
          <w:tcPr>
            <w:tcW w:type="dxa" w:w="3360"/>
          </w:tcPr>
          <w:p>
            <w:pPr>
              <w:spacing w:after="80"/>
            </w:pPr>
            <w:r>
              <w:rPr>
                <w:sz w:val="18"/>
              </w:rPr>
              <w:t>Anexo 2 §7.17</w:t>
            </w:r>
          </w:p>
        </w:tc>
      </w:tr>
    </w:tbl>
    <w:p/>
    <w:p>
      <w:r>
        <w:t>Sección circular: A=0,017671 m²; I=2.485049e-05 m⁴; Z=3.313399e-04 m³. Momento resistente de comparación Mcap=Z·fb=19,880 kN·m. En el caso V (voladizo 2,00 m), Fp=F/3 y M=Fp·2.</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Comprobación del eucalipto / caso V</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Fp</w:t>
            </w:r>
          </w:p>
        </w:tc>
        <w:tc>
          <w:tcPr>
            <w:tcW w:type="dxa" w:w="3360"/>
          </w:tcPr>
          <w:p>
            <w:pPr>
              <w:spacing w:after="80"/>
            </w:pPr>
            <w:r>
              <w:rPr>
                <w:sz w:val="18"/>
              </w:rPr>
              <w:t>5,316 kN</w:t>
            </w:r>
          </w:p>
        </w:tc>
        <w:tc>
          <w:tcPr>
            <w:tcW w:type="dxa" w:w="3360"/>
          </w:tcPr>
          <w:p>
            <w:pPr>
              <w:spacing w:after="80"/>
            </w:pPr>
            <w:r>
              <w:rPr>
                <w:sz w:val="18"/>
              </w:rPr>
              <w:t>7,396 kN</w:t>
            </w:r>
          </w:p>
        </w:tc>
      </w:tr>
      <w:tr>
        <w:tc>
          <w:tcPr>
            <w:tcW w:type="dxa" w:w="3360"/>
          </w:tcPr>
          <w:p>
            <w:pPr>
              <w:spacing w:after="80"/>
            </w:pPr>
            <w:r>
              <w:rPr>
                <w:sz w:val="18"/>
              </w:rPr>
              <w:t>M</w:t>
            </w:r>
          </w:p>
        </w:tc>
        <w:tc>
          <w:tcPr>
            <w:tcW w:type="dxa" w:w="3360"/>
          </w:tcPr>
          <w:p>
            <w:pPr>
              <w:spacing w:after="80"/>
            </w:pPr>
            <w:r>
              <w:rPr>
                <w:sz w:val="18"/>
              </w:rPr>
              <w:t>10,631 kN·m</w:t>
            </w:r>
          </w:p>
        </w:tc>
        <w:tc>
          <w:tcPr>
            <w:tcW w:type="dxa" w:w="3360"/>
          </w:tcPr>
          <w:p>
            <w:pPr>
              <w:spacing w:after="80"/>
            </w:pPr>
            <w:r>
              <w:rPr>
                <w:sz w:val="18"/>
              </w:rPr>
              <w:t>14,791 kN·m</w:t>
            </w:r>
          </w:p>
        </w:tc>
      </w:tr>
      <w:tr>
        <w:tc>
          <w:tcPr>
            <w:tcW w:type="dxa" w:w="3360"/>
          </w:tcPr>
          <w:p>
            <w:pPr>
              <w:spacing w:after="80"/>
            </w:pPr>
            <w:r>
              <w:rPr>
                <w:sz w:val="18"/>
              </w:rPr>
              <w:t>σb</w:t>
            </w:r>
          </w:p>
        </w:tc>
        <w:tc>
          <w:tcPr>
            <w:tcW w:type="dxa" w:w="3360"/>
          </w:tcPr>
          <w:p>
            <w:pPr>
              <w:spacing w:after="80"/>
            </w:pPr>
            <w:r>
              <w:rPr>
                <w:sz w:val="18"/>
              </w:rPr>
              <w:t>32,085 MPa</w:t>
            </w:r>
          </w:p>
        </w:tc>
        <w:tc>
          <w:tcPr>
            <w:tcW w:type="dxa" w:w="3360"/>
          </w:tcPr>
          <w:p>
            <w:pPr>
              <w:spacing w:after="80"/>
            </w:pPr>
            <w:r>
              <w:rPr>
                <w:sz w:val="18"/>
              </w:rPr>
              <w:t>44,640 MPa</w:t>
            </w:r>
          </w:p>
        </w:tc>
      </w:tr>
      <w:tr>
        <w:tc>
          <w:tcPr>
            <w:tcW w:type="dxa" w:w="3360"/>
          </w:tcPr>
          <w:p>
            <w:pPr>
              <w:spacing w:after="80"/>
            </w:pPr>
            <w:r>
              <w:rPr>
                <w:sz w:val="18"/>
              </w:rPr>
              <w:t>RU flexión=σb/60</w:t>
            </w:r>
          </w:p>
        </w:tc>
        <w:tc>
          <w:tcPr>
            <w:tcW w:type="dxa" w:w="3360"/>
          </w:tcPr>
          <w:p>
            <w:pPr>
              <w:spacing w:after="80"/>
            </w:pPr>
            <w:r>
              <w:rPr>
                <w:sz w:val="18"/>
              </w:rPr>
              <w:t>0,535</w:t>
            </w:r>
          </w:p>
        </w:tc>
        <w:tc>
          <w:tcPr>
            <w:tcW w:type="dxa" w:w="3360"/>
          </w:tcPr>
          <w:p>
            <w:pPr>
              <w:spacing w:after="80"/>
            </w:pPr>
            <w:r>
              <w:rPr>
                <w:sz w:val="18"/>
              </w:rPr>
              <w:t>0,744</w:t>
            </w:r>
          </w:p>
        </w:tc>
      </w:tr>
      <w:tr>
        <w:tc>
          <w:tcPr>
            <w:tcW w:type="dxa" w:w="3360"/>
          </w:tcPr>
          <w:p>
            <w:pPr>
              <w:spacing w:after="80"/>
            </w:pPr>
            <w:r>
              <w:rPr>
                <w:sz w:val="18"/>
              </w:rPr>
              <w:t>τmax</w:t>
            </w:r>
          </w:p>
        </w:tc>
        <w:tc>
          <w:tcPr>
            <w:tcW w:type="dxa" w:w="3360"/>
          </w:tcPr>
          <w:p>
            <w:pPr>
              <w:spacing w:after="80"/>
            </w:pPr>
            <w:r>
              <w:rPr>
                <w:sz w:val="18"/>
              </w:rPr>
              <w:t>0,401 MPa</w:t>
            </w:r>
          </w:p>
        </w:tc>
        <w:tc>
          <w:tcPr>
            <w:tcW w:type="dxa" w:w="3360"/>
          </w:tcPr>
          <w:p>
            <w:pPr>
              <w:spacing w:after="80"/>
            </w:pPr>
            <w:r>
              <w:rPr>
                <w:sz w:val="18"/>
              </w:rPr>
              <w:t>0,558 MPa</w:t>
            </w:r>
          </w:p>
        </w:tc>
      </w:tr>
      <w:tr>
        <w:tc>
          <w:tcPr>
            <w:tcW w:type="dxa" w:w="3360"/>
          </w:tcPr>
          <w:p>
            <w:pPr>
              <w:spacing w:after="80"/>
            </w:pPr>
            <w:r>
              <w:rPr>
                <w:sz w:val="18"/>
              </w:rPr>
              <w:t>RU cortante=τmax/8,2</w:t>
            </w:r>
          </w:p>
        </w:tc>
        <w:tc>
          <w:tcPr>
            <w:tcW w:type="dxa" w:w="3360"/>
          </w:tcPr>
          <w:p>
            <w:pPr>
              <w:spacing w:after="80"/>
            </w:pPr>
            <w:r>
              <w:rPr>
                <w:sz w:val="18"/>
              </w:rPr>
              <w:t>0,049</w:t>
            </w:r>
          </w:p>
        </w:tc>
        <w:tc>
          <w:tcPr>
            <w:tcW w:type="dxa" w:w="3360"/>
          </w:tcPr>
          <w:p>
            <w:pPr>
              <w:spacing w:after="80"/>
            </w:pPr>
            <w:r>
              <w:rPr>
                <w:sz w:val="18"/>
              </w:rPr>
              <w:t>0,068</w:t>
            </w:r>
          </w:p>
        </w:tc>
      </w:tr>
      <w:tr>
        <w:tc>
          <w:tcPr>
            <w:tcW w:type="dxa" w:w="3360"/>
          </w:tcPr>
          <w:p>
            <w:pPr>
              <w:spacing w:after="80"/>
            </w:pPr>
            <w:r>
              <w:rPr>
                <w:sz w:val="18"/>
              </w:rPr>
              <w:t>Resultado de comparación del Anexo</w:t>
            </w:r>
          </w:p>
        </w:tc>
        <w:tc>
          <w:tcPr>
            <w:tcW w:type="dxa" w:w="3360"/>
          </w:tcPr>
          <w:p>
            <w:pPr>
              <w:spacing w:after="80"/>
            </w:pPr>
            <w:r>
              <w:rPr>
                <w:sz w:val="18"/>
              </w:rPr>
              <w:t>RU flexión y corte &lt;1</w:t>
            </w:r>
          </w:p>
        </w:tc>
        <w:tc>
          <w:tcPr>
            <w:tcW w:type="dxa" w:w="3360"/>
          </w:tcPr>
          <w:p>
            <w:pPr>
              <w:spacing w:after="80"/>
            </w:pPr>
            <w:r>
              <w:rPr>
                <w:sz w:val="18"/>
              </w:rPr>
              <w:t>RU flexión y corte &lt;1</w:t>
            </w:r>
          </w:p>
        </w:tc>
      </w:tr>
    </w:tbl>
    <w:p/>
    <w:p>
      <w:r>
        <w:t>Los resultados son comprobaciones frente a las resistencias de cálculo que utiliza el Anexo. La regla 0,54 de su módulo de rotura no se presenta como una clasificación estructural independiente ni como ensayo de los postes a suministrar. La aceptación numérica se limita a los valores y mecanismos identificados.</w:t>
      </w:r>
    </w:p>
    <w:p>
      <w:r>
        <w:br w:type="page"/>
      </w:r>
    </w:p>
    <w:p>
      <w:pPr>
        <w:pStyle w:val="Heading1"/>
      </w:pPr>
      <w:r>
        <w:t>5E-b. Deformación y participación energética</w:t>
      </w:r>
    </w:p>
    <w:p>
      <w:r>
        <w:t>Se completa la deformación elástica con E=6 800 MPa e I de Ø150 mm. Caso V: Δ=Fp h³/(3EI), con E=6 800 000 kN/m². Deformación mínima exigida por flexión del modelo: δmin=2Edh/(3Mcap).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Resultado de deformación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Δ del poste</w:t>
            </w:r>
          </w:p>
        </w:tc>
        <w:tc>
          <w:tcPr>
            <w:tcW w:type="dxa" w:w="3360"/>
          </w:tcPr>
          <w:p>
            <w:pPr>
              <w:spacing w:after="80"/>
            </w:pPr>
            <w:r>
              <w:rPr>
                <w:sz w:val="18"/>
              </w:rPr>
              <w:t>0,08388 m</w:t>
            </w:r>
          </w:p>
        </w:tc>
        <w:tc>
          <w:tcPr>
            <w:tcW w:type="dxa" w:w="3360"/>
          </w:tcPr>
          <w:p>
            <w:pPr>
              <w:spacing w:after="80"/>
            </w:pPr>
            <w:r>
              <w:rPr>
                <w:sz w:val="18"/>
              </w:rPr>
              <w:t>0,11671 m</w:t>
            </w:r>
          </w:p>
        </w:tc>
      </w:tr>
      <w:tr>
        <w:tc>
          <w:tcPr>
            <w:tcW w:type="dxa" w:w="3360"/>
          </w:tcPr>
          <w:p>
            <w:pPr>
              <w:spacing w:after="80"/>
            </w:pPr>
            <w:r>
              <w:rPr>
                <w:sz w:val="18"/>
              </w:rPr>
              <w:t>δmin por flexión</w:t>
            </w:r>
          </w:p>
        </w:tc>
        <w:tc>
          <w:tcPr>
            <w:tcW w:type="dxa" w:w="3360"/>
          </w:tcPr>
          <w:p>
            <w:pPr>
              <w:spacing w:after="80"/>
            </w:pPr>
            <w:r>
              <w:rPr>
                <w:sz w:val="18"/>
              </w:rPr>
              <w:t>0,802 m</w:t>
            </w:r>
          </w:p>
        </w:tc>
        <w:tc>
          <w:tcPr>
            <w:tcW w:type="dxa" w:w="3360"/>
          </w:tcPr>
          <w:p>
            <w:pPr>
              <w:spacing w:after="80"/>
            </w:pPr>
            <w:r>
              <w:rPr>
                <w:sz w:val="18"/>
              </w:rPr>
              <w:t>1,116 m</w:t>
            </w:r>
          </w:p>
        </w:tc>
      </w:tr>
      <w:tr>
        <w:tc>
          <w:tcPr>
            <w:tcW w:type="dxa" w:w="3360"/>
          </w:tcPr>
          <w:p>
            <w:pPr>
              <w:spacing w:after="80"/>
            </w:pPr>
            <w:r>
              <w:rPr>
                <w:sz w:val="18"/>
              </w:rPr>
              <w:t>δ global usada en el Anexo</w:t>
            </w:r>
          </w:p>
        </w:tc>
        <w:tc>
          <w:tcPr>
            <w:tcW w:type="dxa" w:w="3360"/>
          </w:tcPr>
          <w:p>
            <w:pPr>
              <w:spacing w:after="80"/>
            </w:pPr>
            <w:r>
              <w:rPr>
                <w:sz w:val="18"/>
              </w:rPr>
              <w:t>1,500 m</w:t>
            </w:r>
          </w:p>
        </w:tc>
        <w:tc>
          <w:tcPr>
            <w:tcW w:type="dxa" w:w="3360"/>
          </w:tcPr>
          <w:p>
            <w:pPr>
              <w:spacing w:after="80"/>
            </w:pPr>
            <w:r>
              <w:rPr>
                <w:sz w:val="18"/>
              </w:rPr>
              <w:t>1,500 m</w:t>
            </w:r>
          </w:p>
        </w:tc>
      </w:tr>
    </w:tbl>
    <w:p/>
    <w:p>
      <w:r>
        <w:t>La deformación mínima de flexión no es una deformación acreditada del kit. El cálculo de fuerza requiere 1,50 m de recorrido global, mientras el poste elástico aporta solo una parte. La rigidez, holgura, malla, cables, fijaciones y terreno forman un sistema compatible; no se obtiene el recorrido global sumando desplazamientos de mecanismos incompatibles.</w:t>
      </w:r>
    </w:p>
    <w:p>
      <w:pPr>
        <w:pStyle w:val="Heading2"/>
      </w:pPr>
      <w:r>
        <w:t>5E-b.1 Aporte energético elástico de postes</w:t>
      </w:r>
    </w:p>
    <w:p>
      <w:r>
        <w:t>Para tres postes del caso V, Upostes=3×½FpΔ. En S2: Upostes=1,295 kJ, frente a Ed=16,64 kJ. Esta comparación cuantifica que la flexión elástica del poste por sí sola no aporta la energía total; no atribuye la diferencia a deformaciones que no hayan sido cuantificadas.</w:t>
      </w:r>
    </w:p>
    <w:p>
      <w:pPr>
        <w:pStyle w:val="Heading2"/>
      </w:pPr>
      <w:r>
        <w:t>5E-b.2 Sensibilidad del reparto con valores del eucalipto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 S2</w:t>
            </w:r>
          </w:p>
        </w:tc>
        <w:tc>
          <w:tcPr>
            <w:tcW w:type="dxa" w:w="3360"/>
          </w:tcPr>
          <w:p>
            <w:pPr>
              <w:spacing w:after="80"/>
            </w:pPr>
            <w:r>
              <w:rPr>
                <w:sz w:val="18"/>
              </w:rPr>
              <w:t>RU flexión, caso V</w:t>
            </w:r>
          </w:p>
        </w:tc>
        <w:tc>
          <w:tcPr>
            <w:tcW w:type="dxa" w:w="3360"/>
          </w:tcPr>
          <w:p>
            <w:pPr>
              <w:spacing w:after="80"/>
            </w:pPr>
            <w:r>
              <w:rPr>
                <w:sz w:val="18"/>
              </w:rPr>
              <w:t>Resultado contra fb=60 MPa</w:t>
            </w:r>
          </w:p>
        </w:tc>
      </w:tr>
      <w:tr>
        <w:tc>
          <w:tcPr>
            <w:tcW w:type="dxa" w:w="3360"/>
          </w:tcPr>
          <w:p>
            <w:pPr>
              <w:spacing w:after="80"/>
            </w:pPr>
            <w:r>
              <w:rPr>
                <w:sz w:val="18"/>
              </w:rPr>
              <w:t>3</w:t>
            </w:r>
          </w:p>
        </w:tc>
        <w:tc>
          <w:tcPr>
            <w:tcW w:type="dxa" w:w="3360"/>
          </w:tcPr>
          <w:p>
            <w:pPr>
              <w:spacing w:after="80"/>
            </w:pPr>
            <w:r>
              <w:rPr>
                <w:sz w:val="18"/>
              </w:rPr>
              <w:t>0,744</w:t>
            </w:r>
          </w:p>
        </w:tc>
        <w:tc>
          <w:tcPr>
            <w:tcW w:type="dxa" w:w="3360"/>
          </w:tcPr>
          <w:p>
            <w:pPr>
              <w:spacing w:after="80"/>
            </w:pPr>
            <w:r>
              <w:rPr>
                <w:sz w:val="18"/>
              </w:rPr>
              <w:t>Menor que 1</w:t>
            </w:r>
          </w:p>
        </w:tc>
      </w:tr>
      <w:tr>
        <w:tc>
          <w:tcPr>
            <w:tcW w:type="dxa" w:w="3360"/>
          </w:tcPr>
          <w:p>
            <w:pPr>
              <w:spacing w:after="80"/>
            </w:pPr>
            <w:r>
              <w:rPr>
                <w:sz w:val="18"/>
              </w:rPr>
              <w:t>2</w:t>
            </w:r>
          </w:p>
        </w:tc>
        <w:tc>
          <w:tcPr>
            <w:tcW w:type="dxa" w:w="3360"/>
          </w:tcPr>
          <w:p>
            <w:pPr>
              <w:spacing w:after="80"/>
            </w:pPr>
            <w:r>
              <w:rPr>
                <w:sz w:val="18"/>
              </w:rPr>
              <w:t>1,116</w:t>
            </w:r>
          </w:p>
        </w:tc>
        <w:tc>
          <w:tcPr>
            <w:tcW w:type="dxa" w:w="3360"/>
          </w:tcPr>
          <w:p>
            <w:pPr>
              <w:spacing w:after="80"/>
            </w:pPr>
            <w:r>
              <w:rPr>
                <w:sz w:val="18"/>
              </w:rPr>
              <w:t>Mayor que 1</w:t>
            </w:r>
          </w:p>
        </w:tc>
      </w:tr>
      <w:tr>
        <w:tc>
          <w:tcPr>
            <w:tcW w:type="dxa" w:w="3360"/>
          </w:tcPr>
          <w:p>
            <w:pPr>
              <w:spacing w:after="80"/>
            </w:pPr>
            <w:r>
              <w:rPr>
                <w:sz w:val="18"/>
              </w:rPr>
              <w:t>1</w:t>
            </w:r>
          </w:p>
        </w:tc>
        <w:tc>
          <w:tcPr>
            <w:tcW w:type="dxa" w:w="3360"/>
          </w:tcPr>
          <w:p>
            <w:pPr>
              <w:spacing w:after="80"/>
            </w:pPr>
            <w:r>
              <w:rPr>
                <w:sz w:val="18"/>
              </w:rPr>
              <w:t>2,232</w:t>
            </w:r>
          </w:p>
        </w:tc>
        <w:tc>
          <w:tcPr>
            <w:tcW w:type="dxa" w:w="3360"/>
          </w:tcPr>
          <w:p>
            <w:pPr>
              <w:spacing w:after="80"/>
            </w:pPr>
            <w:r>
              <w:rPr>
                <w:sz w:val="18"/>
              </w:rPr>
              <w:t>Mayor que 1</w:t>
            </w:r>
          </w:p>
        </w:tc>
      </w:tr>
    </w:tbl>
    <w:p/>
    <w:p>
      <w:r>
        <w:t>La distribución de tres postes forma parte del mecanismo del Anexo. El resultado favorable de flexión con tres postes no se extiende a impactos que carguen uno o dos postes en el caso V. Para el caso A se calculan por separado las reacciones y momentos con retenida en §5F.</w:t>
      </w:r>
    </w:p>
    <w:p>
      <w:r>
        <w:br w:type="page"/>
      </w:r>
    </w:p>
    <w:p>
      <w:pPr>
        <w:pStyle w:val="Heading1"/>
      </w:pPr>
      <w:r>
        <w:t>5F. Poste con retenida y reparto entre apoyos</w:t>
      </w:r>
    </w:p>
    <w:p>
      <w:r>
        <w:t>Caso A del Anexo: apoyo en base y retenida efectiva en cabeza. Centro de impacto hi=0,20+0,914/2=0,657 m; altura h=2,00 m. Rbase=Fp(h−hi)/h; Rcabeza=Fp hi/h; Ma=Fp hi(h−hi)/h. Este caso no se mezcla con la rigidez y la flecha de un voladizo sin retenida.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Caso A con 3 postes</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Rbase</w:t>
            </w:r>
          </w:p>
        </w:tc>
        <w:tc>
          <w:tcPr>
            <w:tcW w:type="dxa" w:w="3360"/>
          </w:tcPr>
          <w:p>
            <w:pPr>
              <w:spacing w:after="80"/>
            </w:pPr>
            <w:r>
              <w:rPr>
                <w:sz w:val="18"/>
              </w:rPr>
              <w:t>3,569 kN</w:t>
            </w:r>
          </w:p>
        </w:tc>
        <w:tc>
          <w:tcPr>
            <w:tcW w:type="dxa" w:w="3360"/>
          </w:tcPr>
          <w:p>
            <w:pPr>
              <w:spacing w:after="80"/>
            </w:pPr>
            <w:r>
              <w:rPr>
                <w:sz w:val="18"/>
              </w:rPr>
              <w:t>4,966 kN</w:t>
            </w:r>
          </w:p>
        </w:tc>
      </w:tr>
      <w:tr>
        <w:tc>
          <w:tcPr>
            <w:tcW w:type="dxa" w:w="3360"/>
          </w:tcPr>
          <w:p>
            <w:pPr>
              <w:spacing w:after="80"/>
            </w:pPr>
            <w:r>
              <w:rPr>
                <w:sz w:val="18"/>
              </w:rPr>
              <w:t>Rcabeza a hi=0,657 m</w:t>
            </w:r>
          </w:p>
        </w:tc>
        <w:tc>
          <w:tcPr>
            <w:tcW w:type="dxa" w:w="3360"/>
          </w:tcPr>
          <w:p>
            <w:pPr>
              <w:spacing w:after="80"/>
            </w:pPr>
            <w:r>
              <w:rPr>
                <w:sz w:val="18"/>
              </w:rPr>
              <w:t>1,746 kN</w:t>
            </w:r>
          </w:p>
        </w:tc>
        <w:tc>
          <w:tcPr>
            <w:tcW w:type="dxa" w:w="3360"/>
          </w:tcPr>
          <w:p>
            <w:pPr>
              <w:spacing w:after="80"/>
            </w:pPr>
            <w:r>
              <w:rPr>
                <w:sz w:val="18"/>
              </w:rPr>
              <w:t>2,429 kN</w:t>
            </w:r>
          </w:p>
        </w:tc>
      </w:tr>
      <w:tr>
        <w:tc>
          <w:tcPr>
            <w:tcW w:type="dxa" w:w="3360"/>
          </w:tcPr>
          <w:p>
            <w:pPr>
              <w:spacing w:after="80"/>
            </w:pPr>
            <w:r>
              <w:rPr>
                <w:sz w:val="18"/>
              </w:rPr>
              <w:t>Ma</w:t>
            </w:r>
          </w:p>
        </w:tc>
        <w:tc>
          <w:tcPr>
            <w:tcW w:type="dxa" w:w="3360"/>
          </w:tcPr>
          <w:p>
            <w:pPr>
              <w:spacing w:after="80"/>
            </w:pPr>
            <w:r>
              <w:rPr>
                <w:sz w:val="18"/>
              </w:rPr>
              <w:t>2,345 kN·m</w:t>
            </w:r>
          </w:p>
        </w:tc>
        <w:tc>
          <w:tcPr>
            <w:tcW w:type="dxa" w:w="3360"/>
          </w:tcPr>
          <w:p>
            <w:pPr>
              <w:spacing w:after="80"/>
            </w:pPr>
            <w:r>
              <w:rPr>
                <w:sz w:val="18"/>
              </w:rPr>
              <w:t>3,263 kN·m</w:t>
            </w:r>
          </w:p>
        </w:tc>
      </w:tr>
      <w:tr>
        <w:tc>
          <w:tcPr>
            <w:tcW w:type="dxa" w:w="3360"/>
          </w:tcPr>
          <w:p>
            <w:pPr>
              <w:spacing w:after="80"/>
            </w:pPr>
            <w:r>
              <w:rPr>
                <w:sz w:val="18"/>
              </w:rPr>
              <w:t>σb de Ø150 mm</w:t>
            </w:r>
          </w:p>
        </w:tc>
        <w:tc>
          <w:tcPr>
            <w:tcW w:type="dxa" w:w="3360"/>
          </w:tcPr>
          <w:p>
            <w:pPr>
              <w:spacing w:after="80"/>
            </w:pPr>
            <w:r>
              <w:rPr>
                <w:sz w:val="18"/>
              </w:rPr>
              <w:t>7,078 MPa</w:t>
            </w:r>
          </w:p>
        </w:tc>
        <w:tc>
          <w:tcPr>
            <w:tcW w:type="dxa" w:w="3360"/>
          </w:tcPr>
          <w:p>
            <w:pPr>
              <w:spacing w:after="80"/>
            </w:pPr>
            <w:r>
              <w:rPr>
                <w:sz w:val="18"/>
              </w:rPr>
              <w:t>9,847 MPa</w:t>
            </w:r>
          </w:p>
        </w:tc>
      </w:tr>
    </w:tbl>
    <w:p/>
    <w:p>
      <w:pPr>
        <w:pStyle w:val="Heading2"/>
      </w:pPr>
      <w:r>
        <w:t>5F.1 Reparto entre postes: demanda envolvente de componentes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del mecanismo</w:t>
            </w:r>
          </w:p>
        </w:tc>
        <w:tc>
          <w:tcPr>
            <w:tcW w:type="dxa" w:w="3360"/>
          </w:tcPr>
          <w:p>
            <w:pPr>
              <w:spacing w:after="80"/>
            </w:pPr>
            <w:r>
              <w:rPr>
                <w:sz w:val="18"/>
              </w:rPr>
              <w:t>Fp / Mv en S2</w:t>
            </w:r>
          </w:p>
        </w:tc>
        <w:tc>
          <w:tcPr>
            <w:tcW w:type="dxa" w:w="3360"/>
          </w:tcPr>
          <w:p>
            <w:pPr>
              <w:spacing w:after="80"/>
            </w:pPr>
            <w:r>
              <w:rPr>
                <w:sz w:val="18"/>
              </w:rPr>
              <w:t>Ma a hi=0,657 m</w:t>
            </w:r>
          </w:p>
        </w:tc>
      </w:tr>
      <w:tr>
        <w:tc>
          <w:tcPr>
            <w:tcW w:type="dxa" w:w="3360"/>
          </w:tcPr>
          <w:p>
            <w:pPr>
              <w:spacing w:after="80"/>
            </w:pPr>
            <w:r>
              <w:rPr>
                <w:sz w:val="18"/>
              </w:rPr>
              <w:t>3</w:t>
            </w:r>
          </w:p>
        </w:tc>
        <w:tc>
          <w:tcPr>
            <w:tcW w:type="dxa" w:w="3360"/>
          </w:tcPr>
          <w:p>
            <w:pPr>
              <w:spacing w:after="80"/>
            </w:pPr>
            <w:r>
              <w:rPr>
                <w:sz w:val="18"/>
              </w:rPr>
              <w:t>7,396 kN / 14,791 kN·m</w:t>
            </w:r>
          </w:p>
        </w:tc>
        <w:tc>
          <w:tcPr>
            <w:tcW w:type="dxa" w:w="3360"/>
          </w:tcPr>
          <w:p>
            <w:pPr>
              <w:spacing w:after="80"/>
            </w:pPr>
            <w:r>
              <w:rPr>
                <w:sz w:val="18"/>
              </w:rPr>
              <w:t>3,263 kN·m</w:t>
            </w:r>
          </w:p>
        </w:tc>
      </w:tr>
      <w:tr>
        <w:tc>
          <w:tcPr>
            <w:tcW w:type="dxa" w:w="3360"/>
          </w:tcPr>
          <w:p>
            <w:pPr>
              <w:spacing w:after="80"/>
            </w:pPr>
            <w:r>
              <w:rPr>
                <w:sz w:val="18"/>
              </w:rPr>
              <w:t>2</w:t>
            </w:r>
          </w:p>
        </w:tc>
        <w:tc>
          <w:tcPr>
            <w:tcW w:type="dxa" w:w="3360"/>
          </w:tcPr>
          <w:p>
            <w:pPr>
              <w:spacing w:after="80"/>
            </w:pPr>
            <w:r>
              <w:rPr>
                <w:sz w:val="18"/>
              </w:rPr>
              <w:t>11,093 kN / 22,187 kN·m</w:t>
            </w:r>
          </w:p>
        </w:tc>
        <w:tc>
          <w:tcPr>
            <w:tcW w:type="dxa" w:w="3360"/>
          </w:tcPr>
          <w:p>
            <w:pPr>
              <w:spacing w:after="80"/>
            </w:pPr>
            <w:r>
              <w:rPr>
                <w:sz w:val="18"/>
              </w:rPr>
              <w:t>4,894 kN·m</w:t>
            </w:r>
          </w:p>
        </w:tc>
      </w:tr>
      <w:tr>
        <w:tc>
          <w:tcPr>
            <w:tcW w:type="dxa" w:w="3360"/>
          </w:tcPr>
          <w:p>
            <w:pPr>
              <w:spacing w:after="80"/>
            </w:pPr>
            <w:r>
              <w:rPr>
                <w:sz w:val="18"/>
              </w:rPr>
              <w:t>1</w:t>
            </w:r>
          </w:p>
        </w:tc>
        <w:tc>
          <w:tcPr>
            <w:tcW w:type="dxa" w:w="3360"/>
          </w:tcPr>
          <w:p>
            <w:pPr>
              <w:spacing w:after="80"/>
            </w:pPr>
            <w:r>
              <w:rPr>
                <w:sz w:val="18"/>
              </w:rPr>
              <w:t>22,187 kN / 44,373 kN·m</w:t>
            </w:r>
          </w:p>
        </w:tc>
        <w:tc>
          <w:tcPr>
            <w:tcW w:type="dxa" w:w="3360"/>
          </w:tcPr>
          <w:p>
            <w:pPr>
              <w:spacing w:after="80"/>
            </w:pPr>
            <w:r>
              <w:rPr>
                <w:sz w:val="18"/>
              </w:rPr>
              <w:t>9,788 kN·m</w:t>
            </w:r>
          </w:p>
        </w:tc>
      </w:tr>
    </w:tbl>
    <w:p/>
    <w:p>
      <w:r>
        <w:t>Con tres postes la flexión V de Ø150 mm demanda 44,64 MPa; con dos, 66,96 MPa; con uno, 133,92 MPa. Estas fuerzas de redistribución provienen de la misma energía documental; no representan una distribución medida de una malla de OPP.</w:t>
      </w:r>
    </w:p>
    <w:p>
      <w:pPr>
        <w:pStyle w:val="Heading2"/>
      </w:pPr>
      <w:r>
        <w:t>5F.2 Altura de carga y función de la retenida</w:t>
      </w:r>
    </w:p>
    <w:p>
      <w:r>
        <w:t>Para una carga en cualquier punto entre apoyos del caso A, Ma,max=Fp h/4. Con toda Fpico S2 sobre un poste: Ma,max=11,093 kN·m. En Ø150 mm exige 33,480 MPa; en Ø250 mm exige 7,232 MPa. La reducción depende de una retenida que efectivamente proporcione el apoyo; no se conserva al omitirla.</w:t>
      </w:r>
    </w:p>
    <w:p>
      <w:r>
        <w:t>Conclusión de poste arriostrado: con la geometría de Ø150 mm y valores de eucalipto del Anexo, el caso A con tres postes da σb=9,847 MPa, equivalente a RU=0,164 frente a fb=60 MPa. Esta comprobación exige el apoyo de cabeza y no reemplaza las reacciones de retenida ni la resistencia de sus conexiones.</w:t>
      </w:r>
    </w:p>
    <w:p>
      <w:r>
        <w:br w:type="page"/>
      </w:r>
    </w:p>
    <w:p>
      <w:pPr>
        <w:pStyle w:val="Heading1"/>
      </w:pPr>
      <w:r>
        <w:t>5G. Retenidas y muerto de anclaje</w:t>
      </w:r>
    </w:p>
    <w:p>
      <w:r>
        <w:t>Para reproducir la envolvente de D2 §7.14 se toma la carga Fp en cabeza y retenida a 45°: Tr=Fp/cos45°; componente vertical V=Fp. Se conservan rotura nominal 54 kN y cociente objetivo 3,00 del Anexo.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Retenida en S2</w:t>
            </w:r>
          </w:p>
        </w:tc>
        <w:tc>
          <w:tcPr>
            <w:tcW w:type="dxa" w:w="3360"/>
          </w:tcPr>
          <w:p>
            <w:pPr>
              <w:spacing w:after="80"/>
            </w:pPr>
            <w:r>
              <w:rPr>
                <w:sz w:val="18"/>
              </w:rPr>
              <w:t>Tr / razón 54/Tr</w:t>
            </w:r>
          </w:p>
        </w:tc>
        <w:tc>
          <w:tcPr>
            <w:tcW w:type="dxa" w:w="3360"/>
          </w:tcPr>
          <w:p>
            <w:pPr>
              <w:spacing w:after="80"/>
            </w:pPr>
            <w:r>
              <w:rPr>
                <w:sz w:val="18"/>
              </w:rPr>
              <w:t>Rotura efectiva requerida a FS=3</w:t>
            </w:r>
          </w:p>
        </w:tc>
      </w:tr>
      <w:tr>
        <w:tc>
          <w:tcPr>
            <w:tcW w:type="dxa" w:w="3360"/>
          </w:tcPr>
          <w:p>
            <w:pPr>
              <w:spacing w:after="80"/>
            </w:pPr>
            <w:r>
              <w:rPr>
                <w:sz w:val="18"/>
              </w:rPr>
              <w:t>3 poste(s) efectivos</w:t>
            </w:r>
          </w:p>
        </w:tc>
        <w:tc>
          <w:tcPr>
            <w:tcW w:type="dxa" w:w="3360"/>
          </w:tcPr>
          <w:p>
            <w:pPr>
              <w:spacing w:after="80"/>
            </w:pPr>
            <w:r>
              <w:rPr>
                <w:sz w:val="18"/>
              </w:rPr>
              <w:t>10,459 kN / 5,163</w:t>
            </w:r>
          </w:p>
        </w:tc>
        <w:tc>
          <w:tcPr>
            <w:tcW w:type="dxa" w:w="3360"/>
          </w:tcPr>
          <w:p>
            <w:pPr>
              <w:spacing w:after="80"/>
            </w:pPr>
            <w:r>
              <w:rPr>
                <w:sz w:val="18"/>
              </w:rPr>
              <w:t>31,377 kN</w:t>
            </w:r>
          </w:p>
        </w:tc>
      </w:tr>
      <w:tr>
        <w:tc>
          <w:tcPr>
            <w:tcW w:type="dxa" w:w="3360"/>
          </w:tcPr>
          <w:p>
            <w:pPr>
              <w:spacing w:after="80"/>
            </w:pPr>
            <w:r>
              <w:rPr>
                <w:sz w:val="18"/>
              </w:rPr>
              <w:t>2 poste(s) efectivos</w:t>
            </w:r>
          </w:p>
        </w:tc>
        <w:tc>
          <w:tcPr>
            <w:tcW w:type="dxa" w:w="3360"/>
          </w:tcPr>
          <w:p>
            <w:pPr>
              <w:spacing w:after="80"/>
            </w:pPr>
            <w:r>
              <w:rPr>
                <w:sz w:val="18"/>
              </w:rPr>
              <w:t>15,688 kN / 3,442</w:t>
            </w:r>
          </w:p>
        </w:tc>
        <w:tc>
          <w:tcPr>
            <w:tcW w:type="dxa" w:w="3360"/>
          </w:tcPr>
          <w:p>
            <w:pPr>
              <w:spacing w:after="80"/>
            </w:pPr>
            <w:r>
              <w:rPr>
                <w:sz w:val="18"/>
              </w:rPr>
              <w:t>47,065 kN</w:t>
            </w:r>
          </w:p>
        </w:tc>
      </w:tr>
      <w:tr>
        <w:tc>
          <w:tcPr>
            <w:tcW w:type="dxa" w:w="3360"/>
          </w:tcPr>
          <w:p>
            <w:pPr>
              <w:spacing w:after="80"/>
            </w:pPr>
            <w:r>
              <w:rPr>
                <w:sz w:val="18"/>
              </w:rPr>
              <w:t>1 poste(s) efectivos</w:t>
            </w:r>
          </w:p>
        </w:tc>
        <w:tc>
          <w:tcPr>
            <w:tcW w:type="dxa" w:w="3360"/>
          </w:tcPr>
          <w:p>
            <w:pPr>
              <w:spacing w:after="80"/>
            </w:pPr>
            <w:r>
              <w:rPr>
                <w:sz w:val="18"/>
              </w:rPr>
              <w:t>31,377 kN / 1,721</w:t>
            </w:r>
          </w:p>
        </w:tc>
        <w:tc>
          <w:tcPr>
            <w:tcW w:type="dxa" w:w="3360"/>
          </w:tcPr>
          <w:p>
            <w:pPr>
              <w:spacing w:after="80"/>
            </w:pPr>
            <w:r>
              <w:rPr>
                <w:sz w:val="18"/>
              </w:rPr>
              <w:t>94,130 kN</w:t>
            </w:r>
          </w:p>
        </w:tc>
      </w:tr>
    </w:tbl>
    <w:p/>
    <w:p>
      <w:r>
        <w:t>La terminación debe conservar la resistencia efectiva exigida; en la condición de tres postes la eficiencia mínima es 58,10 %. Con un solo poste, los 54 kN nominales son inferiores a 94,13 kN requeridos para el cociente 3,00. Ese cable no queda aceptado para dicho caso por tener un diámetro comercial igual al de la memoria.</w:t>
      </w:r>
    </w:p>
    <w:p>
      <w:pPr>
        <w:pStyle w:val="Heading2"/>
      </w:pPr>
      <w:r>
        <w:t>5G.1 Muerto de retenida del Anexo</w:t>
      </w:r>
    </w:p>
    <w:p>
      <w:r>
        <w:t>Dimensiones 1,00×0,60×0,60 m; techo z1=0,60 m; base z2=1,20 m. Wc=0,36×23=8,28 kN; Ws=0,36×19=6,84 kN; W=15,12 kN. Pasivo Pp=½γKp(z2²−z1²)B=41,245 kN. Fricción μ=tan(2φ/3)=0,459244. FSv=W/V; FSh=[Pp+μ(W−V)]/H, con V=H=Fp en esta envolvente.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Reparto S2</w:t>
            </w:r>
          </w:p>
        </w:tc>
        <w:tc>
          <w:tcPr>
            <w:tcW w:type="dxa" w:w="3360"/>
          </w:tcPr>
          <w:p>
            <w:pPr>
              <w:spacing w:after="80"/>
            </w:pPr>
            <w:r>
              <w:rPr>
                <w:sz w:val="18"/>
              </w:rPr>
              <w:t>FS vertical W/V</w:t>
            </w:r>
          </w:p>
        </w:tc>
        <w:tc>
          <w:tcPr>
            <w:tcW w:type="dxa" w:w="3360"/>
          </w:tcPr>
          <w:p>
            <w:pPr>
              <w:spacing w:after="80"/>
            </w:pPr>
            <w:r>
              <w:rPr>
                <w:sz w:val="18"/>
              </w:rPr>
              <w:t>Resultado respecto de 1,50</w:t>
            </w:r>
          </w:p>
        </w:tc>
      </w:tr>
      <w:tr>
        <w:tc>
          <w:tcPr>
            <w:tcW w:type="dxa" w:w="3360"/>
          </w:tcPr>
          <w:p>
            <w:pPr>
              <w:spacing w:after="80"/>
            </w:pPr>
            <w:r>
              <w:rPr>
                <w:sz w:val="18"/>
              </w:rPr>
              <w:t>3 poste(s)</w:t>
            </w:r>
          </w:p>
        </w:tc>
        <w:tc>
          <w:tcPr>
            <w:tcW w:type="dxa" w:w="3360"/>
          </w:tcPr>
          <w:p>
            <w:pPr>
              <w:spacing w:after="80"/>
            </w:pPr>
            <w:r>
              <w:rPr>
                <w:sz w:val="18"/>
              </w:rPr>
              <w:t>2,044</w:t>
            </w:r>
          </w:p>
        </w:tc>
        <w:tc>
          <w:tcPr>
            <w:tcW w:type="dxa" w:w="3360"/>
          </w:tcPr>
          <w:p>
            <w:pPr>
              <w:spacing w:after="80"/>
            </w:pPr>
            <w:r>
              <w:rPr>
                <w:sz w:val="18"/>
              </w:rPr>
              <w:t>Mayor que 1,50</w:t>
            </w:r>
          </w:p>
        </w:tc>
      </w:tr>
      <w:tr>
        <w:tc>
          <w:tcPr>
            <w:tcW w:type="dxa" w:w="3360"/>
          </w:tcPr>
          <w:p>
            <w:pPr>
              <w:spacing w:after="80"/>
            </w:pPr>
            <w:r>
              <w:rPr>
                <w:sz w:val="18"/>
              </w:rPr>
              <w:t>2 poste(s)</w:t>
            </w:r>
          </w:p>
        </w:tc>
        <w:tc>
          <w:tcPr>
            <w:tcW w:type="dxa" w:w="3360"/>
          </w:tcPr>
          <w:p>
            <w:pPr>
              <w:spacing w:after="80"/>
            </w:pPr>
            <w:r>
              <w:rPr>
                <w:sz w:val="18"/>
              </w:rPr>
              <w:t>1,363</w:t>
            </w:r>
          </w:p>
        </w:tc>
        <w:tc>
          <w:tcPr>
            <w:tcW w:type="dxa" w:w="3360"/>
          </w:tcPr>
          <w:p>
            <w:pPr>
              <w:spacing w:after="80"/>
            </w:pPr>
            <w:r>
              <w:rPr>
                <w:sz w:val="18"/>
              </w:rPr>
              <w:t>Inferior a 1,50</w:t>
            </w:r>
          </w:p>
        </w:tc>
      </w:tr>
      <w:tr>
        <w:tc>
          <w:tcPr>
            <w:tcW w:type="dxa" w:w="3360"/>
          </w:tcPr>
          <w:p>
            <w:pPr>
              <w:spacing w:after="80"/>
            </w:pPr>
            <w:r>
              <w:rPr>
                <w:sz w:val="18"/>
              </w:rPr>
              <w:t>1 poste(s)</w:t>
            </w:r>
          </w:p>
        </w:tc>
        <w:tc>
          <w:tcPr>
            <w:tcW w:type="dxa" w:w="3360"/>
          </w:tcPr>
          <w:p>
            <w:pPr>
              <w:spacing w:after="80"/>
            </w:pPr>
            <w:r>
              <w:rPr>
                <w:sz w:val="18"/>
              </w:rPr>
              <w:t>0,681</w:t>
            </w:r>
          </w:p>
        </w:tc>
        <w:tc>
          <w:tcPr>
            <w:tcW w:type="dxa" w:w="3360"/>
          </w:tcPr>
          <w:p>
            <w:pPr>
              <w:spacing w:after="80"/>
            </w:pPr>
            <w:r>
              <w:rPr>
                <w:sz w:val="18"/>
              </w:rPr>
              <w:t>Inferior a 1,50</w:t>
            </w:r>
          </w:p>
        </w:tc>
      </w:tr>
    </w:tbl>
    <w:p/>
    <w:p>
      <w:r>
        <w:t>Con tres postes, FSh=6,057; con dos, FSh=3,885. Con un poste W−V es negativo: no se atribuye fricción estabilizadora ni se reporta un FS horizontal favorable; el levantamiento ya impide aceptar ese bloque.</w:t>
      </w:r>
    </w:p>
    <w:p>
      <w:r>
        <w:t>Conclusión: el muerto original satisface la comparación vertical solo en la distribución documental de tres postes. No es intercambiable con un anclaje genérico de madera tornillo en OPP.</w:t>
      </w:r>
    </w:p>
    <w:p>
      <w:r>
        <w:br w:type="page"/>
      </w:r>
    </w:p>
    <w:p>
      <w:pPr>
        <w:pStyle w:val="Heading1"/>
      </w:pPr>
      <w:r>
        <w:t>5H. Empotramiento: cálculo de profundidad</w:t>
      </w:r>
    </w:p>
    <w:p>
      <w:r>
        <w:t>Se desarrolla el cálculo pedido de profundidad, con la misma expresión simplificada usada por D2 §7.16: Hu=½γDeKpL². De es el diámetro efectivo del apoyo movilizado, no necesariamente el diámetro de la madera. La comprobación del Anexo requiere FS=Hu/Rbase≥1,50. Despejando: Lmin=√[2×1,50×Rbase/(γDeKp)].</w:t>
      </w:r>
    </w:p>
    <w:p>
      <w:pPr>
        <w:pStyle w:val="Heading2"/>
      </w:pPr>
      <w:r>
        <w:t>5H.1 Resultados con el dado Ø0,40 m del Anexo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Postes efectivos S2</w:t>
            </w:r>
          </w:p>
        </w:tc>
        <w:tc>
          <w:tcPr>
            <w:tcW w:type="dxa" w:w="3360"/>
          </w:tcPr>
          <w:p>
            <w:pPr>
              <w:spacing w:after="80"/>
            </w:pPr>
            <w:r>
              <w:rPr>
                <w:sz w:val="18"/>
              </w:rPr>
              <w:t>Rbase a hi=0,657 m</w:t>
            </w:r>
          </w:p>
        </w:tc>
        <w:tc>
          <w:tcPr>
            <w:tcW w:type="dxa" w:w="3360"/>
          </w:tcPr>
          <w:p>
            <w:pPr>
              <w:spacing w:after="80"/>
            </w:pPr>
            <w:r>
              <w:rPr>
                <w:sz w:val="18"/>
              </w:rPr>
              <w:t>Lmin del modelo</w:t>
            </w:r>
          </w:p>
        </w:tc>
      </w:tr>
      <w:tr>
        <w:tc>
          <w:tcPr>
            <w:tcW w:type="dxa" w:w="3360"/>
          </w:tcPr>
          <w:p>
            <w:pPr>
              <w:spacing w:after="80"/>
            </w:pPr>
            <w:r>
              <w:rPr>
                <w:sz w:val="18"/>
              </w:rPr>
              <w:t>3</w:t>
            </w:r>
          </w:p>
        </w:tc>
        <w:tc>
          <w:tcPr>
            <w:tcW w:type="dxa" w:w="3360"/>
          </w:tcPr>
          <w:p>
            <w:pPr>
              <w:spacing w:after="80"/>
            </w:pPr>
            <w:r>
              <w:rPr>
                <w:sz w:val="18"/>
              </w:rPr>
              <w:t>4,966 kN</w:t>
            </w:r>
          </w:p>
        </w:tc>
        <w:tc>
          <w:tcPr>
            <w:tcW w:type="dxa" w:w="3360"/>
          </w:tcPr>
          <w:p>
            <w:pPr>
              <w:spacing w:after="80"/>
            </w:pPr>
            <w:r>
              <w:rPr>
                <w:sz w:val="18"/>
              </w:rPr>
              <w:t>0,698 m</w:t>
            </w:r>
          </w:p>
        </w:tc>
      </w:tr>
      <w:tr>
        <w:tc>
          <w:tcPr>
            <w:tcW w:type="dxa" w:w="3360"/>
          </w:tcPr>
          <w:p>
            <w:pPr>
              <w:spacing w:after="80"/>
            </w:pPr>
            <w:r>
              <w:rPr>
                <w:sz w:val="18"/>
              </w:rPr>
              <w:t>2</w:t>
            </w:r>
          </w:p>
        </w:tc>
        <w:tc>
          <w:tcPr>
            <w:tcW w:type="dxa" w:w="3360"/>
          </w:tcPr>
          <w:p>
            <w:pPr>
              <w:spacing w:after="80"/>
            </w:pPr>
            <w:r>
              <w:rPr>
                <w:sz w:val="18"/>
              </w:rPr>
              <w:t>7,449 kN</w:t>
            </w:r>
          </w:p>
        </w:tc>
        <w:tc>
          <w:tcPr>
            <w:tcW w:type="dxa" w:w="3360"/>
          </w:tcPr>
          <w:p>
            <w:pPr>
              <w:spacing w:after="80"/>
            </w:pPr>
            <w:r>
              <w:rPr>
                <w:sz w:val="18"/>
              </w:rPr>
              <w:t>0,855 m</w:t>
            </w:r>
          </w:p>
        </w:tc>
      </w:tr>
      <w:tr>
        <w:tc>
          <w:tcPr>
            <w:tcW w:type="dxa" w:w="3360"/>
          </w:tcPr>
          <w:p>
            <w:pPr>
              <w:spacing w:after="80"/>
            </w:pPr>
            <w:r>
              <w:rPr>
                <w:sz w:val="18"/>
              </w:rPr>
              <w:t>1</w:t>
            </w:r>
          </w:p>
        </w:tc>
        <w:tc>
          <w:tcPr>
            <w:tcW w:type="dxa" w:w="3360"/>
          </w:tcPr>
          <w:p>
            <w:pPr>
              <w:spacing w:after="80"/>
            </w:pPr>
            <w:r>
              <w:rPr>
                <w:sz w:val="18"/>
              </w:rPr>
              <w:t>14,898 kN</w:t>
            </w:r>
          </w:p>
        </w:tc>
        <w:tc>
          <w:tcPr>
            <w:tcW w:type="dxa" w:w="3360"/>
          </w:tcPr>
          <w:p>
            <w:pPr>
              <w:spacing w:after="80"/>
            </w:pPr>
            <w:r>
              <w:rPr>
                <w:sz w:val="18"/>
              </w:rPr>
              <w:t>1,210 m</w:t>
            </w:r>
          </w:p>
        </w:tc>
      </w:tr>
    </w:tbl>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Apoyo y profundidad de referencia</w:t>
            </w:r>
          </w:p>
        </w:tc>
        <w:tc>
          <w:tcPr>
            <w:tcW w:type="dxa" w:w="3360"/>
          </w:tcPr>
          <w:p>
            <w:pPr>
              <w:spacing w:after="80"/>
            </w:pPr>
            <w:r>
              <w:rPr>
                <w:sz w:val="18"/>
              </w:rPr>
              <w:t>Hu del modelo</w:t>
            </w:r>
          </w:p>
        </w:tc>
        <w:tc>
          <w:tcPr>
            <w:tcW w:type="dxa" w:w="3360"/>
          </w:tcPr>
          <w:p>
            <w:pPr>
              <w:spacing w:after="80"/>
            </w:pPr>
            <w:r>
              <w:rPr>
                <w:sz w:val="18"/>
              </w:rPr>
              <w:t>FS para 3 postes S2</w:t>
            </w:r>
          </w:p>
        </w:tc>
      </w:tr>
      <w:tr>
        <w:tc>
          <w:tcPr>
            <w:tcW w:type="dxa" w:w="3360"/>
          </w:tcPr>
          <w:p>
            <w:pPr>
              <w:spacing w:after="80"/>
            </w:pPr>
            <w:r>
              <w:rPr>
                <w:sz w:val="18"/>
              </w:rPr>
              <w:t>Madera Ø0,15 m; L=1,00 m</w:t>
            </w:r>
          </w:p>
        </w:tc>
        <w:tc>
          <w:tcPr>
            <w:tcW w:type="dxa" w:w="3360"/>
          </w:tcPr>
          <w:p>
            <w:pPr>
              <w:spacing w:after="80"/>
            </w:pPr>
            <w:r>
              <w:rPr>
                <w:sz w:val="18"/>
              </w:rPr>
              <w:t>5,728 kN</w:t>
            </w:r>
          </w:p>
        </w:tc>
        <w:tc>
          <w:tcPr>
            <w:tcW w:type="dxa" w:w="3360"/>
          </w:tcPr>
          <w:p>
            <w:pPr>
              <w:spacing w:after="80"/>
            </w:pPr>
            <w:r>
              <w:rPr>
                <w:sz w:val="18"/>
              </w:rPr>
              <w:t>1,154</w:t>
            </w:r>
          </w:p>
        </w:tc>
      </w:tr>
      <w:tr>
        <w:tc>
          <w:tcPr>
            <w:tcW w:type="dxa" w:w="3360"/>
          </w:tcPr>
          <w:p>
            <w:pPr>
              <w:spacing w:after="80"/>
            </w:pPr>
            <w:r>
              <w:rPr>
                <w:sz w:val="18"/>
              </w:rPr>
              <w:t>Dado Ø0,40 m; L=1,00 m</w:t>
            </w:r>
          </w:p>
        </w:tc>
        <w:tc>
          <w:tcPr>
            <w:tcW w:type="dxa" w:w="3360"/>
          </w:tcPr>
          <w:p>
            <w:pPr>
              <w:spacing w:after="80"/>
            </w:pPr>
            <w:r>
              <w:rPr>
                <w:sz w:val="18"/>
              </w:rPr>
              <w:t>15,276 kN</w:t>
            </w:r>
          </w:p>
        </w:tc>
        <w:tc>
          <w:tcPr>
            <w:tcW w:type="dxa" w:w="3360"/>
          </w:tcPr>
          <w:p>
            <w:pPr>
              <w:spacing w:after="80"/>
            </w:pPr>
            <w:r>
              <w:rPr>
                <w:sz w:val="18"/>
              </w:rPr>
              <w:t>3,076</w:t>
            </w:r>
          </w:p>
        </w:tc>
      </w:tr>
      <w:tr>
        <w:tc>
          <w:tcPr>
            <w:tcW w:type="dxa" w:w="3360"/>
          </w:tcPr>
          <w:p>
            <w:pPr>
              <w:spacing w:after="80"/>
            </w:pPr>
            <w:r>
              <w:rPr>
                <w:sz w:val="18"/>
              </w:rPr>
              <w:t>Dado Ø0,40 m; L=0,40 m</w:t>
            </w:r>
          </w:p>
        </w:tc>
        <w:tc>
          <w:tcPr>
            <w:tcW w:type="dxa" w:w="3360"/>
          </w:tcPr>
          <w:p>
            <w:pPr>
              <w:spacing w:after="80"/>
            </w:pPr>
            <w:r>
              <w:rPr>
                <w:sz w:val="18"/>
              </w:rPr>
              <w:t>2,444 kN</w:t>
            </w:r>
          </w:p>
        </w:tc>
        <w:tc>
          <w:tcPr>
            <w:tcW w:type="dxa" w:w="3360"/>
          </w:tcPr>
          <w:p>
            <w:pPr>
              <w:spacing w:after="80"/>
            </w:pPr>
            <w:r>
              <w:rPr>
                <w:sz w:val="18"/>
              </w:rPr>
              <w:t>0,492</w:t>
            </w:r>
          </w:p>
        </w:tc>
      </w:tr>
      <w:tr>
        <w:tc>
          <w:tcPr>
            <w:tcW w:type="dxa" w:w="3360"/>
          </w:tcPr>
          <w:p>
            <w:pPr>
              <w:spacing w:after="80"/>
            </w:pPr>
            <w:r>
              <w:rPr>
                <w:sz w:val="18"/>
              </w:rPr>
              <w:t>Madera Ø0,15 m; L=0,40 m</w:t>
            </w:r>
          </w:p>
        </w:tc>
        <w:tc>
          <w:tcPr>
            <w:tcW w:type="dxa" w:w="3360"/>
          </w:tcPr>
          <w:p>
            <w:pPr>
              <w:spacing w:after="80"/>
            </w:pPr>
            <w:r>
              <w:rPr>
                <w:sz w:val="18"/>
              </w:rPr>
              <w:t>0,917 kN</w:t>
            </w:r>
          </w:p>
        </w:tc>
        <w:tc>
          <w:tcPr>
            <w:tcW w:type="dxa" w:w="3360"/>
          </w:tcPr>
          <w:p>
            <w:pPr>
              <w:spacing w:after="80"/>
            </w:pPr>
            <w:r>
              <w:rPr>
                <w:sz w:val="18"/>
              </w:rPr>
              <w:t>0,185</w:t>
            </w:r>
          </w:p>
        </w:tc>
      </w:tr>
    </w:tbl>
    <w:p/>
    <w:p>
      <w:r>
        <w:t>Resultado: 0,40 m no satisface la comparación del Anexo. Con el mecanismo de tres postes, su propio dado Ø0,40 m y L=1,00 m da FS=3,076. Sin reparto, el mismo apoyo produce FS=1,025 y Lmin=1,210 m para la carga a hi=0,657 m. Para toda la fuerza S2 aplicada cerca del nivel del terreno, Rbase llega a 22,187 kN y Lmin sube a 1,476 m, manteniendo De=0,40 m y el objetivo 1,50.</w:t>
      </w:r>
    </w:p>
    <w:p>
      <w:pPr>
        <w:pStyle w:val="Heading2"/>
      </w:pPr>
      <w:r>
        <w:t>5H.2 Alcance geotécnico de la profundidad obtenida</w:t>
      </w:r>
    </w:p>
    <w:p>
      <w:r>
        <w:t>Estos valores son resultados exactos de la expresión del Anexo. La fórmula no incluye pendiente, retiro al borde, rotación del apoyo, rigidez del suelo, agua, resistencia del dado, fisuración o transferencia madera–concreto. No se convierte Lmin en una profundidad constructiva de OPP sin esos mecanismos. El valor 1,60 m de RT-01 era otro cribado con diámetro y cociente distintos; esta memoria lo sustituye por el desarrollo trazable precedente y no lo emite como dimensión de obra.</w:t>
      </w:r>
    </w:p>
    <w:p>
      <w:r>
        <w:rPr>
          <w:b/>
          <w:color w:val="994A18"/>
        </w:rPr>
        <w:t>Se rechaza el empotramiento de 0,40 m como justificación resistente mediante el Anexo 2. La documentación sí permite cuantificar qué demanda y qué profundidad exige su modelo; no acredita la cimentación real del frente por una igualdad de especie o de energía.</w:t>
      </w:r>
    </w:p>
    <w:p>
      <w:r>
        <w:br w:type="page"/>
      </w:r>
    </w:p>
    <w:p>
      <w:pPr>
        <w:pStyle w:val="Heading1"/>
      </w:pPr>
      <w:r>
        <w:t>5I. Presión de apoyo y anclajes extremos</w:t>
      </w:r>
    </w:p>
    <w:p>
      <w:pPr>
        <w:pStyle w:val="Heading2"/>
      </w:pPr>
      <w:r>
        <w:t>5I.1 Presión vertical de comparación del Anexo</w:t>
      </w:r>
    </w:p>
    <w:p>
      <w:r>
        <w:t>Área de dado Ø0,40 m: Ad=πDe²/4=0,125664 m². Peso bruto de cilindro de concreto de 1,00 m: Wd=Ad×1×23=2,890 kN. Peso del poste utilizado en D2: 0,40 kN. N=Fp+Wd+0,40; q=N/Ad. Se conserva ese peso para reproducir D2; no se presenta como peso medido de un poste de tornillo.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Presión de comparación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N</w:t>
            </w:r>
          </w:p>
        </w:tc>
        <w:tc>
          <w:tcPr>
            <w:tcW w:type="dxa" w:w="3360"/>
          </w:tcPr>
          <w:p>
            <w:pPr>
              <w:spacing w:after="80"/>
            </w:pPr>
            <w:r>
              <w:rPr>
                <w:sz w:val="18"/>
              </w:rPr>
              <w:t>8,606 kN</w:t>
            </w:r>
          </w:p>
        </w:tc>
        <w:tc>
          <w:tcPr>
            <w:tcW w:type="dxa" w:w="3360"/>
          </w:tcPr>
          <w:p>
            <w:pPr>
              <w:spacing w:after="80"/>
            </w:pPr>
            <w:r>
              <w:rPr>
                <w:sz w:val="18"/>
              </w:rPr>
              <w:t>10,686 kN</w:t>
            </w:r>
          </w:p>
        </w:tc>
      </w:tr>
      <w:tr>
        <w:tc>
          <w:tcPr>
            <w:tcW w:type="dxa" w:w="3360"/>
          </w:tcPr>
          <w:p>
            <w:pPr>
              <w:spacing w:after="80"/>
            </w:pPr>
            <w:r>
              <w:rPr>
                <w:sz w:val="18"/>
              </w:rPr>
              <w:t>q bruto</w:t>
            </w:r>
          </w:p>
        </w:tc>
        <w:tc>
          <w:tcPr>
            <w:tcW w:type="dxa" w:w="3360"/>
          </w:tcPr>
          <w:p>
            <w:pPr>
              <w:spacing w:after="80"/>
            </w:pPr>
            <w:r>
              <w:rPr>
                <w:sz w:val="18"/>
              </w:rPr>
              <w:t>68,483 kPa</w:t>
            </w:r>
          </w:p>
        </w:tc>
        <w:tc>
          <w:tcPr>
            <w:tcW w:type="dxa" w:w="3360"/>
          </w:tcPr>
          <w:p>
            <w:pPr>
              <w:spacing w:after="80"/>
            </w:pPr>
            <w:r>
              <w:rPr>
                <w:sz w:val="18"/>
              </w:rPr>
              <w:t>85,035 kPa</w:t>
            </w:r>
          </w:p>
        </w:tc>
      </w:tr>
      <w:tr>
        <w:tc>
          <w:tcPr>
            <w:tcW w:type="dxa" w:w="3360"/>
          </w:tcPr>
          <w:p>
            <w:pPr>
              <w:spacing w:after="80"/>
            </w:pPr>
            <w:r>
              <w:rPr>
                <w:sz w:val="18"/>
              </w:rPr>
              <w:t>q/383 kPa</w:t>
            </w:r>
          </w:p>
        </w:tc>
        <w:tc>
          <w:tcPr>
            <w:tcW w:type="dxa" w:w="3360"/>
          </w:tcPr>
          <w:p>
            <w:pPr>
              <w:spacing w:after="80"/>
            </w:pPr>
            <w:r>
              <w:rPr>
                <w:sz w:val="18"/>
              </w:rPr>
              <w:t>0,179</w:t>
            </w:r>
          </w:p>
        </w:tc>
        <w:tc>
          <w:tcPr>
            <w:tcW w:type="dxa" w:w="3360"/>
          </w:tcPr>
          <w:p>
            <w:pPr>
              <w:spacing w:after="80"/>
            </w:pPr>
            <w:r>
              <w:rPr>
                <w:sz w:val="18"/>
              </w:rPr>
              <w:t>0,222</w:t>
            </w:r>
          </w:p>
        </w:tc>
      </w:tr>
    </w:tbl>
    <w:p/>
    <w:p>
      <w:r>
        <w:t>El cálculo bruto incluye el volumen de concreto ocupado por el poste. Para Ø150 mm ese volumen es 0,017671 m³ y equivale a 0,406 kN de concreto: descontarlo reduce q en 3,234 kPa. Ninguna de esas comparaciones convierte los 383 kPa del memorando citado para otra cimentación en capacidad portante local de OPP.</w:t>
      </w:r>
    </w:p>
    <w:p>
      <w:pPr>
        <w:pStyle w:val="Heading2"/>
      </w:pPr>
      <w:r>
        <w:t>5I.2 Anclajes extremos de los cables perimetrales</w:t>
      </w:r>
    </w:p>
    <w:p>
      <w:r>
        <w:t>Bloque 1,50×1,00×1,00 m; techo 0,50 m; base 1,50 m. W=34,50+14,25=48,75 kN; Pp=½×19×4,02×(1,50²−0,50²)×1,50=114,570 kN; Fr=W tan(24,6667°)=22,388 kN; resistencia horizontal del modelo Rh=136,958 kN. Demanda Hext=2Tc=T.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Anclaje extremo de comparación</w:t>
            </w:r>
          </w:p>
        </w:tc>
        <w:tc>
          <w:tcPr>
            <w:tcW w:type="dxa" w:w="3360"/>
          </w:tcPr>
          <w:p>
            <w:pPr>
              <w:spacing w:after="80"/>
            </w:pPr>
            <w:r>
              <w:rPr>
                <w:sz w:val="18"/>
              </w:rPr>
              <w:t>S1 documental</w:t>
            </w:r>
          </w:p>
        </w:tc>
        <w:tc>
          <w:tcPr>
            <w:tcW w:type="dxa" w:w="3360"/>
          </w:tcPr>
          <w:p>
            <w:pPr>
              <w:spacing w:after="80"/>
            </w:pPr>
            <w:r>
              <w:rPr>
                <w:sz w:val="18"/>
              </w:rPr>
              <w:t>S2 envolvente</w:t>
            </w:r>
          </w:p>
        </w:tc>
      </w:tr>
      <w:tr>
        <w:tc>
          <w:tcPr>
            <w:tcW w:type="dxa" w:w="3360"/>
          </w:tcPr>
          <w:p>
            <w:pPr>
              <w:spacing w:after="80"/>
            </w:pPr>
            <w:r>
              <w:rPr>
                <w:sz w:val="18"/>
              </w:rPr>
              <w:t>Hext</w:t>
            </w:r>
          </w:p>
        </w:tc>
        <w:tc>
          <w:tcPr>
            <w:tcW w:type="dxa" w:w="3360"/>
          </w:tcPr>
          <w:p>
            <w:pPr>
              <w:spacing w:after="80"/>
            </w:pPr>
            <w:r>
              <w:rPr>
                <w:sz w:val="18"/>
              </w:rPr>
              <w:t>40,656 kN</w:t>
            </w:r>
          </w:p>
        </w:tc>
        <w:tc>
          <w:tcPr>
            <w:tcW w:type="dxa" w:w="3360"/>
          </w:tcPr>
          <w:p>
            <w:pPr>
              <w:spacing w:after="80"/>
            </w:pPr>
            <w:r>
              <w:rPr>
                <w:sz w:val="18"/>
              </w:rPr>
              <w:t>56,565 kN</w:t>
            </w:r>
          </w:p>
        </w:tc>
      </w:tr>
      <w:tr>
        <w:tc>
          <w:tcPr>
            <w:tcW w:type="dxa" w:w="3360"/>
          </w:tcPr>
          <w:p>
            <w:pPr>
              <w:spacing w:after="80"/>
            </w:pPr>
            <w:r>
              <w:rPr>
                <w:sz w:val="18"/>
              </w:rPr>
              <w:t>Rh/Hext</w:t>
            </w:r>
          </w:p>
        </w:tc>
        <w:tc>
          <w:tcPr>
            <w:tcW w:type="dxa" w:w="3360"/>
          </w:tcPr>
          <w:p>
            <w:pPr>
              <w:spacing w:after="80"/>
            </w:pPr>
            <w:r>
              <w:rPr>
                <w:sz w:val="18"/>
              </w:rPr>
              <w:t>3,369</w:t>
            </w:r>
          </w:p>
        </w:tc>
        <w:tc>
          <w:tcPr>
            <w:tcW w:type="dxa" w:w="3360"/>
          </w:tcPr>
          <w:p>
            <w:pPr>
              <w:spacing w:after="80"/>
            </w:pPr>
            <w:r>
              <w:rPr>
                <w:sz w:val="18"/>
              </w:rPr>
              <w:t>2,421</w:t>
            </w:r>
          </w:p>
        </w:tc>
      </w:tr>
      <w:tr>
        <w:tc>
          <w:tcPr>
            <w:tcW w:type="dxa" w:w="3360"/>
          </w:tcPr>
          <w:p>
            <w:pPr>
              <w:spacing w:after="80"/>
            </w:pPr>
            <w:r>
              <w:rPr>
                <w:sz w:val="18"/>
              </w:rPr>
              <w:t>Comparación con objetivo 2,00</w:t>
            </w:r>
          </w:p>
        </w:tc>
        <w:tc>
          <w:tcPr>
            <w:tcW w:type="dxa" w:w="3360"/>
          </w:tcPr>
          <w:p>
            <w:pPr>
              <w:spacing w:after="80"/>
            </w:pPr>
            <w:r>
              <w:rPr>
                <w:sz w:val="18"/>
              </w:rPr>
              <w:t>Mayor que 2,00</w:t>
            </w:r>
          </w:p>
        </w:tc>
        <w:tc>
          <w:tcPr>
            <w:tcW w:type="dxa" w:w="3360"/>
          </w:tcPr>
          <w:p>
            <w:pPr>
              <w:spacing w:after="80"/>
            </w:pPr>
            <w:r>
              <w:rPr>
                <w:sz w:val="18"/>
              </w:rPr>
              <w:t>Mayor que 2,00</w:t>
            </w:r>
          </w:p>
        </w:tc>
      </w:tr>
    </w:tbl>
    <w:p/>
    <w:p>
      <w:r>
        <w:t>La comparación no incluye fuerzas de esquina, componentes verticales o varias direcciones de cable. La resistencia del ojal, acero embebido, concreto y terminal forma parte del camino de carga y no se sustituye por el peso del bloque.</w:t>
      </w:r>
    </w:p>
    <w:p>
      <w:r>
        <w:br w:type="page"/>
      </w:r>
    </w:p>
    <w:p>
      <w:pPr>
        <w:pStyle w:val="Heading1"/>
      </w:pPr>
      <w:r>
        <w:t>5J. Conexiones, amarres y demanda de fijaciones</w:t>
      </w:r>
    </w:p>
    <w:p>
      <w:r>
        <w:t>La resistencia útil del sistema es la menor del tejido, bordes, amarres, cables, terminales, postes, retenidas y fundaciones, en un mecanismo compatible. Por ello se calculan las exigencias de conexión, sin atribuir resistencia a elementos cuya ficha no la declara.</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Unión / mecanismo documental</w:t>
            </w:r>
          </w:p>
        </w:tc>
        <w:tc>
          <w:tcPr>
            <w:tcW w:type="dxa" w:w="3360"/>
          </w:tcPr>
          <w:p>
            <w:pPr>
              <w:spacing w:after="80"/>
            </w:pPr>
            <w:r>
              <w:rPr>
                <w:sz w:val="18"/>
              </w:rPr>
              <w:t>Demanda S2 calculada</w:t>
            </w:r>
          </w:p>
        </w:tc>
        <w:tc>
          <w:tcPr>
            <w:tcW w:type="dxa" w:w="3360"/>
          </w:tcPr>
          <w:p>
            <w:pPr>
              <w:spacing w:after="80"/>
            </w:pPr>
            <w:r>
              <w:rPr>
                <w:sz w:val="18"/>
              </w:rPr>
              <w:t>Alcance</w:t>
            </w:r>
          </w:p>
        </w:tc>
      </w:tr>
      <w:tr>
        <w:tc>
          <w:tcPr>
            <w:tcW w:type="dxa" w:w="3360"/>
          </w:tcPr>
          <w:p>
            <w:pPr>
              <w:spacing w:after="80"/>
            </w:pPr>
            <w:r>
              <w:rPr>
                <w:sz w:val="18"/>
              </w:rPr>
              <w:t>Extremo de un perimetral bajo reparto igual</w:t>
            </w:r>
          </w:p>
        </w:tc>
        <w:tc>
          <w:tcPr>
            <w:tcW w:type="dxa" w:w="3360"/>
          </w:tcPr>
          <w:p>
            <w:pPr>
              <w:spacing w:after="80"/>
            </w:pPr>
            <w:r>
              <w:rPr>
                <w:sz w:val="18"/>
              </w:rPr>
              <w:t>28,283 kN</w:t>
            </w:r>
          </w:p>
        </w:tc>
        <w:tc>
          <w:tcPr>
            <w:tcW w:type="dxa" w:w="3360"/>
          </w:tcPr>
          <w:p>
            <w:pPr>
              <w:spacing w:after="80"/>
            </w:pPr>
            <w:r>
              <w:rPr>
                <w:sz w:val="18"/>
              </w:rPr>
              <w:t>Resistencia efectiva de cable y terminal</w:t>
            </w:r>
          </w:p>
        </w:tc>
      </w:tr>
      <w:tr>
        <w:tc>
          <w:tcPr>
            <w:tcW w:type="dxa" w:w="3360"/>
          </w:tcPr>
          <w:p>
            <w:pPr>
              <w:spacing w:after="80"/>
            </w:pPr>
            <w:r>
              <w:rPr>
                <w:sz w:val="18"/>
              </w:rPr>
              <w:t>Retenida en envolvente de cabeza, 3 postes</w:t>
            </w:r>
          </w:p>
        </w:tc>
        <w:tc>
          <w:tcPr>
            <w:tcW w:type="dxa" w:w="3360"/>
          </w:tcPr>
          <w:p>
            <w:pPr>
              <w:spacing w:after="80"/>
            </w:pPr>
            <w:r>
              <w:rPr>
                <w:sz w:val="18"/>
              </w:rPr>
              <w:t>10,459 kN</w:t>
            </w:r>
          </w:p>
        </w:tc>
        <w:tc>
          <w:tcPr>
            <w:tcW w:type="dxa" w:w="3360"/>
          </w:tcPr>
          <w:p>
            <w:pPr>
              <w:spacing w:after="80"/>
            </w:pPr>
            <w:r>
              <w:rPr>
                <w:sz w:val="18"/>
              </w:rPr>
              <w:t>Abrazadera, tensor, terminal y anclaje</w:t>
            </w:r>
          </w:p>
        </w:tc>
      </w:tr>
      <w:tr>
        <w:tc>
          <w:tcPr>
            <w:tcW w:type="dxa" w:w="3360"/>
          </w:tcPr>
          <w:p>
            <w:pPr>
              <w:spacing w:after="80"/>
            </w:pPr>
            <w:r>
              <w:rPr>
                <w:sz w:val="18"/>
              </w:rPr>
              <w:t>Retenida con un poste</w:t>
            </w:r>
          </w:p>
        </w:tc>
        <w:tc>
          <w:tcPr>
            <w:tcW w:type="dxa" w:w="3360"/>
          </w:tcPr>
          <w:p>
            <w:pPr>
              <w:spacing w:after="80"/>
            </w:pPr>
            <w:r>
              <w:rPr>
                <w:sz w:val="18"/>
              </w:rPr>
              <w:t>31,377 kN</w:t>
            </w:r>
          </w:p>
        </w:tc>
        <w:tc>
          <w:tcPr>
            <w:tcW w:type="dxa" w:w="3360"/>
          </w:tcPr>
          <w:p>
            <w:pPr>
              <w:spacing w:after="80"/>
            </w:pPr>
            <w:r>
              <w:rPr>
                <w:sz w:val="18"/>
              </w:rPr>
              <w:t>Aumenta a 31,377 kN</w:t>
            </w:r>
          </w:p>
        </w:tc>
      </w:tr>
      <w:tr>
        <w:tc>
          <w:tcPr>
            <w:tcW w:type="dxa" w:w="3360"/>
          </w:tcPr>
          <w:p>
            <w:pPr>
              <w:spacing w:after="80"/>
            </w:pPr>
            <w:r>
              <w:rPr>
                <w:sz w:val="18"/>
              </w:rPr>
              <w:t>Apoyo de poste, caso A / 3 postes</w:t>
            </w:r>
          </w:p>
        </w:tc>
        <w:tc>
          <w:tcPr>
            <w:tcW w:type="dxa" w:w="3360"/>
          </w:tcPr>
          <w:p>
            <w:pPr>
              <w:spacing w:after="80"/>
            </w:pPr>
            <w:r>
              <w:rPr>
                <w:sz w:val="18"/>
              </w:rPr>
              <w:t>4,966 kN</w:t>
            </w:r>
          </w:p>
        </w:tc>
        <w:tc>
          <w:tcPr>
            <w:tcW w:type="dxa" w:w="3360"/>
          </w:tcPr>
          <w:p>
            <w:pPr>
              <w:spacing w:after="80"/>
            </w:pPr>
            <w:r>
              <w:rPr>
                <w:sz w:val="18"/>
              </w:rPr>
              <w:t>Reacción horizontal en base</w:t>
            </w:r>
          </w:p>
        </w:tc>
      </w:tr>
      <w:tr>
        <w:tc>
          <w:tcPr>
            <w:tcW w:type="dxa" w:w="3360"/>
          </w:tcPr>
          <w:p>
            <w:pPr>
              <w:spacing w:after="80"/>
            </w:pPr>
            <w:r>
              <w:rPr>
                <w:sz w:val="18"/>
              </w:rPr>
              <w:t>Extremo del tramo con 2 perimetrales</w:t>
            </w:r>
          </w:p>
        </w:tc>
        <w:tc>
          <w:tcPr>
            <w:tcW w:type="dxa" w:w="3360"/>
          </w:tcPr>
          <w:p>
            <w:pPr>
              <w:spacing w:after="80"/>
            </w:pPr>
            <w:r>
              <w:rPr>
                <w:sz w:val="18"/>
              </w:rPr>
              <w:t>56,565 kN</w:t>
            </w:r>
          </w:p>
        </w:tc>
        <w:tc>
          <w:tcPr>
            <w:tcW w:type="dxa" w:w="3360"/>
          </w:tcPr>
          <w:p>
            <w:pPr>
              <w:spacing w:after="80"/>
            </w:pPr>
            <w:r>
              <w:rPr>
                <w:sz w:val="18"/>
              </w:rPr>
              <w:t>Resultante en bloque extremo</w:t>
            </w:r>
          </w:p>
        </w:tc>
      </w:tr>
    </w:tbl>
    <w:p/>
    <w:p>
      <w:pPr>
        <w:pStyle w:val="Heading2"/>
      </w:pPr>
      <w:r>
        <w:t>5J.1 Amarres cada 0,30 m</w:t>
      </w:r>
    </w:p>
    <w:p>
      <w:r>
        <w:t>D2 indica alambre N°16 cada 0,30 m, pero no entrega una resistencia efectiva del amarre. En el reparto Tc=T/2 y franja b=1,00 m del mismo modelo, la demanda tributaria uniforme sería Ri=Tc×s/b=8,485 kN por punto. Este resultado ilustra la magnitud a transmitir; no verifica un amarre N°16 ni representa la distribución real en los bordes.</w:t>
      </w:r>
    </w:p>
    <w:p>
      <w:r>
        <w:t>La demanda tributaria anterior no se combina a la vez con toda T en cada fijación. El detalle de uniones define el recorrido de la carga y evita atribuir a todos los elementos el mismo reparto favorable. El diámetro nominal del alambre de amarre, sin resistencia, número de ramas activas y modo de terminación, no permite calcular una capacidad efectiva.</w:t>
      </w:r>
    </w:p>
    <w:p>
      <w:pPr>
        <w:pStyle w:val="Heading2"/>
      </w:pPr>
      <w:r>
        <w:t>5J.2 Varilla de anclaje Ø3/4 in del Anexo</w:t>
      </w:r>
    </w:p>
    <w:p>
      <w:r>
        <w:t>Diámetro bruto 19,05 mm; área bruta Ag=πd²/4=285,023 mm². Para Tr=10,459 kN, esfuerzo axial bruto mínimo Tr/Ag=36,695 MPa. Con un solo poste pasa a 110,085 MPa. La rosca y el ojal reducen sección y añaden flexión; el área bruta no es capacidad del anclaje.</w:t>
      </w:r>
    </w:p>
    <w:p>
      <w:r>
        <w:rPr>
          <w:b/>
          <w:color w:val="994A18"/>
        </w:rPr>
        <w:t>Resultado de conexiones: fuerzas de transferencia cuantificadas. No se declara resistencia de amarres, grapas, abrazaderas, ojales o acero embebido por su sola denominación comercial.</w:t>
      </w:r>
    </w:p>
    <w:p>
      <w:r>
        <w:br w:type="page"/>
      </w:r>
    </w:p>
    <w:p>
      <w:pPr>
        <w:pStyle w:val="Heading1"/>
      </w:pPr>
      <w:r>
        <w:t>5K. Cajones de madera y geotextil: ruta de cargas</w:t>
      </w:r>
    </w:p>
    <w:p>
      <w:r>
        <w:t>Cada cajón de pedestal de Booster OPP cuenta con geotextil y maderas según el dato directo del solicitante. Su protección funciona antes de las barreras del talud y constituye el primer soporte y contención de material en origen. Se conserva como control existente durante habilitación de accesos y partidas del pedestal.</w:t>
      </w:r>
    </w:p>
    <w:p>
      <w:pPr>
        <w:pStyle w:val="Heading2"/>
      </w:pPr>
      <w:r>
        <w:t>5K.1 Cálculo estructural que corresponde a cada componente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Elemento / acción</w:t>
            </w:r>
          </w:p>
        </w:tc>
        <w:tc>
          <w:tcPr>
            <w:tcW w:type="dxa" w:w="3360"/>
          </w:tcPr>
          <w:p>
            <w:pPr>
              <w:spacing w:after="80"/>
            </w:pPr>
            <w:r>
              <w:rPr>
                <w:sz w:val="18"/>
              </w:rPr>
              <w:t>Relación de cálculo</w:t>
            </w:r>
          </w:p>
        </w:tc>
        <w:tc>
          <w:tcPr>
            <w:tcW w:type="dxa" w:w="3360"/>
          </w:tcPr>
          <w:p>
            <w:pPr>
              <w:spacing w:after="80"/>
            </w:pPr>
            <w:r>
              <w:rPr>
                <w:sz w:val="18"/>
              </w:rPr>
              <w:t>Dato que realmente aporta la documentación</w:t>
            </w:r>
          </w:p>
        </w:tc>
      </w:tr>
      <w:tr>
        <w:tc>
          <w:tcPr>
            <w:tcW w:type="dxa" w:w="3360"/>
          </w:tcPr>
          <w:p>
            <w:pPr>
              <w:spacing w:after="80"/>
            </w:pPr>
            <w:r>
              <w:rPr>
                <w:sz w:val="18"/>
              </w:rPr>
              <w:t>Reparto por madera</w:t>
            </w:r>
          </w:p>
        </w:tc>
        <w:tc>
          <w:tcPr>
            <w:tcW w:type="dxa" w:w="3360"/>
          </w:tcPr>
          <w:p>
            <w:pPr>
              <w:spacing w:after="80"/>
            </w:pPr>
            <w:r>
              <w:rPr>
                <w:sz w:val="18"/>
              </w:rPr>
              <w:t>pmedia=P/Aefectiva</w:t>
            </w:r>
          </w:p>
        </w:tc>
        <w:tc>
          <w:tcPr>
            <w:tcW w:type="dxa" w:w="3360"/>
          </w:tcPr>
          <w:p>
            <w:pPr>
              <w:spacing w:after="80"/>
            </w:pPr>
            <w:r>
              <w:rPr>
                <w:sz w:val="18"/>
              </w:rPr>
              <w:t>Existencia de protección, sin carga P ni geometría resistente del cerramiento</w:t>
            </w:r>
          </w:p>
        </w:tc>
      </w:tr>
      <w:tr>
        <w:tc>
          <w:tcPr>
            <w:tcW w:type="dxa" w:w="3360"/>
          </w:tcPr>
          <w:p>
            <w:pPr>
              <w:spacing w:after="80"/>
            </w:pPr>
            <w:r>
              <w:rPr>
                <w:sz w:val="18"/>
              </w:rPr>
              <w:t>Tabla simplemente apoyada: carga puntual central</w:t>
            </w:r>
          </w:p>
        </w:tc>
        <w:tc>
          <w:tcPr>
            <w:tcW w:type="dxa" w:w="3360"/>
          </w:tcPr>
          <w:p>
            <w:pPr>
              <w:spacing w:after="80"/>
            </w:pPr>
            <w:r>
              <w:rPr>
                <w:sz w:val="18"/>
              </w:rPr>
              <w:t>Mmax=Pℓ/4; σ=6M/(bt²)</w:t>
            </w:r>
          </w:p>
        </w:tc>
        <w:tc>
          <w:tcPr>
            <w:tcW w:type="dxa" w:w="3360"/>
          </w:tcPr>
          <w:p>
            <w:pPr>
              <w:spacing w:after="80"/>
            </w:pPr>
            <w:r>
              <w:rPr>
                <w:sz w:val="18"/>
              </w:rPr>
              <w:t>No hay espesores, luces ni sección de tablones declarados</w:t>
            </w:r>
          </w:p>
        </w:tc>
      </w:tr>
      <w:tr>
        <w:tc>
          <w:tcPr>
            <w:tcW w:type="dxa" w:w="3360"/>
          </w:tcPr>
          <w:p>
            <w:pPr>
              <w:spacing w:after="80"/>
            </w:pPr>
            <w:r>
              <w:rPr>
                <w:sz w:val="18"/>
              </w:rPr>
              <w:t>Tabla con carga uniforme</w:t>
            </w:r>
          </w:p>
        </w:tc>
        <w:tc>
          <w:tcPr>
            <w:tcW w:type="dxa" w:w="3360"/>
          </w:tcPr>
          <w:p>
            <w:pPr>
              <w:spacing w:after="80"/>
            </w:pPr>
            <w:r>
              <w:rPr>
                <w:sz w:val="18"/>
              </w:rPr>
              <w:t>Mmax=qℓ²/8; Δ=5qℓ⁴/(384EI)</w:t>
            </w:r>
          </w:p>
        </w:tc>
        <w:tc>
          <w:tcPr>
            <w:tcW w:type="dxa" w:w="3360"/>
          </w:tcPr>
          <w:p>
            <w:pPr>
              <w:spacing w:after="80"/>
            </w:pPr>
            <w:r>
              <w:rPr>
                <w:sz w:val="18"/>
              </w:rPr>
              <w:t>No hay q, E de diseño o continuidad resistente del tablón</w:t>
            </w:r>
          </w:p>
        </w:tc>
      </w:tr>
      <w:tr>
        <w:tc>
          <w:tcPr>
            <w:tcW w:type="dxa" w:w="3360"/>
          </w:tcPr>
          <w:p>
            <w:pPr>
              <w:spacing w:after="80"/>
            </w:pPr>
            <w:r>
              <w:rPr>
                <w:sz w:val="18"/>
              </w:rPr>
              <w:t>Presión lateral del material contenido</w:t>
            </w:r>
          </w:p>
        </w:tc>
        <w:tc>
          <w:tcPr>
            <w:tcW w:type="dxa" w:w="3360"/>
          </w:tcPr>
          <w:p>
            <w:pPr>
              <w:spacing w:after="80"/>
            </w:pPr>
            <w:r>
              <w:rPr>
                <w:sz w:val="18"/>
              </w:rPr>
              <w:t>p(z)=Kγz; resultante=½KγH² por metro</w:t>
            </w:r>
          </w:p>
        </w:tc>
        <w:tc>
          <w:tcPr>
            <w:tcW w:type="dxa" w:w="3360"/>
          </w:tcPr>
          <w:p>
            <w:pPr>
              <w:spacing w:after="80"/>
            </w:pPr>
            <w:r>
              <w:rPr>
                <w:sz w:val="18"/>
              </w:rPr>
              <w:t>Sin altura de acopio, geometría de cajón ni estado de carga definidos</w:t>
            </w:r>
          </w:p>
        </w:tc>
      </w:tr>
      <w:tr>
        <w:tc>
          <w:tcPr>
            <w:tcW w:type="dxa" w:w="3360"/>
          </w:tcPr>
          <w:p>
            <w:pPr>
              <w:spacing w:after="80"/>
            </w:pPr>
            <w:r>
              <w:rPr>
                <w:sz w:val="18"/>
              </w:rPr>
              <w:t>Geotextil de retención</w:t>
            </w:r>
          </w:p>
        </w:tc>
        <w:tc>
          <w:tcPr>
            <w:tcW w:type="dxa" w:w="3360"/>
          </w:tcPr>
          <w:p>
            <w:pPr>
              <w:spacing w:after="80"/>
            </w:pPr>
            <w:r>
              <w:rPr>
                <w:sz w:val="18"/>
              </w:rPr>
              <w:t>Tensión, desgarro, punzonamiento y continuidad</w:t>
            </w:r>
          </w:p>
        </w:tc>
        <w:tc>
          <w:tcPr>
            <w:tcW w:type="dxa" w:w="3360"/>
          </w:tcPr>
          <w:p>
            <w:pPr>
              <w:spacing w:after="80"/>
            </w:pPr>
            <w:r>
              <w:rPr>
                <w:sz w:val="18"/>
              </w:rPr>
              <w:t>Sin producto, gramaje ni ficha resistente entregada</w:t>
            </w:r>
          </w:p>
        </w:tc>
      </w:tr>
    </w:tbl>
    <w:p/>
    <w:p>
      <w:r>
        <w:t>Las ecuaciones identifican todos los mecanismos y no se completan con dimensiones ficticias. La presencia del conjunto sí sustenta su función física de retención y reparto local; no sustenta un tonelaje de carga pesada sobre el borde ni una energía de impacto del cajón. Esta memoria no carga sobre el geotextil la función de una viga o de una red certificada.</w:t>
      </w:r>
    </w:p>
    <w:p>
      <w:pPr>
        <w:pStyle w:val="Heading2"/>
      </w:pPr>
      <w:r>
        <w:t>5K.2 Consecuencia constructiva cerrada para OPP</w:t>
      </w:r>
    </w:p>
    <w:p>
      <w:r>
        <w:t>Se conserva el geotextil continuo contra pérdida de finos; la madera transmite las acciones a sus apoyos y fijaciones. Se retiran los sueltos de forma controlada y se excluye el acopio de bloques, el tránsito de maquinaria y el apoyo de estabilizadores sobre el cajón y su borde. El cerramiento no se emplea como puente de acceso ni como plataforma de cargas pesadas. Así se utiliza la protección descrita sin atribuirle una capacidad inexistente en los datos.</w:t>
      </w:r>
    </w:p>
    <w:p>
      <w:r>
        <w:t>La instalación de barreras en el talud no reemplaza ese control en origen. A su vez, el cajón protegido no elimina por sí solo la exposición que genera la habilitación de caminos externos al cajón. Por ello la segregación inferior se mantiene para ambas fuentes de caída.</w:t>
      </w:r>
    </w:p>
    <w:p>
      <w:r>
        <w:br w:type="page"/>
      </w:r>
    </w:p>
    <w:p>
      <w:pPr>
        <w:pStyle w:val="Heading1"/>
      </w:pPr>
      <w:r>
        <w:t>5L. Metrados del módulo documental</w:t>
      </w:r>
    </w:p>
    <w:p>
      <w:pPr>
        <w:pStyle w:val="Heading2"/>
      </w:pPr>
      <w:r>
        <w:t>5L.1 Metrado del módulo documental</w:t>
      </w:r>
    </w:p>
    <w:p>
      <w:r>
        <w:t>Se cuantifica un módulo de 50,00 m porque D2 limita a 50 m cada tramo perimetral. No se presenta como longitud medida de las barreras OPP. Con 2,50 m entre postes y 2,00 m de altura: 20 paños y 21 postes.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 del módulo</w:t>
            </w:r>
          </w:p>
        </w:tc>
        <w:tc>
          <w:tcPr>
            <w:tcW w:type="dxa" w:w="3360"/>
          </w:tcPr>
          <w:p>
            <w:pPr>
              <w:spacing w:after="80"/>
            </w:pPr>
            <w:r>
              <w:rPr>
                <w:sz w:val="18"/>
              </w:rPr>
              <w:t>Cantidad geométrica</w:t>
            </w:r>
          </w:p>
        </w:tc>
        <w:tc>
          <w:tcPr>
            <w:tcW w:type="dxa" w:w="3360"/>
          </w:tcPr>
          <w:p>
            <w:pPr>
              <w:spacing w:after="80"/>
            </w:pPr>
            <w:r>
              <w:rPr>
                <w:sz w:val="18"/>
              </w:rPr>
              <w:t>Exclusión del metrado</w:t>
            </w:r>
          </w:p>
        </w:tc>
      </w:tr>
      <w:tr>
        <w:tc>
          <w:tcPr>
            <w:tcW w:type="dxa" w:w="3360"/>
          </w:tcPr>
          <w:p>
            <w:pPr>
              <w:spacing w:after="80"/>
            </w:pPr>
            <w:r>
              <w:rPr>
                <w:sz w:val="18"/>
              </w:rPr>
              <w:t>Doble malla</w:t>
            </w:r>
          </w:p>
        </w:tc>
        <w:tc>
          <w:tcPr>
            <w:tcW w:type="dxa" w:w="3360"/>
          </w:tcPr>
          <w:p>
            <w:pPr>
              <w:spacing w:after="80"/>
            </w:pPr>
            <w:r>
              <w:rPr>
                <w:sz w:val="18"/>
              </w:rPr>
              <w:t>200,00 m²</w:t>
            </w:r>
          </w:p>
        </w:tc>
        <w:tc>
          <w:tcPr>
            <w:tcW w:type="dxa" w:w="3360"/>
          </w:tcPr>
          <w:p>
            <w:pPr>
              <w:spacing w:after="80"/>
            </w:pPr>
            <w:r>
              <w:rPr>
                <w:sz w:val="18"/>
              </w:rPr>
              <w:t>Sin traslapos, recortes o sobrantes</w:t>
            </w:r>
          </w:p>
        </w:tc>
      </w:tr>
      <w:tr>
        <w:tc>
          <w:tcPr>
            <w:tcW w:type="dxa" w:w="3360"/>
          </w:tcPr>
          <w:p>
            <w:pPr>
              <w:spacing w:after="80"/>
            </w:pPr>
            <w:r>
              <w:rPr>
                <w:sz w:val="18"/>
              </w:rPr>
              <w:t>Perimetrales superior e inferior</w:t>
            </w:r>
          </w:p>
        </w:tc>
        <w:tc>
          <w:tcPr>
            <w:tcW w:type="dxa" w:w="3360"/>
          </w:tcPr>
          <w:p>
            <w:pPr>
              <w:spacing w:after="80"/>
            </w:pPr>
            <w:r>
              <w:rPr>
                <w:sz w:val="18"/>
              </w:rPr>
              <w:t>100,00 m</w:t>
            </w:r>
          </w:p>
        </w:tc>
        <w:tc>
          <w:tcPr>
            <w:tcW w:type="dxa" w:w="3360"/>
          </w:tcPr>
          <w:p>
            <w:pPr>
              <w:spacing w:after="80"/>
            </w:pPr>
            <w:r>
              <w:rPr>
                <w:sz w:val="18"/>
              </w:rPr>
              <w:t>Sin terminales ni vueltas de conexión</w:t>
            </w:r>
          </w:p>
        </w:tc>
      </w:tr>
      <w:tr>
        <w:tc>
          <w:tcPr>
            <w:tcW w:type="dxa" w:w="3360"/>
          </w:tcPr>
          <w:p>
            <w:pPr>
              <w:spacing w:after="80"/>
            </w:pPr>
            <w:r>
              <w:rPr>
                <w:sz w:val="18"/>
              </w:rPr>
              <w:t>Dos diagonales por paño</w:t>
            </w:r>
          </w:p>
        </w:tc>
        <w:tc>
          <w:tcPr>
            <w:tcW w:type="dxa" w:w="3360"/>
          </w:tcPr>
          <w:p>
            <w:pPr>
              <w:spacing w:after="80"/>
            </w:pPr>
            <w:r>
              <w:rPr>
                <w:sz w:val="18"/>
              </w:rPr>
              <w:t>128,06 m</w:t>
            </w:r>
          </w:p>
        </w:tc>
        <w:tc>
          <w:tcPr>
            <w:tcW w:type="dxa" w:w="3360"/>
          </w:tcPr>
          <w:p>
            <w:pPr>
              <w:spacing w:after="80"/>
            </w:pPr>
            <w:r>
              <w:rPr>
                <w:sz w:val="18"/>
              </w:rPr>
              <w:t>Sin terminales</w:t>
            </w:r>
          </w:p>
        </w:tc>
      </w:tr>
      <w:tr>
        <w:tc>
          <w:tcPr>
            <w:tcW w:type="dxa" w:w="3360"/>
          </w:tcPr>
          <w:p>
            <w:pPr>
              <w:spacing w:after="80"/>
            </w:pPr>
            <w:r>
              <w:rPr>
                <w:sz w:val="18"/>
              </w:rPr>
              <w:t>Postes / retenidas</w:t>
            </w:r>
          </w:p>
        </w:tc>
        <w:tc>
          <w:tcPr>
            <w:tcW w:type="dxa" w:w="3360"/>
          </w:tcPr>
          <w:p>
            <w:pPr>
              <w:spacing w:after="80"/>
            </w:pPr>
            <w:r>
              <w:rPr>
                <w:sz w:val="18"/>
              </w:rPr>
              <w:t>21 / 21 unidades</w:t>
            </w:r>
          </w:p>
        </w:tc>
        <w:tc>
          <w:tcPr>
            <w:tcW w:type="dxa" w:w="3360"/>
          </w:tcPr>
          <w:p>
            <w:pPr>
              <w:spacing w:after="80"/>
            </w:pPr>
            <w:r>
              <w:rPr>
                <w:sz w:val="18"/>
              </w:rPr>
              <w:t>Longitud de retenida depende de desnivel real de anclaje</w:t>
            </w:r>
          </w:p>
        </w:tc>
      </w:tr>
      <w:tr>
        <w:tc>
          <w:tcPr>
            <w:tcW w:type="dxa" w:w="3360"/>
          </w:tcPr>
          <w:p>
            <w:pPr>
              <w:spacing w:after="80"/>
            </w:pPr>
            <w:r>
              <w:rPr>
                <w:sz w:val="18"/>
              </w:rPr>
              <w:t>Dados Ø0,40×1,00 m</w:t>
            </w:r>
          </w:p>
        </w:tc>
        <w:tc>
          <w:tcPr>
            <w:tcW w:type="dxa" w:w="3360"/>
          </w:tcPr>
          <w:p>
            <w:pPr>
              <w:spacing w:after="80"/>
            </w:pPr>
            <w:r>
              <w:rPr>
                <w:sz w:val="18"/>
              </w:rPr>
              <w:t>2,639 m³ brutos</w:t>
            </w:r>
          </w:p>
        </w:tc>
        <w:tc>
          <w:tcPr>
            <w:tcW w:type="dxa" w:w="3360"/>
          </w:tcPr>
          <w:p>
            <w:pPr>
              <w:spacing w:after="80"/>
            </w:pPr>
            <w:r>
              <w:rPr>
                <w:sz w:val="18"/>
              </w:rPr>
              <w:t>Sin descontar el volumen de madera</w:t>
            </w:r>
          </w:p>
        </w:tc>
      </w:tr>
      <w:tr>
        <w:tc>
          <w:tcPr>
            <w:tcW w:type="dxa" w:w="3360"/>
          </w:tcPr>
          <w:p>
            <w:pPr>
              <w:spacing w:after="80"/>
            </w:pPr>
            <w:r>
              <w:rPr>
                <w:sz w:val="18"/>
              </w:rPr>
              <w:t>Muertos de retenida 1,00×0,60×0,60 m</w:t>
            </w:r>
          </w:p>
        </w:tc>
        <w:tc>
          <w:tcPr>
            <w:tcW w:type="dxa" w:w="3360"/>
          </w:tcPr>
          <w:p>
            <w:pPr>
              <w:spacing w:after="80"/>
            </w:pPr>
            <w:r>
              <w:rPr>
                <w:sz w:val="18"/>
              </w:rPr>
              <w:t>7,560 m³</w:t>
            </w:r>
          </w:p>
        </w:tc>
        <w:tc>
          <w:tcPr>
            <w:tcW w:type="dxa" w:w="3360"/>
          </w:tcPr>
          <w:p>
            <w:pPr>
              <w:spacing w:after="80"/>
            </w:pPr>
            <w:r>
              <w:rPr>
                <w:sz w:val="18"/>
              </w:rPr>
              <w:t>Geometría del Anexo</w:t>
            </w:r>
          </w:p>
        </w:tc>
      </w:tr>
      <w:tr>
        <w:tc>
          <w:tcPr>
            <w:tcW w:type="dxa" w:w="3360"/>
          </w:tcPr>
          <w:p>
            <w:pPr>
              <w:spacing w:after="80"/>
            </w:pPr>
            <w:r>
              <w:rPr>
                <w:sz w:val="18"/>
              </w:rPr>
              <w:t>Dos muertos extremos 1,50×1,00×1,00 m</w:t>
            </w:r>
          </w:p>
        </w:tc>
        <w:tc>
          <w:tcPr>
            <w:tcW w:type="dxa" w:w="3360"/>
          </w:tcPr>
          <w:p>
            <w:pPr>
              <w:spacing w:after="80"/>
            </w:pPr>
            <w:r>
              <w:rPr>
                <w:sz w:val="18"/>
              </w:rPr>
              <w:t>3,000 m³</w:t>
            </w:r>
          </w:p>
        </w:tc>
        <w:tc>
          <w:tcPr>
            <w:tcW w:type="dxa" w:w="3360"/>
          </w:tcPr>
          <w:p>
            <w:pPr>
              <w:spacing w:after="80"/>
            </w:pPr>
            <w:r>
              <w:rPr>
                <w:sz w:val="18"/>
              </w:rPr>
              <w:t>Un tramo recto, sin esquinas</w:t>
            </w:r>
          </w:p>
        </w:tc>
      </w:tr>
    </w:tbl>
    <w:p/>
    <w:p>
      <w:r>
        <w:br w:type="page"/>
      </w:r>
    </w:p>
    <w:p>
      <w:pPr>
        <w:pStyle w:val="Heading1"/>
      </w:pPr>
      <w:r>
        <w:t>6. Síntesis de comprobaciones Booster OPP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w:t>
            </w:r>
          </w:p>
        </w:tc>
        <w:tc>
          <w:tcPr>
            <w:tcW w:type="dxa" w:w="3360"/>
          </w:tcPr>
          <w:p>
            <w:pPr>
              <w:spacing w:after="80"/>
            </w:pPr>
            <w:r>
              <w:rPr>
                <w:sz w:val="18"/>
              </w:rPr>
              <w:t>Resultado dominante S2</w:t>
            </w:r>
          </w:p>
        </w:tc>
        <w:tc>
          <w:tcPr>
            <w:tcW w:type="dxa" w:w="3360"/>
          </w:tcPr>
          <w:p>
            <w:pPr>
              <w:spacing w:after="80"/>
            </w:pPr>
            <w:r>
              <w:rPr>
                <w:sz w:val="18"/>
              </w:rPr>
              <w:t>Conclusión técnica</w:t>
            </w:r>
          </w:p>
        </w:tc>
      </w:tr>
      <w:tr>
        <w:tc>
          <w:tcPr>
            <w:tcW w:type="dxa" w:w="3360"/>
          </w:tcPr>
          <w:p>
            <w:pPr>
              <w:spacing w:after="80"/>
            </w:pPr>
            <w:r>
              <w:rPr>
                <w:sz w:val="18"/>
              </w:rPr>
              <w:t>Doble malla del método D2</w:t>
            </w:r>
          </w:p>
        </w:tc>
        <w:tc>
          <w:tcPr>
            <w:tcW w:type="dxa" w:w="3360"/>
          </w:tcPr>
          <w:p>
            <w:pPr>
              <w:spacing w:after="80"/>
            </w:pPr>
            <w:r>
              <w:rPr>
                <w:sz w:val="18"/>
              </w:rPr>
              <w:t>T=56,565 kN; Rm=63,988 kN; RU=0,884</w:t>
            </w:r>
          </w:p>
        </w:tc>
        <w:tc>
          <w:tcPr>
            <w:tcW w:type="dxa" w:w="3360"/>
          </w:tcPr>
          <w:p>
            <w:pPr>
              <w:spacing w:after="80"/>
            </w:pPr>
            <w:r>
              <w:rPr>
                <w:sz w:val="18"/>
              </w:rPr>
              <w:t>Pasa comparación nominal del modelo; no certifica impacto</w:t>
            </w:r>
          </w:p>
        </w:tc>
      </w:tr>
      <w:tr>
        <w:tc>
          <w:tcPr>
            <w:tcW w:type="dxa" w:w="3360"/>
          </w:tcPr>
          <w:p>
            <w:pPr>
              <w:spacing w:after="80"/>
            </w:pPr>
            <w:r>
              <w:rPr>
                <w:sz w:val="18"/>
              </w:rPr>
              <w:t>Perimetrales D2 con reparto igual</w:t>
            </w:r>
          </w:p>
        </w:tc>
        <w:tc>
          <w:tcPr>
            <w:tcW w:type="dxa" w:w="3360"/>
          </w:tcPr>
          <w:p>
            <w:pPr>
              <w:spacing w:after="80"/>
            </w:pPr>
            <w:r>
              <w:rPr>
                <w:sz w:val="18"/>
              </w:rPr>
              <w:t>Tc=28,283 kN; 90/Tc=3,182</w:t>
            </w:r>
          </w:p>
        </w:tc>
        <w:tc>
          <w:tcPr>
            <w:tcW w:type="dxa" w:w="3360"/>
          </w:tcPr>
          <w:p>
            <w:pPr>
              <w:spacing w:after="80"/>
            </w:pPr>
            <w:r>
              <w:rPr>
                <w:sz w:val="18"/>
              </w:rPr>
              <w:t>Pasa cociente 2,00 antes de reducción de terminal</w:t>
            </w:r>
          </w:p>
        </w:tc>
      </w:tr>
      <w:tr>
        <w:tc>
          <w:tcPr>
            <w:tcW w:type="dxa" w:w="3360"/>
          </w:tcPr>
          <w:p>
            <w:pPr>
              <w:spacing w:after="80"/>
            </w:pPr>
            <w:r>
              <w:rPr>
                <w:sz w:val="18"/>
              </w:rPr>
              <w:t>Retenida D2 / 3 postes</w:t>
            </w:r>
          </w:p>
        </w:tc>
        <w:tc>
          <w:tcPr>
            <w:tcW w:type="dxa" w:w="3360"/>
          </w:tcPr>
          <w:p>
            <w:pPr>
              <w:spacing w:after="80"/>
            </w:pPr>
            <w:r>
              <w:rPr>
                <w:sz w:val="18"/>
              </w:rPr>
              <w:t>Tr=10,459 kN; 54/Tr=5,163</w:t>
            </w:r>
          </w:p>
        </w:tc>
        <w:tc>
          <w:tcPr>
            <w:tcW w:type="dxa" w:w="3360"/>
          </w:tcPr>
          <w:p>
            <w:pPr>
              <w:spacing w:after="80"/>
            </w:pPr>
            <w:r>
              <w:rPr>
                <w:sz w:val="18"/>
              </w:rPr>
              <w:t>Pasa cociente 3,00 antes de reducción de terminal</w:t>
            </w:r>
          </w:p>
        </w:tc>
      </w:tr>
      <w:tr>
        <w:tc>
          <w:tcPr>
            <w:tcW w:type="dxa" w:w="3360"/>
          </w:tcPr>
          <w:p>
            <w:pPr>
              <w:spacing w:after="80"/>
            </w:pPr>
            <w:r>
              <w:rPr>
                <w:sz w:val="18"/>
              </w:rPr>
              <w:t>Muerto retenida D2 / 3 postes</w:t>
            </w:r>
          </w:p>
        </w:tc>
        <w:tc>
          <w:tcPr>
            <w:tcW w:type="dxa" w:w="3360"/>
          </w:tcPr>
          <w:p>
            <w:pPr>
              <w:spacing w:after="80"/>
            </w:pPr>
            <w:r>
              <w:rPr>
                <w:sz w:val="18"/>
              </w:rPr>
              <w:t>FSv=2,044; FSh=6,057</w:t>
            </w:r>
          </w:p>
        </w:tc>
        <w:tc>
          <w:tcPr>
            <w:tcW w:type="dxa" w:w="3360"/>
          </w:tcPr>
          <w:p>
            <w:pPr>
              <w:spacing w:after="80"/>
            </w:pPr>
            <w:r>
              <w:rPr>
                <w:sz w:val="18"/>
              </w:rPr>
              <w:t>Pasa comparación documental con esos mecanismos</w:t>
            </w:r>
          </w:p>
        </w:tc>
      </w:tr>
      <w:tr>
        <w:tc>
          <w:tcPr>
            <w:tcW w:type="dxa" w:w="3360"/>
          </w:tcPr>
          <w:p>
            <w:pPr>
              <w:spacing w:after="80"/>
            </w:pPr>
            <w:r>
              <w:rPr>
                <w:sz w:val="18"/>
              </w:rPr>
              <w:t>Dado D2 / 3 postes</w:t>
            </w:r>
          </w:p>
        </w:tc>
        <w:tc>
          <w:tcPr>
            <w:tcW w:type="dxa" w:w="3360"/>
          </w:tcPr>
          <w:p>
            <w:pPr>
              <w:spacing w:after="80"/>
            </w:pPr>
            <w:r>
              <w:rPr>
                <w:sz w:val="18"/>
              </w:rPr>
              <w:t>Hu=15,276 kN; FS=3,076</w:t>
            </w:r>
          </w:p>
        </w:tc>
        <w:tc>
          <w:tcPr>
            <w:tcW w:type="dxa" w:w="3360"/>
          </w:tcPr>
          <w:p>
            <w:pPr>
              <w:spacing w:after="80"/>
            </w:pPr>
            <w:r>
              <w:rPr>
                <w:sz w:val="18"/>
              </w:rPr>
              <w:t>Pasa expresión lateral simplificada del Anexo</w:t>
            </w:r>
          </w:p>
        </w:tc>
      </w:tr>
      <w:tr>
        <w:tc>
          <w:tcPr>
            <w:tcW w:type="dxa" w:w="3360"/>
          </w:tcPr>
          <w:p>
            <w:pPr>
              <w:spacing w:after="80"/>
            </w:pPr>
            <w:r>
              <w:rPr>
                <w:sz w:val="18"/>
              </w:rPr>
              <w:t>Anclaje extremo D2</w:t>
            </w:r>
          </w:p>
        </w:tc>
        <w:tc>
          <w:tcPr>
            <w:tcW w:type="dxa" w:w="3360"/>
          </w:tcPr>
          <w:p>
            <w:pPr>
              <w:spacing w:after="80"/>
            </w:pPr>
            <w:r>
              <w:rPr>
                <w:sz w:val="18"/>
              </w:rPr>
              <w:t>Rh=136,958 kN; FS=2,421</w:t>
            </w:r>
          </w:p>
        </w:tc>
        <w:tc>
          <w:tcPr>
            <w:tcW w:type="dxa" w:w="3360"/>
          </w:tcPr>
          <w:p>
            <w:pPr>
              <w:spacing w:after="80"/>
            </w:pPr>
            <w:r>
              <w:rPr>
                <w:sz w:val="18"/>
              </w:rPr>
              <w:t>Pasa comparación horizontal documental</w:t>
            </w:r>
          </w:p>
        </w:tc>
      </w:tr>
      <w:tr>
        <w:tc>
          <w:tcPr>
            <w:tcW w:type="dxa" w:w="3360"/>
          </w:tcPr>
          <w:p>
            <w:pPr>
              <w:spacing w:after="80"/>
            </w:pPr>
            <w:r>
              <w:rPr>
                <w:sz w:val="18"/>
              </w:rPr>
              <w:t>Poste eucalipto Ø150 mm</w:t>
            </w:r>
          </w:p>
        </w:tc>
        <w:tc>
          <w:tcPr>
            <w:tcW w:type="dxa" w:w="3360"/>
          </w:tcPr>
          <w:p>
            <w:pPr>
              <w:spacing w:after="80"/>
            </w:pPr>
            <w:r>
              <w:rPr>
                <w:sz w:val="18"/>
              </w:rPr>
              <w:t>RU flexión V=0,744; RU corte=0,068</w:t>
            </w:r>
          </w:p>
        </w:tc>
        <w:tc>
          <w:tcPr>
            <w:tcW w:type="dxa" w:w="3360"/>
          </w:tcPr>
          <w:p>
            <w:pPr>
              <w:spacing w:after="80"/>
            </w:pPr>
            <w:r>
              <w:rPr>
                <w:sz w:val="18"/>
              </w:rPr>
              <w:t>Pasa comparación de D2 con 3 postes y valores de eucalipto</w:t>
            </w:r>
          </w:p>
        </w:tc>
      </w:tr>
      <w:tr>
        <w:tc>
          <w:tcPr>
            <w:tcW w:type="dxa" w:w="3360"/>
          </w:tcPr>
          <w:p>
            <w:pPr>
              <w:spacing w:after="80"/>
            </w:pPr>
            <w:r>
              <w:rPr>
                <w:sz w:val="18"/>
              </w:rPr>
              <w:t>Amarres, cajón y geotextil</w:t>
            </w:r>
          </w:p>
        </w:tc>
        <w:tc>
          <w:tcPr>
            <w:tcW w:type="dxa" w:w="3360"/>
          </w:tcPr>
          <w:p>
            <w:pPr>
              <w:spacing w:after="80"/>
            </w:pPr>
            <w:r>
              <w:rPr>
                <w:sz w:val="18"/>
              </w:rPr>
              <w:t>Fuerzas y rutas calculables identificadas</w:t>
            </w:r>
          </w:p>
        </w:tc>
        <w:tc>
          <w:tcPr>
            <w:tcW w:type="dxa" w:w="3360"/>
          </w:tcPr>
          <w:p>
            <w:pPr>
              <w:spacing w:after="80"/>
            </w:pPr>
            <w:r>
              <w:rPr>
                <w:sz w:val="18"/>
              </w:rPr>
              <w:t>Sin resistencia acreditada de producto o unión</w:t>
            </w:r>
          </w:p>
        </w:tc>
      </w:tr>
    </w:tbl>
    <w:p/>
    <w:p>
      <w:r>
        <w:rPr>
          <w:b/>
          <w:color w:val="994A18"/>
        </w:rPr>
        <w:t>La memoria queda cerrada en resultados y alcances: reproduce los números del Anexo, identifica las demandas de cada componente y establece qué comparaciones son válidas. No convierte la conclusión favorable de un componente en aceptación de todo el sistema propuesto para OPP.</w:t>
      </w:r>
    </w:p>
    <w:p>
      <w:r>
        <w:br w:type="page"/>
      </w:r>
    </w:p>
    <w:p>
      <w:pPr>
        <w:pStyle w:val="Heading1"/>
      </w:pPr>
      <w:r>
        <w:t>7. Cruce entre el método y PETS122 de Antamina</w:t>
      </w:r>
    </w:p>
    <w:p>
      <w:r>
        <w:t>El PETS122 v.03 clasifica la interacción vertical como trabajo simultáneo (§4.3, p.7). El control se articula con los supervisores de Antamina que lideran los trabajos; no queda reducido a una coordinación informal entre cuadrillas. La siguiente matriz traduce el documento recibido a acciones y registros concretos.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PETS122 / localización</w:t>
            </w:r>
          </w:p>
        </w:tc>
        <w:tc>
          <w:tcPr>
            <w:tcW w:type="dxa" w:w="3360"/>
          </w:tcPr>
          <w:p>
            <w:pPr>
              <w:spacing w:after="80"/>
            </w:pPr>
            <w:r>
              <w:rPr>
                <w:sz w:val="18"/>
              </w:rPr>
              <w:t>Aplicación establecida en el informe</w:t>
            </w:r>
          </w:p>
        </w:tc>
        <w:tc>
          <w:tcPr>
            <w:tcW w:type="dxa" w:w="3360"/>
          </w:tcPr>
          <w:p>
            <w:pPr>
              <w:spacing w:after="80"/>
            </w:pPr>
            <w:r>
              <w:rPr>
                <w:sz w:val="18"/>
              </w:rPr>
              <w:t>Evidencia operativa</w:t>
            </w:r>
          </w:p>
        </w:tc>
      </w:tr>
      <w:tr>
        <w:tc>
          <w:tcPr>
            <w:tcW w:type="dxa" w:w="3360"/>
          </w:tcPr>
          <w:p>
            <w:pPr>
              <w:spacing w:after="80"/>
            </w:pPr>
            <w:r>
              <w:rPr>
                <w:sz w:val="18"/>
              </w:rPr>
              <w:t>§5, p.8: definir prioridades</w:t>
            </w:r>
          </w:p>
        </w:tc>
        <w:tc>
          <w:tcPr>
            <w:tcW w:type="dxa" w:w="3360"/>
          </w:tcPr>
          <w:p>
            <w:pPr>
              <w:spacing w:after="80"/>
            </w:pPr>
            <w:r>
              <w:rPr>
                <w:sz w:val="18"/>
              </w:rPr>
              <w:t>Secuencia sectorizada; no se superponen actividades incompatibles en la misma vertical</w:t>
            </w:r>
          </w:p>
        </w:tc>
        <w:tc>
          <w:tcPr>
            <w:tcW w:type="dxa" w:w="3360"/>
          </w:tcPr>
          <w:p>
            <w:pPr>
              <w:spacing w:after="80"/>
            </w:pPr>
            <w:r>
              <w:rPr>
                <w:sz w:val="18"/>
              </w:rPr>
              <w:t>Acta del turno con prioridad y frente activo</w:t>
            </w:r>
          </w:p>
        </w:tc>
      </w:tr>
      <w:tr>
        <w:tc>
          <w:tcPr>
            <w:tcW w:type="dxa" w:w="3360"/>
          </w:tcPr>
          <w:p>
            <w:pPr>
              <w:spacing w:after="80"/>
            </w:pPr>
            <w:r>
              <w:rPr>
                <w:sz w:val="18"/>
              </w:rPr>
              <w:t>§5, p.8: reunión en el área e intercambio de naturaleza, duración y secuencia</w:t>
            </w:r>
          </w:p>
        </w:tc>
        <w:tc>
          <w:tcPr>
            <w:tcW w:type="dxa" w:w="3360"/>
          </w:tcPr>
          <w:p>
            <w:pPr>
              <w:spacing w:after="80"/>
            </w:pPr>
            <w:r>
              <w:rPr>
                <w:sz w:val="18"/>
              </w:rPr>
              <w:t>Coordinación previa con OHLA y Terratest y comunicación directa por radio</w:t>
            </w:r>
          </w:p>
        </w:tc>
        <w:tc>
          <w:tcPr>
            <w:tcW w:type="dxa" w:w="3360"/>
          </w:tcPr>
          <w:p>
            <w:pPr>
              <w:spacing w:after="80"/>
            </w:pPr>
            <w:r>
              <w:rPr>
                <w:sz w:val="18"/>
              </w:rPr>
              <w:t>Participantes, tareas, horario, límites y canal de radio</w:t>
            </w:r>
          </w:p>
        </w:tc>
      </w:tr>
      <w:tr>
        <w:tc>
          <w:tcPr>
            <w:tcW w:type="dxa" w:w="3360"/>
          </w:tcPr>
          <w:p>
            <w:pPr>
              <w:spacing w:after="80"/>
            </w:pPr>
            <w:r>
              <w:rPr>
                <w:sz w:val="18"/>
              </w:rPr>
              <w:t>§5, p.8: IPERC continuo y ATS cuando corresponda</w:t>
            </w:r>
          </w:p>
        </w:tc>
        <w:tc>
          <w:tcPr>
            <w:tcW w:type="dxa" w:w="3360"/>
          </w:tcPr>
          <w:p>
            <w:pPr>
              <w:spacing w:after="80"/>
            </w:pPr>
            <w:r>
              <w:rPr>
                <w:sz w:val="18"/>
              </w:rPr>
              <w:t>Cada cuadrilla incorpora la caída de materiales y la interacción con el otro frente</w:t>
            </w:r>
          </w:p>
        </w:tc>
        <w:tc>
          <w:tcPr>
            <w:tcW w:type="dxa" w:w="3360"/>
          </w:tcPr>
          <w:p>
            <w:pPr>
              <w:spacing w:after="80"/>
            </w:pPr>
            <w:r>
              <w:rPr>
                <w:sz w:val="18"/>
              </w:rPr>
              <w:t>FR007 y FR019 según aplicabilidad</w:t>
            </w:r>
          </w:p>
        </w:tc>
      </w:tr>
      <w:tr>
        <w:tc>
          <w:tcPr>
            <w:tcW w:type="dxa" w:w="3360"/>
          </w:tcPr>
          <w:p>
            <w:pPr>
              <w:spacing w:after="80"/>
            </w:pPr>
            <w:r>
              <w:rPr>
                <w:sz w:val="18"/>
              </w:rPr>
              <w:t>§5, p.8: detener ante cambio e informar al par</w:t>
            </w:r>
          </w:p>
        </w:tc>
        <w:tc>
          <w:tcPr>
            <w:tcW w:type="dxa" w:w="3360"/>
          </w:tcPr>
          <w:p>
            <w:pPr>
              <w:spacing w:after="80"/>
            </w:pPr>
            <w:r>
              <w:rPr>
                <w:sz w:val="18"/>
              </w:rPr>
              <w:t>Se detiene la interacción al cambiar pedestal, tarea, equipo, terreno o protección</w:t>
            </w:r>
          </w:p>
        </w:tc>
        <w:tc>
          <w:tcPr>
            <w:tcW w:type="dxa" w:w="3360"/>
          </w:tcPr>
          <w:p>
            <w:pPr>
              <w:spacing w:after="80"/>
            </w:pPr>
            <w:r>
              <w:rPr>
                <w:sz w:val="18"/>
              </w:rPr>
              <w:t>Registro del cambio y nueva secuencia comunicada</w:t>
            </w:r>
          </w:p>
        </w:tc>
      </w:tr>
      <w:tr>
        <w:tc>
          <w:tcPr>
            <w:tcW w:type="dxa" w:w="3360"/>
          </w:tcPr>
          <w:p>
            <w:pPr>
              <w:spacing w:after="80"/>
            </w:pPr>
            <w:r>
              <w:rPr>
                <w:sz w:val="18"/>
              </w:rPr>
              <w:t>§5, p.8: observar y detener actos subestándares</w:t>
            </w:r>
          </w:p>
        </w:tc>
        <w:tc>
          <w:tcPr>
            <w:tcW w:type="dxa" w:w="3360"/>
          </w:tcPr>
          <w:p>
            <w:pPr>
              <w:spacing w:after="80"/>
            </w:pPr>
            <w:r>
              <w:rPr>
                <w:sz w:val="18"/>
              </w:rPr>
              <w:t>Vigía y trabajadores mantienen facultad de parada; no sustituyen barreras ni exclusión</w:t>
            </w:r>
          </w:p>
        </w:tc>
        <w:tc>
          <w:tcPr>
            <w:tcW w:type="dxa" w:w="3360"/>
          </w:tcPr>
          <w:p>
            <w:pPr>
              <w:spacing w:after="80"/>
            </w:pPr>
            <w:r>
              <w:rPr>
                <w:sz w:val="18"/>
              </w:rPr>
              <w:t>Registro de inspección y actuación</w:t>
            </w:r>
          </w:p>
        </w:tc>
      </w:tr>
      <w:tr>
        <w:tc>
          <w:tcPr>
            <w:tcW w:type="dxa" w:w="3360"/>
          </w:tcPr>
          <w:p>
            <w:pPr>
              <w:spacing w:after="80"/>
            </w:pPr>
            <w:r>
              <w:rPr>
                <w:sz w:val="18"/>
              </w:rPr>
              <w:t>§5, p.8: informar término y abandono</w:t>
            </w:r>
          </w:p>
        </w:tc>
        <w:tc>
          <w:tcPr>
            <w:tcW w:type="dxa" w:w="3360"/>
          </w:tcPr>
          <w:p>
            <w:pPr>
              <w:spacing w:after="80"/>
            </w:pPr>
            <w:r>
              <w:rPr>
                <w:sz w:val="18"/>
              </w:rPr>
              <w:t>Se comunica cierre del frente y retiro de personal y equipos</w:t>
            </w:r>
          </w:p>
        </w:tc>
        <w:tc>
          <w:tcPr>
            <w:tcW w:type="dxa" w:w="3360"/>
          </w:tcPr>
          <w:p>
            <w:pPr>
              <w:spacing w:after="80"/>
            </w:pPr>
            <w:r>
              <w:rPr>
                <w:sz w:val="18"/>
              </w:rPr>
              <w:t>Confirmación de recepción del supervisor del otro frente</w:t>
            </w:r>
          </w:p>
        </w:tc>
      </w:tr>
      <w:tr>
        <w:tc>
          <w:tcPr>
            <w:tcW w:type="dxa" w:w="3360"/>
          </w:tcPr>
          <w:p>
            <w:pPr>
              <w:spacing w:after="80"/>
            </w:pPr>
            <w:r>
              <w:rPr>
                <w:sz w:val="18"/>
              </w:rPr>
              <w:t>§6, pp.8–9: espacio insuficiente o ausencia de barreras sólidas</w:t>
            </w:r>
          </w:p>
        </w:tc>
        <w:tc>
          <w:tcPr>
            <w:tcW w:type="dxa" w:w="3360"/>
          </w:tcPr>
          <w:p>
            <w:pPr>
              <w:spacing w:after="80"/>
            </w:pPr>
            <w:r>
              <w:rPr>
                <w:sz w:val="18"/>
              </w:rPr>
              <w:t>Se suspende el trabajo expuesto y se mantiene el bloqueo inferior</w:t>
            </w:r>
          </w:p>
        </w:tc>
        <w:tc>
          <w:tcPr>
            <w:tcW w:type="dxa" w:w="3360"/>
          </w:tcPr>
          <w:p>
            <w:pPr>
              <w:spacing w:after="80"/>
            </w:pPr>
            <w:r>
              <w:rPr>
                <w:sz w:val="18"/>
              </w:rPr>
              <w:t>Control de accesos y anotación de parada</w:t>
            </w:r>
          </w:p>
        </w:tc>
      </w:tr>
    </w:tbl>
    <w:p/>
    <w:p>
      <w:r>
        <w:t>La copia recibida indica verificar vigencia en intranet. Esta emisión identifica la versión utilizada y no presenta como consultada una versión distinta. Las menciones del PETS a otros estándares, incluido DC240, no se convierten aquí en requisitos técnicos nuevos. Los permisos, EPP y controles específicos de altura, izaje y equipos corresponden a sus procedimientos de tarea.</w:t>
      </w:r>
    </w:p>
    <w:p>
      <w:r>
        <w:br w:type="page"/>
      </w:r>
    </w:p>
    <w:p>
      <w:pPr>
        <w:pStyle w:val="Heading1"/>
      </w:pPr>
      <w:r>
        <w:t>8. Secuencia constructiva definitiva por sector</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Fase</w:t>
            </w:r>
          </w:p>
        </w:tc>
        <w:tc>
          <w:tcPr>
            <w:tcW w:type="dxa" w:w="5040"/>
          </w:tcPr>
          <w:p>
            <w:pPr>
              <w:spacing w:after="80"/>
            </w:pPr>
            <w:r>
              <w:rPr>
                <w:sz w:val="18"/>
              </w:rPr>
              <w:t>Ejecución y condición de cierre</w:t>
            </w:r>
          </w:p>
        </w:tc>
      </w:tr>
      <w:tr>
        <w:tc>
          <w:tcPr>
            <w:tcW w:type="dxa" w:w="5040"/>
          </w:tcPr>
          <w:p>
            <w:pPr>
              <w:spacing w:after="80"/>
            </w:pPr>
            <w:r>
              <w:rPr>
                <w:sz w:val="18"/>
              </w:rPr>
              <w:t>1. Coordinación del turno</w:t>
            </w:r>
          </w:p>
        </w:tc>
        <w:tc>
          <w:tcPr>
            <w:tcW w:type="dxa" w:w="5040"/>
          </w:tcPr>
          <w:p>
            <w:pPr>
              <w:spacing w:after="80"/>
            </w:pPr>
            <w:r>
              <w:rPr>
                <w:sz w:val="18"/>
              </w:rPr>
              <w:t>Los supervisores identifican el pedestal y actividad activos, el frente inferior afectado, horario, responsables y canal de radio. Se comunica la prioridad de ejecución.</w:t>
            </w:r>
          </w:p>
        </w:tc>
      </w:tr>
      <w:tr>
        <w:tc>
          <w:tcPr>
            <w:tcW w:type="dxa" w:w="5040"/>
          </w:tcPr>
          <w:p>
            <w:pPr>
              <w:spacing w:after="80"/>
            </w:pPr>
            <w:r>
              <w:rPr>
                <w:sz w:val="18"/>
              </w:rPr>
              <w:t>2. Segregación inicial</w:t>
            </w:r>
          </w:p>
        </w:tc>
        <w:tc>
          <w:tcPr>
            <w:tcW w:type="dxa" w:w="5040"/>
          </w:tcPr>
          <w:p>
            <w:pPr>
              <w:spacing w:after="80"/>
            </w:pPr>
            <w:r>
              <w:rPr>
                <w:sz w:val="18"/>
              </w:rPr>
              <w:t>Se evacúa y bloquea toda la envolvente inferior expuesta antes de montar barreras, retirar sueltos o habilitar accesos. El vigía controla los puntos de ingreso.</w:t>
            </w:r>
          </w:p>
        </w:tc>
      </w:tr>
      <w:tr>
        <w:tc>
          <w:tcPr>
            <w:tcW w:type="dxa" w:w="5040"/>
          </w:tcPr>
          <w:p>
            <w:pPr>
              <w:spacing w:after="80"/>
            </w:pPr>
            <w:r>
              <w:rPr>
                <w:sz w:val="18"/>
              </w:rPr>
              <w:t>3. Protección en origen</w:t>
            </w:r>
          </w:p>
        </w:tc>
        <w:tc>
          <w:tcPr>
            <w:tcW w:type="dxa" w:w="5040"/>
          </w:tcPr>
          <w:p>
            <w:pPr>
              <w:spacing w:after="80"/>
            </w:pPr>
            <w:r>
              <w:rPr>
                <w:sz w:val="18"/>
              </w:rPr>
              <w:t>Se conserva el cajón cerrado por madera y geotextil; se asegura herramienta, se retira material suelto y se controla el acopio. No se abren huecos de descarga.</w:t>
            </w:r>
          </w:p>
        </w:tc>
      </w:tr>
      <w:tr>
        <w:tc>
          <w:tcPr>
            <w:tcW w:type="dxa" w:w="5040"/>
          </w:tcPr>
          <w:p>
            <w:pPr>
              <w:spacing w:after="80"/>
            </w:pPr>
            <w:r>
              <w:rPr>
                <w:sz w:val="18"/>
              </w:rPr>
              <w:t>4. Montaje de barreras</w:t>
            </w:r>
          </w:p>
        </w:tc>
        <w:tc>
          <w:tcPr>
            <w:tcW w:type="dxa" w:w="5040"/>
          </w:tcPr>
          <w:p>
            <w:pPr>
              <w:spacing w:after="80"/>
            </w:pPr>
            <w:r>
              <w:rPr>
                <w:sz w:val="18"/>
              </w:rPr>
              <w:t>Se instala por paños, manteniendo la exclusión inferior. Se preservan apoyos, continuidad, extremos y acceso seguro para el montaje.</w:t>
            </w:r>
          </w:p>
        </w:tc>
      </w:tr>
      <w:tr>
        <w:tc>
          <w:tcPr>
            <w:tcW w:type="dxa" w:w="5040"/>
          </w:tcPr>
          <w:p>
            <w:pPr>
              <w:spacing w:after="80"/>
            </w:pPr>
            <w:r>
              <w:rPr>
                <w:sz w:val="18"/>
              </w:rPr>
              <w:t>5. Habilitación del acceso</w:t>
            </w:r>
          </w:p>
        </w:tc>
        <w:tc>
          <w:tcPr>
            <w:tcW w:type="dxa" w:w="5040"/>
          </w:tcPr>
          <w:p>
            <w:pPr>
              <w:spacing w:after="80"/>
            </w:pPr>
            <w:r>
              <w:rPr>
                <w:sz w:val="18"/>
              </w:rPr>
              <w:t>Se avanza de forma progresiva al pedestal activo. El material se recoge y retira de manera controlada; no se arroja ni empuja al talud.</w:t>
            </w:r>
          </w:p>
        </w:tc>
      </w:tr>
      <w:tr>
        <w:tc>
          <w:tcPr>
            <w:tcW w:type="dxa" w:w="5040"/>
          </w:tcPr>
          <w:p>
            <w:pPr>
              <w:spacing w:after="80"/>
            </w:pPr>
            <w:r>
              <w:rPr>
                <w:sz w:val="18"/>
              </w:rPr>
              <w:t>6. Trabajos del pedestal</w:t>
            </w:r>
          </w:p>
        </w:tc>
        <w:tc>
          <w:tcPr>
            <w:tcW w:type="dxa" w:w="5040"/>
          </w:tcPr>
          <w:p>
            <w:pPr>
              <w:spacing w:after="80"/>
            </w:pPr>
            <w:r>
              <w:rPr>
                <w:sz w:val="18"/>
              </w:rPr>
              <w:t>Se ejecutan excavación, perforación/anclajes, solado, acero, encofrado y concreto en la secuencia del proyecto. Las maniobras que proyectan o liberan material mantienen el bloqueo inferior.</w:t>
            </w:r>
          </w:p>
        </w:tc>
      </w:tr>
      <w:tr>
        <w:tc>
          <w:tcPr>
            <w:tcW w:type="dxa" w:w="5040"/>
          </w:tcPr>
          <w:p>
            <w:pPr>
              <w:spacing w:after="80"/>
            </w:pPr>
            <w:r>
              <w:rPr>
                <w:sz w:val="18"/>
              </w:rPr>
              <w:t>7. Retiro y cierre del sector</w:t>
            </w:r>
          </w:p>
        </w:tc>
        <w:tc>
          <w:tcPr>
            <w:tcW w:type="dxa" w:w="5040"/>
          </w:tcPr>
          <w:p>
            <w:pPr>
              <w:spacing w:after="80"/>
            </w:pPr>
            <w:r>
              <w:rPr>
                <w:sz w:val="18"/>
              </w:rPr>
              <w:t>Se retiran excedentes y elementos inestables; se inspeccionan cajones y barreras; se comunica el fin de la actividad y la salida del área.</w:t>
            </w:r>
          </w:p>
        </w:tc>
      </w:tr>
      <w:tr>
        <w:tc>
          <w:tcPr>
            <w:tcW w:type="dxa" w:w="5040"/>
          </w:tcPr>
          <w:p>
            <w:pPr>
              <w:spacing w:after="80"/>
            </w:pPr>
            <w:r>
              <w:rPr>
                <w:sz w:val="18"/>
              </w:rPr>
              <w:t>8. Cambio de pedestal</w:t>
            </w:r>
          </w:p>
        </w:tc>
        <w:tc>
          <w:tcPr>
            <w:tcW w:type="dxa" w:w="5040"/>
          </w:tcPr>
          <w:p>
            <w:pPr>
              <w:spacing w:after="80"/>
            </w:pPr>
            <w:r>
              <w:rPr>
                <w:sz w:val="18"/>
              </w:rPr>
              <w:t>Se repite coordinación, segregación y análisis del turno para el nuevo sector; una liberación no se extiende automáticamente al siguiente pedestal.</w:t>
            </w:r>
          </w:p>
        </w:tc>
      </w:tr>
    </w:tbl>
    <w:p/>
    <w:p>
      <w:pPr>
        <w:pStyle w:val="Heading2"/>
      </w:pPr>
      <w:r>
        <w:t>8.1 Habilitación progresiva C-18 a C-04</w:t>
      </w:r>
    </w:p>
    <w:p>
      <w:r>
        <w:t>La referencia C-18 a C-04 define el ámbito de intervención. La secuencia diaria sigue el acceso seguro y la prioridad acordada; no implica abrir simultáneamente todos los pedestales del tramo. Las rutas conservan continuidad para evacuación y abastecimiento y no utilizan el cerramiento de los cajones como piso de tránsito.</w:t>
      </w:r>
    </w:p>
    <w:p>
      <w:pPr>
        <w:pStyle w:val="Heading2"/>
      </w:pPr>
      <w:r>
        <w:t>8.2 Actividades inferiores</w:t>
      </w:r>
    </w:p>
    <w:p>
      <w:r>
        <w:t>Terratest y OHLA continúan labores fuera de la envolvente del sector activo. Las labores situadas dentro de esa envolvente permanecen detenidas hasta el cierre comunicado de la actividad generadora de caída. No se ocupa el área inferior para esperar la conclusión del trabajo ni se mantiene tránsito esporádico durante la ventana exclusiva.</w:t>
      </w:r>
    </w:p>
    <w:p>
      <w:r>
        <w:br w:type="page"/>
      </w:r>
    </w:p>
    <w:p>
      <w:pPr>
        <w:pStyle w:val="Heading1"/>
      </w:pPr>
      <w:r>
        <w:t>9. Matriz de actividades e interacción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Actividad superior</w:t>
            </w:r>
          </w:p>
        </w:tc>
        <w:tc>
          <w:tcPr>
            <w:tcW w:type="dxa" w:w="3360"/>
          </w:tcPr>
          <w:p>
            <w:pPr>
              <w:spacing w:after="80"/>
            </w:pPr>
            <w:r>
              <w:rPr>
                <w:sz w:val="18"/>
              </w:rPr>
              <w:t>Mecanismo de exposición</w:t>
            </w:r>
          </w:p>
        </w:tc>
        <w:tc>
          <w:tcPr>
            <w:tcW w:type="dxa" w:w="3360"/>
          </w:tcPr>
          <w:p>
            <w:pPr>
              <w:spacing w:after="80"/>
            </w:pPr>
            <w:r>
              <w:rPr>
                <w:sz w:val="18"/>
              </w:rPr>
              <w:t>Control operativo obligatorio</w:t>
            </w:r>
          </w:p>
        </w:tc>
      </w:tr>
      <w:tr>
        <w:tc>
          <w:tcPr>
            <w:tcW w:type="dxa" w:w="3360"/>
          </w:tcPr>
          <w:p>
            <w:pPr>
              <w:spacing w:after="80"/>
            </w:pPr>
            <w:r>
              <w:rPr>
                <w:sz w:val="18"/>
              </w:rPr>
              <w:t>Montaje / limpieza de protecciones</w:t>
            </w:r>
          </w:p>
        </w:tc>
        <w:tc>
          <w:tcPr>
            <w:tcW w:type="dxa" w:w="3360"/>
          </w:tcPr>
          <w:p>
            <w:pPr>
              <w:spacing w:after="80"/>
            </w:pPr>
            <w:r>
              <w:rPr>
                <w:sz w:val="18"/>
              </w:rPr>
              <w:t>Caída de componentes y liberación de material retenido</w:t>
            </w:r>
          </w:p>
        </w:tc>
        <w:tc>
          <w:tcPr>
            <w:tcW w:type="dxa" w:w="3360"/>
          </w:tcPr>
          <w:p>
            <w:pPr>
              <w:spacing w:after="80"/>
            </w:pPr>
            <w:r>
              <w:rPr>
                <w:sz w:val="18"/>
              </w:rPr>
              <w:t>Ventana exclusiva, evacuación y bloqueo inferior</w:t>
            </w:r>
          </w:p>
        </w:tc>
      </w:tr>
      <w:tr>
        <w:tc>
          <w:tcPr>
            <w:tcW w:type="dxa" w:w="3360"/>
          </w:tcPr>
          <w:p>
            <w:pPr>
              <w:spacing w:after="80"/>
            </w:pPr>
            <w:r>
              <w:rPr>
                <w:sz w:val="18"/>
              </w:rPr>
              <w:t>Habilitación de accesos / rotura</w:t>
            </w:r>
          </w:p>
        </w:tc>
        <w:tc>
          <w:tcPr>
            <w:tcW w:type="dxa" w:w="3360"/>
          </w:tcPr>
          <w:p>
            <w:pPr>
              <w:spacing w:after="80"/>
            </w:pPr>
            <w:r>
              <w:rPr>
                <w:sz w:val="18"/>
              </w:rPr>
              <w:t>Desprendimiento, rodadura, rebote y proyección</w:t>
            </w:r>
          </w:p>
        </w:tc>
        <w:tc>
          <w:tcPr>
            <w:tcW w:type="dxa" w:w="3360"/>
          </w:tcPr>
          <w:p>
            <w:pPr>
              <w:spacing w:after="80"/>
            </w:pPr>
            <w:r>
              <w:rPr>
                <w:sz w:val="18"/>
              </w:rPr>
              <w:t>Retiro controlado de sueltos; recoger y retirar material; excluir el recorrido de caída</w:t>
            </w:r>
          </w:p>
        </w:tc>
      </w:tr>
      <w:tr>
        <w:tc>
          <w:tcPr>
            <w:tcW w:type="dxa" w:w="3360"/>
          </w:tcPr>
          <w:p>
            <w:pPr>
              <w:spacing w:after="80"/>
            </w:pPr>
            <w:r>
              <w:rPr>
                <w:sz w:val="18"/>
              </w:rPr>
              <w:t>Excavación del pedestal</w:t>
            </w:r>
          </w:p>
        </w:tc>
        <w:tc>
          <w:tcPr>
            <w:tcW w:type="dxa" w:w="3360"/>
          </w:tcPr>
          <w:p>
            <w:pPr>
              <w:spacing w:after="80"/>
            </w:pPr>
            <w:r>
              <w:rPr>
                <w:sz w:val="18"/>
              </w:rPr>
              <w:t>Liberación de fragmentos y acción de equipos</w:t>
            </w:r>
          </w:p>
        </w:tc>
        <w:tc>
          <w:tcPr>
            <w:tcW w:type="dxa" w:w="3360"/>
          </w:tcPr>
          <w:p>
            <w:pPr>
              <w:spacing w:after="80"/>
            </w:pPr>
            <w:r>
              <w:rPr>
                <w:sz w:val="18"/>
              </w:rPr>
              <w:t>Cajón protegido; acopio alejado del borde; frente inferior excluido</w:t>
            </w:r>
          </w:p>
        </w:tc>
      </w:tr>
      <w:tr>
        <w:tc>
          <w:tcPr>
            <w:tcW w:type="dxa" w:w="3360"/>
          </w:tcPr>
          <w:p>
            <w:pPr>
              <w:spacing w:after="80"/>
            </w:pPr>
            <w:r>
              <w:rPr>
                <w:sz w:val="18"/>
              </w:rPr>
              <w:t>Perforación y anclajes</w:t>
            </w:r>
          </w:p>
        </w:tc>
        <w:tc>
          <w:tcPr>
            <w:tcW w:type="dxa" w:w="3360"/>
          </w:tcPr>
          <w:p>
            <w:pPr>
              <w:spacing w:after="80"/>
            </w:pPr>
            <w:r>
              <w:rPr>
                <w:sz w:val="18"/>
              </w:rPr>
              <w:t>Fragmentos, varillas y herramientas</w:t>
            </w:r>
          </w:p>
        </w:tc>
        <w:tc>
          <w:tcPr>
            <w:tcW w:type="dxa" w:w="3360"/>
          </w:tcPr>
          <w:p>
            <w:pPr>
              <w:spacing w:after="80"/>
            </w:pPr>
            <w:r>
              <w:rPr>
                <w:sz w:val="18"/>
              </w:rPr>
              <w:t>Asegurar herramientas y accesorios; control de conducción; excluir proyección</w:t>
            </w:r>
          </w:p>
        </w:tc>
      </w:tr>
      <w:tr>
        <w:tc>
          <w:tcPr>
            <w:tcW w:type="dxa" w:w="3360"/>
          </w:tcPr>
          <w:p>
            <w:pPr>
              <w:spacing w:after="80"/>
            </w:pPr>
            <w:r>
              <w:rPr>
                <w:sz w:val="18"/>
              </w:rPr>
              <w:t>Solado y concreto</w:t>
            </w:r>
          </w:p>
        </w:tc>
        <w:tc>
          <w:tcPr>
            <w:tcW w:type="dxa" w:w="3360"/>
          </w:tcPr>
          <w:p>
            <w:pPr>
              <w:spacing w:after="80"/>
            </w:pPr>
            <w:r>
              <w:rPr>
                <w:sz w:val="18"/>
              </w:rPr>
              <w:t>Derrames, desconexión de mangueras y movimiento de equipo</w:t>
            </w:r>
          </w:p>
        </w:tc>
        <w:tc>
          <w:tcPr>
            <w:tcW w:type="dxa" w:w="3360"/>
          </w:tcPr>
          <w:p>
            <w:pPr>
              <w:spacing w:after="80"/>
            </w:pPr>
            <w:r>
              <w:rPr>
                <w:sz w:val="18"/>
              </w:rPr>
              <w:t>Conducciones aseguradas; maniobras coordinadas; exclusión de su zona de influencia</w:t>
            </w:r>
          </w:p>
        </w:tc>
      </w:tr>
      <w:tr>
        <w:tc>
          <w:tcPr>
            <w:tcW w:type="dxa" w:w="3360"/>
          </w:tcPr>
          <w:p>
            <w:pPr>
              <w:spacing w:after="80"/>
            </w:pPr>
            <w:r>
              <w:rPr>
                <w:sz w:val="18"/>
              </w:rPr>
              <w:t>Acero</w:t>
            </w:r>
          </w:p>
        </w:tc>
        <w:tc>
          <w:tcPr>
            <w:tcW w:type="dxa" w:w="3360"/>
          </w:tcPr>
          <w:p>
            <w:pPr>
              <w:spacing w:after="80"/>
            </w:pPr>
            <w:r>
              <w:rPr>
                <w:sz w:val="18"/>
              </w:rPr>
              <w:t>Caída o deslizamiento de barras y objetos punzantes</w:t>
            </w:r>
          </w:p>
        </w:tc>
        <w:tc>
          <w:tcPr>
            <w:tcW w:type="dxa" w:w="3360"/>
          </w:tcPr>
          <w:p>
            <w:pPr>
              <w:spacing w:after="80"/>
            </w:pPr>
            <w:r>
              <w:rPr>
                <w:sz w:val="18"/>
              </w:rPr>
              <w:t>Estiba y amarre; transporte controlado; exclusión durante manipulación expuesta</w:t>
            </w:r>
          </w:p>
        </w:tc>
      </w:tr>
      <w:tr>
        <w:tc>
          <w:tcPr>
            <w:tcW w:type="dxa" w:w="3360"/>
          </w:tcPr>
          <w:p>
            <w:pPr>
              <w:spacing w:after="80"/>
            </w:pPr>
            <w:r>
              <w:rPr>
                <w:sz w:val="18"/>
              </w:rPr>
              <w:t>Encofrado / desencofrado</w:t>
            </w:r>
          </w:p>
        </w:tc>
        <w:tc>
          <w:tcPr>
            <w:tcW w:type="dxa" w:w="3360"/>
          </w:tcPr>
          <w:p>
            <w:pPr>
              <w:spacing w:after="80"/>
            </w:pPr>
            <w:r>
              <w:rPr>
                <w:sz w:val="18"/>
              </w:rPr>
              <w:t>Caída de paneles, fijaciones y piezas</w:t>
            </w:r>
          </w:p>
        </w:tc>
        <w:tc>
          <w:tcPr>
            <w:tcW w:type="dxa" w:w="3360"/>
          </w:tcPr>
          <w:p>
            <w:pPr>
              <w:spacing w:after="80"/>
            </w:pPr>
            <w:r>
              <w:rPr>
                <w:sz w:val="18"/>
              </w:rPr>
              <w:t>Retención de componentes; desmontaje secuenciado; ventana exclusiva</w:t>
            </w:r>
          </w:p>
        </w:tc>
      </w:tr>
      <w:tr>
        <w:tc>
          <w:tcPr>
            <w:tcW w:type="dxa" w:w="3360"/>
          </w:tcPr>
          <w:p>
            <w:pPr>
              <w:spacing w:after="80"/>
            </w:pPr>
            <w:r>
              <w:rPr>
                <w:sz w:val="18"/>
              </w:rPr>
              <w:t>Izaje</w:t>
            </w:r>
          </w:p>
        </w:tc>
        <w:tc>
          <w:tcPr>
            <w:tcW w:type="dxa" w:w="3360"/>
          </w:tcPr>
          <w:p>
            <w:pPr>
              <w:spacing w:after="80"/>
            </w:pPr>
            <w:r>
              <w:rPr>
                <w:sz w:val="18"/>
              </w:rPr>
              <w:t>Caída o barrido de carga suspendida</w:t>
            </w:r>
          </w:p>
        </w:tc>
        <w:tc>
          <w:tcPr>
            <w:tcW w:type="dxa" w:w="3360"/>
          </w:tcPr>
          <w:p>
            <w:pPr>
              <w:spacing w:after="80"/>
            </w:pPr>
            <w:r>
              <w:rPr>
                <w:sz w:val="18"/>
              </w:rPr>
              <w:t>Plan y permiso aplicables; exclusión de trayectoria y zona de influencia</w:t>
            </w:r>
          </w:p>
        </w:tc>
      </w:tr>
      <w:tr>
        <w:tc>
          <w:tcPr>
            <w:tcW w:type="dxa" w:w="3360"/>
          </w:tcPr>
          <w:p>
            <w:pPr>
              <w:spacing w:after="80"/>
            </w:pPr>
            <w:r>
              <w:rPr>
                <w:sz w:val="18"/>
              </w:rPr>
              <w:t>Inspección / replanteo</w:t>
            </w:r>
          </w:p>
        </w:tc>
        <w:tc>
          <w:tcPr>
            <w:tcW w:type="dxa" w:w="3360"/>
          </w:tcPr>
          <w:p>
            <w:pPr>
              <w:spacing w:after="80"/>
            </w:pPr>
            <w:r>
              <w:rPr>
                <w:sz w:val="18"/>
              </w:rPr>
              <w:t>Ingreso a recorridos de caída o maniobra</w:t>
            </w:r>
          </w:p>
        </w:tc>
        <w:tc>
          <w:tcPr>
            <w:tcW w:type="dxa" w:w="3360"/>
          </w:tcPr>
          <w:p>
            <w:pPr>
              <w:spacing w:after="80"/>
            </w:pPr>
            <w:r>
              <w:rPr>
                <w:sz w:val="18"/>
              </w:rPr>
              <w:t>Acceso solo fuera de la envolvente activa o durante su cierre controlado</w:t>
            </w:r>
          </w:p>
        </w:tc>
      </w:tr>
    </w:tbl>
    <w:p/>
    <w:p>
      <w:r>
        <w:t>La simultaneidad se decide por exposición física y tarea, no por el nombre de la empresa ni por la presencia de una malla. Las restricciones se mantienen para trabajadores, vehículos, equipos y terceros. Una comunicación por radio no sustituye el bloqueo físico del ingreso.</w:t>
      </w:r>
    </w:p>
    <w:p>
      <w:pPr>
        <w:pStyle w:val="Heading2"/>
      </w:pPr>
      <w:r>
        <w:t>9.1 Materiales de forma distinta al bloque del Anexo</w:t>
      </w:r>
    </w:p>
    <w:p>
      <w:r>
        <w:t>Barras, brocas, paneles y herramientas presentan geometrías de contacto y perforación diferentes al bloque de 0,914 m. La energía total no basta para demostrar su retención por malla romboidal de 50,8 mm. Se controlan con aseguramiento en origen, transporte controlado y exclusión de área; no se declara que la doble malla detiene cualquier objeto.</w:t>
      </w:r>
    </w:p>
    <w:p>
      <w:r>
        <w:br w:type="page"/>
      </w:r>
    </w:p>
    <w:p>
      <w:pPr>
        <w:pStyle w:val="Heading1"/>
      </w:pPr>
      <w:r>
        <w:t>10. Controles críticos, inspección y respuesta</w:t>
      </w:r>
    </w:p>
    <w:p>
      <w:r>
        <w:t>El borrador D1 identifica RC13 para caída de rocas, RC21 para altura, RC15 para izaje y RC7/RC12 para interacción con equipos y vehículos. Esta emisión conserva esas referencias como identificadores del borrador; no incorpora listas de control oficiales no entregadas ni declara que se hayan completado. La implementación se organiza en los controles concretos siguientes.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Peligro crítico</w:t>
            </w:r>
          </w:p>
        </w:tc>
        <w:tc>
          <w:tcPr>
            <w:tcW w:type="dxa" w:w="5040"/>
          </w:tcPr>
          <w:p>
            <w:pPr>
              <w:spacing w:after="80"/>
            </w:pPr>
            <w:r>
              <w:rPr>
                <w:sz w:val="18"/>
              </w:rPr>
              <w:t>Control que rige la ejecución</w:t>
            </w:r>
          </w:p>
        </w:tc>
      </w:tr>
      <w:tr>
        <w:tc>
          <w:tcPr>
            <w:tcW w:type="dxa" w:w="5040"/>
          </w:tcPr>
          <w:p>
            <w:pPr>
              <w:spacing w:after="80"/>
            </w:pPr>
            <w:r>
              <w:rPr>
                <w:sz w:val="18"/>
              </w:rPr>
              <w:t>Caída de rocas y materiales</w:t>
            </w:r>
          </w:p>
        </w:tc>
        <w:tc>
          <w:tcPr>
            <w:tcW w:type="dxa" w:w="5040"/>
          </w:tcPr>
          <w:p>
            <w:pPr>
              <w:spacing w:after="80"/>
            </w:pPr>
            <w:r>
              <w:rPr>
                <w:sz w:val="18"/>
              </w:rPr>
              <w:t>Control en origen, retiro controlado de sueltos, exclusión de la envolvente, barreras complementarias y accesos bloqueados</w:t>
            </w:r>
          </w:p>
        </w:tc>
      </w:tr>
      <w:tr>
        <w:tc>
          <w:tcPr>
            <w:tcW w:type="dxa" w:w="5040"/>
          </w:tcPr>
          <w:p>
            <w:pPr>
              <w:spacing w:after="80"/>
            </w:pPr>
            <w:r>
              <w:rPr>
                <w:sz w:val="18"/>
              </w:rPr>
              <w:t>Caída de personas</w:t>
            </w:r>
          </w:p>
        </w:tc>
        <w:tc>
          <w:tcPr>
            <w:tcW w:type="dxa" w:w="5040"/>
          </w:tcPr>
          <w:p>
            <w:pPr>
              <w:spacing w:after="80"/>
            </w:pPr>
            <w:r>
              <w:rPr>
                <w:sz w:val="18"/>
              </w:rPr>
              <w:t>Acceso seguro, protección colectiva y sistema anticaídas conforme a la tarea; la malla de material no cumple esta función</w:t>
            </w:r>
          </w:p>
        </w:tc>
      </w:tr>
      <w:tr>
        <w:tc>
          <w:tcPr>
            <w:tcW w:type="dxa" w:w="5040"/>
          </w:tcPr>
          <w:p>
            <w:pPr>
              <w:spacing w:after="80"/>
            </w:pPr>
            <w:r>
              <w:rPr>
                <w:sz w:val="18"/>
              </w:rPr>
              <w:t>Cargas suspendidas</w:t>
            </w:r>
          </w:p>
        </w:tc>
        <w:tc>
          <w:tcPr>
            <w:tcW w:type="dxa" w:w="5040"/>
          </w:tcPr>
          <w:p>
            <w:pPr>
              <w:spacing w:after="80"/>
            </w:pPr>
            <w:r>
              <w:rPr>
                <w:sz w:val="18"/>
              </w:rPr>
              <w:t>Excluir trayectoria y zona de influencia; maniobras dirigidas y comunicación única</w:t>
            </w:r>
          </w:p>
        </w:tc>
      </w:tr>
      <w:tr>
        <w:tc>
          <w:tcPr>
            <w:tcW w:type="dxa" w:w="5040"/>
          </w:tcPr>
          <w:p>
            <w:pPr>
              <w:spacing w:after="80"/>
            </w:pPr>
            <w:r>
              <w:rPr>
                <w:sz w:val="18"/>
              </w:rPr>
              <w:t>Equipos y vehículos</w:t>
            </w:r>
          </w:p>
        </w:tc>
        <w:tc>
          <w:tcPr>
            <w:tcW w:type="dxa" w:w="5040"/>
          </w:tcPr>
          <w:p>
            <w:pPr>
              <w:spacing w:after="80"/>
            </w:pPr>
            <w:r>
              <w:rPr>
                <w:sz w:val="18"/>
              </w:rPr>
              <w:t>Rutas separadas, radio de operación segregado, señalero según tarea y ausencia de personal en puntos ciegos</w:t>
            </w:r>
          </w:p>
        </w:tc>
      </w:tr>
      <w:tr>
        <w:tc>
          <w:tcPr>
            <w:tcW w:type="dxa" w:w="5040"/>
          </w:tcPr>
          <w:p>
            <w:pPr>
              <w:spacing w:after="80"/>
            </w:pPr>
            <w:r>
              <w:rPr>
                <w:sz w:val="18"/>
              </w:rPr>
              <w:t>Atrapamiento / energía acumulada</w:t>
            </w:r>
          </w:p>
        </w:tc>
        <w:tc>
          <w:tcPr>
            <w:tcW w:type="dxa" w:w="5040"/>
          </w:tcPr>
          <w:p>
            <w:pPr>
              <w:spacing w:after="80"/>
            </w:pPr>
            <w:r>
              <w:rPr>
                <w:sz w:val="18"/>
              </w:rPr>
              <w:t>Secuencia de manipulación y descarga controlada; no cortar una barrera cargada</w:t>
            </w:r>
          </w:p>
        </w:tc>
      </w:tr>
      <w:tr>
        <w:tc>
          <w:tcPr>
            <w:tcW w:type="dxa" w:w="5040"/>
          </w:tcPr>
          <w:p>
            <w:pPr>
              <w:spacing w:after="80"/>
            </w:pPr>
            <w:r>
              <w:rPr>
                <w:sz w:val="18"/>
              </w:rPr>
              <w:t>Condición meteorológica o geotécnica adversa</w:t>
            </w:r>
          </w:p>
        </w:tc>
        <w:tc>
          <w:tcPr>
            <w:tcW w:type="dxa" w:w="5040"/>
          </w:tcPr>
          <w:p>
            <w:pPr>
              <w:spacing w:after="80"/>
            </w:pPr>
            <w:r>
              <w:rPr>
                <w:sz w:val="18"/>
              </w:rPr>
              <w:t>Parada por cambio relevante y aplicación de alertas y respuesta del proyecto</w:t>
            </w:r>
          </w:p>
        </w:tc>
      </w:tr>
    </w:tbl>
    <w:p/>
    <w:p>
      <w:pPr>
        <w:pStyle w:val="Heading2"/>
      </w:pPr>
      <w:r>
        <w:t>10.1 Inspección de inicio y posterior a evento</w:t>
      </w:r>
    </w:p>
    <w:p>
      <w:r>
        <w:t>La supervisión recorre el sector activo y comprueba: material suelto, cajones y fijaciones, continuidad del geotextil, integridad de las maderas, malla, cables, postes y apoyos, extremos, acumulación, rutas, segregación y radio. La inspección se realiza desde posición protegida. Tras impacto o movimiento se excluye el área; nadie ingresa a retirar material debajo o frente a una protección cargada.</w:t>
      </w:r>
    </w:p>
    <w:p>
      <w:pPr>
        <w:pStyle w:val="Heading2"/>
      </w:pPr>
      <w:r>
        <w:t>10.2 Parada, evacuación y reinicio</w:t>
      </w:r>
    </w:p>
    <w:p>
      <w:r>
        <w:t>Se detienen los frentes afectados ante desprendimiento, impacto, daño de protección, pérdida de continuidad, ingreso no autorizado, pérdida de comunicación, erosión, filtración o cambio de condición que altere la tarea. Se avisa por radio y se evacúa hacia la ruta segura. El reinicio se produce después de corregir la condición, registrar la inspección y comunicar a ambos frentes la secuencia restablecida. No se reinicia por ausencia momentánea de caída.</w:t>
      </w:r>
    </w:p>
    <w:p>
      <w:r>
        <w:t>La presencia de animales en cresta figura entre las condiciones de parada citadas en D1 a partir de una inspección geotécnica de otro tramo. Se trata como fuente potencial de desprendimiento; esta referencia no se presenta como una inspección actual del sector OPP.</w:t>
      </w:r>
    </w:p>
    <w:p>
      <w:r>
        <w:br w:type="page"/>
      </w:r>
    </w:p>
    <w:p>
      <w:pPr>
        <w:pStyle w:val="Heading1"/>
      </w:pPr>
      <w:r>
        <w:t>11. Responsabilidades y registros de ejecución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Responsable</w:t>
            </w:r>
          </w:p>
        </w:tc>
        <w:tc>
          <w:tcPr>
            <w:tcW w:type="dxa" w:w="5040"/>
          </w:tcPr>
          <w:p>
            <w:pPr>
              <w:spacing w:after="80"/>
            </w:pPr>
            <w:r>
              <w:rPr>
                <w:sz w:val="18"/>
              </w:rPr>
              <w:t>Función dentro del método</w:t>
            </w:r>
          </w:p>
        </w:tc>
      </w:tr>
      <w:tr>
        <w:tc>
          <w:tcPr>
            <w:tcW w:type="dxa" w:w="5040"/>
          </w:tcPr>
          <w:p>
            <w:pPr>
              <w:spacing w:after="80"/>
            </w:pPr>
            <w:r>
              <w:rPr>
                <w:sz w:val="18"/>
              </w:rPr>
              <w:t>Supervisores de Antamina que lideran los frentes</w:t>
            </w:r>
          </w:p>
        </w:tc>
        <w:tc>
          <w:tcPr>
            <w:tcW w:type="dxa" w:w="5040"/>
          </w:tcPr>
          <w:p>
            <w:pPr>
              <w:spacing w:after="80"/>
            </w:pPr>
            <w:r>
              <w:rPr>
                <w:sz w:val="18"/>
              </w:rPr>
              <w:t>Definir prioridades, reunirse en campo, acordar secuencia y controles, detener ante cambios y comunicar cierre, según PETS122</w:t>
            </w:r>
          </w:p>
        </w:tc>
      </w:tr>
      <w:tr>
        <w:tc>
          <w:tcPr>
            <w:tcW w:type="dxa" w:w="5040"/>
          </w:tcPr>
          <w:p>
            <w:pPr>
              <w:spacing w:after="80"/>
            </w:pPr>
            <w:r>
              <w:rPr>
                <w:sz w:val="18"/>
              </w:rPr>
              <w:t>Construcción / OHLA / Terratest, según alcance</w:t>
            </w:r>
          </w:p>
        </w:tc>
        <w:tc>
          <w:tcPr>
            <w:tcW w:type="dxa" w:w="5040"/>
          </w:tcPr>
          <w:p>
            <w:pPr>
              <w:spacing w:after="80"/>
            </w:pPr>
            <w:r>
              <w:rPr>
                <w:sz w:val="18"/>
              </w:rPr>
              <w:t>Ejecutar la secuencia, conservar cajones y protecciones, controlar acopios, mantener exclusión y comunicar condiciones</w:t>
            </w:r>
          </w:p>
        </w:tc>
      </w:tr>
      <w:tr>
        <w:tc>
          <w:tcPr>
            <w:tcW w:type="dxa" w:w="5040"/>
          </w:tcPr>
          <w:p>
            <w:pPr>
              <w:spacing w:after="80"/>
            </w:pPr>
            <w:r>
              <w:rPr>
                <w:sz w:val="18"/>
              </w:rPr>
              <w:t>Responsable técnico de estructuras y geotecnia</w:t>
            </w:r>
          </w:p>
        </w:tc>
        <w:tc>
          <w:tcPr>
            <w:tcW w:type="dxa" w:w="5040"/>
          </w:tcPr>
          <w:p>
            <w:pPr>
              <w:spacing w:after="80"/>
            </w:pPr>
            <w:r>
              <w:rPr>
                <w:sz w:val="18"/>
              </w:rPr>
              <w:t>Emitir y asumir los detalles resistentes y geotécnicos del proyecto; no se atribuye esa firma a esta revisión documental</w:t>
            </w:r>
          </w:p>
        </w:tc>
      </w:tr>
      <w:tr>
        <w:tc>
          <w:tcPr>
            <w:tcW w:type="dxa" w:w="5040"/>
          </w:tcPr>
          <w:p>
            <w:pPr>
              <w:spacing w:after="80"/>
            </w:pPr>
            <w:r>
              <w:rPr>
                <w:sz w:val="18"/>
              </w:rPr>
              <w:t>SSOMA</w:t>
            </w:r>
          </w:p>
        </w:tc>
        <w:tc>
          <w:tcPr>
            <w:tcW w:type="dxa" w:w="5040"/>
          </w:tcPr>
          <w:p>
            <w:pPr>
              <w:spacing w:after="80"/>
            </w:pPr>
            <w:r>
              <w:rPr>
                <w:sz w:val="18"/>
              </w:rPr>
              <w:t>Comprobar implementación de controles, acompañar IPERC/ATS, inspección y respuesta; no sustituye al diseñador estructural</w:t>
            </w:r>
          </w:p>
        </w:tc>
      </w:tr>
      <w:tr>
        <w:tc>
          <w:tcPr>
            <w:tcW w:type="dxa" w:w="5040"/>
          </w:tcPr>
          <w:p>
            <w:pPr>
              <w:spacing w:after="80"/>
            </w:pPr>
            <w:r>
              <w:rPr>
                <w:sz w:val="18"/>
              </w:rPr>
              <w:t>Topografía / calidad</w:t>
            </w:r>
          </w:p>
        </w:tc>
        <w:tc>
          <w:tcPr>
            <w:tcW w:type="dxa" w:w="5040"/>
          </w:tcPr>
          <w:p>
            <w:pPr>
              <w:spacing w:after="80"/>
            </w:pPr>
            <w:r>
              <w:rPr>
                <w:sz w:val="18"/>
              </w:rPr>
              <w:t>Mantener identificación de sectores y trazabilidad de levantamientos, materiales, montaje y registros de recepción</w:t>
            </w:r>
          </w:p>
        </w:tc>
      </w:tr>
      <w:tr>
        <w:tc>
          <w:tcPr>
            <w:tcW w:type="dxa" w:w="5040"/>
          </w:tcPr>
          <w:p>
            <w:pPr>
              <w:spacing w:after="80"/>
            </w:pPr>
            <w:r>
              <w:rPr>
                <w:sz w:val="18"/>
              </w:rPr>
              <w:t>Trabajadores y vigía</w:t>
            </w:r>
          </w:p>
        </w:tc>
        <w:tc>
          <w:tcPr>
            <w:tcW w:type="dxa" w:w="5040"/>
          </w:tcPr>
          <w:p>
            <w:pPr>
              <w:spacing w:after="80"/>
            </w:pPr>
            <w:r>
              <w:rPr>
                <w:sz w:val="18"/>
              </w:rPr>
              <w:t>Mantener límites, observar cambios, comunicar y detener una condición insegura</w:t>
            </w:r>
          </w:p>
        </w:tc>
      </w:tr>
    </w:tbl>
    <w:p/>
    <w:p>
      <w:pPr>
        <w:pStyle w:val="Heading2"/>
      </w:pPr>
      <w:r>
        <w:t>11.1 Expediente del turno</w:t>
      </w:r>
    </w:p>
    <w:p>
      <w:r>
        <w:t>El expediente de ejecución contiene: acta de coordinación entre frentes; identificación del sector y tareas; horario y responsables; croquis o plano de interferencia; IPERC continuo FR007; ATS FR019 según aplicabilidad; registro de inspección de cajones y protecciones; control de bloqueo; comunicación de cierre y registro de eventos. Los documentos consignan hechos del turno y no se completan de forma retroactiva.</w:t>
      </w:r>
    </w:p>
    <w:p>
      <w:pPr>
        <w:pStyle w:val="Heading2"/>
      </w:pPr>
      <w:r>
        <w:t>11.2 Criterio de cierre operativo</w:t>
      </w:r>
    </w:p>
    <w:p>
      <w:r>
        <w:t>El sector se entrega ordenado, sin material suelto sobre los cerramientos ni piezas suspendidas, con accesos y rutas despejados y comunicación de término recibida por el supervisor del frente inferior. El retiro de la segregación lo dispone el responsable del frente que la controla; no se retiran bloqueos por iniciativa de terceros.</w:t>
      </w:r>
    </w:p>
    <w:p>
      <w:r>
        <w:rPr>
          <w:b/>
          <w:color w:val="994A18"/>
        </w:rPr>
        <w:t>La identificación de un control en este informe no equivale a un registro de cumplimiento en campo. No se incorporan firmas copiadas, nombres de aprobadores ficticios ni probabilidades de seguridad calculadas sin una base estadística.</w:t>
      </w:r>
    </w:p>
    <w:p>
      <w:r>
        <w:br w:type="page"/>
      </w:r>
    </w:p>
    <w:p>
      <w:pPr>
        <w:pStyle w:val="Heading1"/>
      </w:pPr>
      <w:r>
        <w:t>12. Conclusiones definitivas del informe</w:t>
      </w:r>
    </w:p>
    <w:p>
      <w:r>
        <w:t>1. Se establece la habilitación progresiva de accesos a los pedestales C-18 a C-04 y la ejecución sectorizada de sus actividades, coordinadas con Terratest y OHLA. La protección en origen, las barreras complementarias y la separación temporal de exposiciones constituyen el método de control adoptado.</w:t>
      </w:r>
    </w:p>
    <w:p>
      <w:r>
        <w:t>2. Cada cajón cuenta con protección física de geotextil y maderas según la información del solicitante. El conjunto se incorpora como primer punto de soporte y contención: la madera transmite y distribuye localmente las cargas hacia sus apoyos; el geotextil contiene finos y separa materiales. El método no permite usar el cajón como plataforma de maquinaria o acopio de bloques pesados.</w:t>
      </w:r>
    </w:p>
    <w:p>
      <w:r>
        <w:t>3. La memoria integrada utiliza los datos de eucalipto y suelo del Anexo 2 por indicación expresa del solicitante. Obtiene Ed=16,64 kJ y Fpico=22,187 kN; doble malla RU=0,884; eucalipto Ø150 mm RU de flexión V=0,744 y cortante=0,068, con reparto entre tres postes. Estos son resultados del método documental; no equivalen a un ensayo de absorción del sistema completo.</w:t>
      </w:r>
    </w:p>
    <w:p>
      <w:r>
        <w:t>4. El desarrollo de empotramiento del Anexo da, para dado Ø0,40 m y su objetivo 1,50, Lmin=0,698 m con tres postes, 1,210 m con un poste y centro de impacto a 0,657 m, y 1,476 m para toda Fpico cerca del terreno. El empotramiento de 0,40 m no satisface la comparación. Son soluciones del modelo documental, no dimensiones constructivas que incluyan pendiente, rigidez, rotación y transferencia poste–dado de OPP.</w:t>
      </w:r>
    </w:p>
    <w:p>
      <w:r>
        <w:t>5. La habilitación de caminos, la rotura, excavación y las maniobras que liberen o proyecten materiales se ejecutan con el frente inferior expuesto evacuado y bloqueado. El montaje, limpieza y reparación de barreras mantienen esa misma exclusión. Las labores concurrentes se restringen a zonas fuera de la envolvente del sector activo.</w:t>
      </w:r>
    </w:p>
    <w:p>
      <w:r>
        <w:t>6. La coordinación y los registros establecidos se corresponden con el procedimiento y las restricciones de PETS122 v.03. La prioridad, la secuencia, la comunicación, el IPERC, el ATS aplicable y la parada por cambios quedan integrados al método. No se sustituye la exclusión de personas por la sola presencia de un vigía o una malla.</w:t>
      </w:r>
    </w:p>
    <w:p>
      <w:r>
        <w:t>7. La doble malla, el eucalipto y los componentes de apoyo satisfacen las comparaciones numéricas del Anexo con su distribución de carga y valores de material. La memoria cuantifica los casos que dejan de satisfacerlas al reducir capas, contacto o número de postes efectivos. No se presenta una probabilidad de retención ni una certificación dinámica de la solución OPP.</w:t>
      </w:r>
    </w:p>
    <w:p>
      <w:r>
        <w:rPr>
          <w:b/>
          <w:color w:val="994A18"/>
        </w:rPr>
        <w:t>DICTAMEN DOCUMENTAL FINAL: se adopta la ejecución sectorizada con retención en origen y ventanas exclusivas para toda tarea que exponga al frente inferior. No se habilita trabajo simultáneo dentro de la línea de fuego por atribuir una capacidad de impacto no acreditada a las barreras propuestas.</w:t>
      </w:r>
    </w:p>
    <w:p>
      <w:r>
        <w:br w:type="page"/>
      </w:r>
    </w:p>
    <w:p>
      <w:pPr>
        <w:pStyle w:val="Heading1"/>
      </w:pPr>
      <w:r>
        <w:t>13. Referencias, trazabilidad y alcance de fuentes</w:t>
      </w:r>
    </w:p>
    <w:p>
      <w:pPr>
        <w:pStyle w:val="Heading2"/>
      </w:pPr>
      <w:r>
        <w:t>13.1 Fuentes efectivamente examinadas</w:t>
      </w:r>
    </w:p>
    <w:p>
      <w:r>
        <w:t>[D1] Informe para instalación de barreras, accesos y trabajos en pedestales, archivo Word entregado, fecha interior 27/10/2026. Se utilizaron su alcance, tablas y fotografías.</w:t>
        <w:br/>
        <w:t>[D2] Anexo 2 – Memoria de cálculo de barrera de retención de bloques con doble malla olímpica y postes verticales de eucalipto, 19 páginas, archivo recibido con nombre Rev2. Datos: pp.5–8; cálculo: pp.8–12; resumen y conclusiones: pp.13–14; fichas: pp.18–19.</w:t>
        <w:br/>
        <w:t>[D3] Antamina, GSSL-SIND-PETS122, Control de riesgos en trabajos que involucran interacción entre áreas y línea de fuego, v.03, 9 páginas, aprobación interior 25/04/2022.</w:t>
        <w:br/>
        <w:t>[D4] Plano 430-SKT-TOP-00171 rev.1, planta PP y tres PDF de perfiles; sello SOLO INFORMACIÓN.</w:t>
        <w:br/>
        <w:t>[D6] Comunicaciones del solicitante sobre cajones protegidos y actualización de la memoria con eucalipto y suelo del Anexo 2.</w:t>
      </w:r>
    </w:p>
    <w:p>
      <w:pPr>
        <w:pStyle w:val="Heading2"/>
      </w:pPr>
      <w:r>
        <w:t>13.2 Referencias técnicas identificadas en los documentos</w:t>
      </w:r>
    </w:p>
    <w:p>
      <w:r>
        <w:t>El Anexo cita RNE E.010 Madera y E.050 Suelos y Cimentaciones, ASTM A392 y A1023/A1023M, EAD 340059-00-0106 / ETAG 027, Peila y Ronco (2009), Broms (1964), Vesic (1973) y un memorando WSP. Se conserva su condición de referencias del Anexo; esta emisión no certifica cumplimiento normativo ni una revisión independiente de sus textos completos.</w:t>
      </w:r>
    </w:p>
    <w:p>
      <w:pPr>
        <w:pStyle w:val="Heading2"/>
      </w:pPr>
      <w:r>
        <w:t>13.3 Consulta web solicitada y transparencia de fuentes</w:t>
      </w:r>
    </w:p>
    <w:p>
      <w:r>
        <w:t>Se intentó acceso directo a fuentes oficiales de FHWA y OSHA el 28/10/2026. El proxy del entorno respondió HTTP 403 a ambos dominios. Por ello no se cita contenido de esas páginas como consultado ni se utiliza para acreditar resistencia o cumplimiento. Se registran las direcciones para trazabilidad del intento:</w:t>
        <w:br/>
        <w:t>• FHWA, Soil and Foundation/Pavement Geotechnical Guidance: https://www.fhwa.dot.gov/pavement/pubs/05037/07.cfm</w:t>
        <w:br/>
        <w:t>• FHWA, Context Sensitive Rock Slope Design, §6.2: https://www.fhwa.dot.gov/clas/ctip/context_sensitive_rock_slope_design/ch_6_2.aspx</w:t>
        <w:br/>
        <w:t>• OSHA, 29 CFR 1926 Subpart P, Appendix C, Timber Shoring for Trenches: https://www.osha.gov/laws-regs/regulations/standardnumber/1926/1926SubpartPAppC</w:t>
        <w:br/>
        <w:t>• OSHA, 29 CFR 1926.651: https://www.osha.gov/laws-regs/regulations/standardnumber/1926/1926.651</w:t>
      </w:r>
    </w:p>
    <w:p>
      <w:r>
        <w:t>La explicación de reparto p=P/A, de ruta resistente de la madera y de contención superficial del geotextil describe funciones físicas. No se presenta como ensayo, ficha de producto ni validación estructural del cajón. El informe excluye una probabilidad cuantitativa de falla o retención porque los documentos no contienen una base estadística del sistema propuesto.</w:t>
      </w:r>
    </w:p>
    <w:p>
      <w:r>
        <w:br w:type="page"/>
      </w:r>
    </w:p>
    <w:p>
      <w:pPr>
        <w:pStyle w:val="Heading1"/>
      </w:pPr>
      <w:r>
        <w:t>Anexo fotográfico. Condiciones documentadas</w:t>
      </w:r>
    </w:p>
    <w:p>
      <w:r>
        <w:drawing>
          <wp:inline xmlns:a="http://schemas.openxmlformats.org/drawingml/2006/main" xmlns:pic="http://schemas.openxmlformats.org/drawingml/2006/picture">
            <wp:extent cx="5394960" cy="2427935"/>
            <wp:docPr id="3" name="Picture 3"/>
            <wp:cNvGraphicFramePr>
              <a:graphicFrameLocks noChangeAspect="1"/>
            </wp:cNvGraphicFramePr>
            <a:graphic>
              <a:graphicData uri="http://schemas.openxmlformats.org/drawingml/2006/picture">
                <pic:pic>
                  <pic:nvPicPr>
                    <pic:cNvPr id="0" name="final_image7.jpg"/>
                    <pic:cNvPicPr/>
                  </pic:nvPicPr>
                  <pic:blipFill>
                    <a:blip r:embed="rId12"/>
                    <a:stretch>
                      <a:fillRect/>
                    </a:stretch>
                  </pic:blipFill>
                  <pic:spPr>
                    <a:xfrm>
                      <a:off x="0" y="0"/>
                      <a:ext cx="5394960" cy="2427935"/>
                    </a:xfrm>
                    <a:prstGeom prst="rect"/>
                  </pic:spPr>
                </pic:pic>
              </a:graphicData>
            </a:graphic>
          </wp:inline>
        </w:drawing>
      </w:r>
    </w:p>
    <w:p>
      <w:pPr>
        <w:pStyle w:val="Caption"/>
      </w:pPr>
      <w:r>
        <w:t>A1. Trabajo en el entorno de un cajón de pedestal, fotografía del Word original D1. La condición de protección por geotextil y maderas se incorpora además por comunicación del solicitante.</w:t>
      </w:r>
    </w:p>
    <w:p>
      <w:r>
        <w:drawing>
          <wp:inline xmlns:a="http://schemas.openxmlformats.org/drawingml/2006/main" xmlns:pic="http://schemas.openxmlformats.org/drawingml/2006/picture">
            <wp:extent cx="5394960" cy="2427935"/>
            <wp:docPr id="4" name="Picture 4"/>
            <wp:cNvGraphicFramePr>
              <a:graphicFrameLocks noChangeAspect="1"/>
            </wp:cNvGraphicFramePr>
            <a:graphic>
              <a:graphicData uri="http://schemas.openxmlformats.org/drawingml/2006/picture">
                <pic:pic>
                  <pic:nvPicPr>
                    <pic:cNvPr id="0" name="final_image3.jpg"/>
                    <pic:cNvPicPr/>
                  </pic:nvPicPr>
                  <pic:blipFill>
                    <a:blip r:embed="rId13"/>
                    <a:stretch>
                      <a:fillRect/>
                    </a:stretch>
                  </pic:blipFill>
                  <pic:spPr>
                    <a:xfrm>
                      <a:off x="0" y="0"/>
                      <a:ext cx="5394960" cy="2427935"/>
                    </a:xfrm>
                    <a:prstGeom prst="rect"/>
                  </pic:spPr>
                </pic:pic>
              </a:graphicData>
            </a:graphic>
          </wp:inline>
        </w:drawing>
      </w:r>
    </w:p>
    <w:p>
      <w:pPr>
        <w:pStyle w:val="Caption"/>
      </w:pPr>
      <w:r>
        <w:t>A2. Frente inferior asociado a Terratest, según D1. Contexto de la interacción entre trabajos superiores e inferiores.</w:t>
      </w:r>
    </w:p>
    <w:p>
      <w:r>
        <w:t>Las fotografías muestran condiciones documentadas en el material entregado. No se utilizan para deducir espesor de tablas, gramaje de geotextil, profundidades de postes o resistencias de impacto.</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RT-03 • 28/10/2026 • Método de ejecución e interacción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TSF FASE IX | BOOSTER OPP | IT-OPP-ACC-RT03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4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4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de Habilitación de Accesos e Instalación de Pedestales y Barreras</dc:title>
  <dc:subject>C-18 a C-04 — RT-03</dc:subject>
  <dc:creator>Revisión técnica documental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